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2E47" w14:textId="5E294EBB" w:rsidR="00450B28" w:rsidRDefault="00B6567D" w:rsidP="00F34275">
      <w:pPr>
        <w:pStyle w:val="HChG"/>
        <w:tabs>
          <w:tab w:val="clear" w:pos="851"/>
        </w:tabs>
        <w:ind w:firstLine="0"/>
        <w:jc w:val="center"/>
        <w:rPr>
          <w:lang w:val="en-US"/>
        </w:rPr>
      </w:pPr>
      <w:r w:rsidRPr="00B6567D">
        <w:rPr>
          <w:lang w:val="en-US"/>
        </w:rPr>
        <w:t xml:space="preserve">Proposal for </w:t>
      </w:r>
      <w:r w:rsidR="0015017A">
        <w:rPr>
          <w:lang w:val="en-US"/>
        </w:rPr>
        <w:t xml:space="preserve">amendments to </w:t>
      </w:r>
      <w:r w:rsidR="00C70CC9">
        <w:rPr>
          <w:lang w:val="en-US"/>
        </w:rPr>
        <w:t xml:space="preserve">the </w:t>
      </w:r>
      <w:r w:rsidR="00C70CC9" w:rsidRPr="00BE1AC2">
        <w:rPr>
          <w:color w:val="000000" w:themeColor="text1"/>
        </w:rPr>
        <w:t xml:space="preserve">07 series </w:t>
      </w:r>
      <w:r w:rsidRPr="00BE1AC2">
        <w:rPr>
          <w:color w:val="000000" w:themeColor="text1"/>
          <w:lang w:val="en-US"/>
        </w:rPr>
        <w:t xml:space="preserve">of </w:t>
      </w:r>
      <w:r w:rsidR="001D2F2F" w:rsidRPr="00BE1AC2">
        <w:rPr>
          <w:color w:val="000000" w:themeColor="text1"/>
          <w:lang w:val="en-US"/>
        </w:rPr>
        <w:t>a</w:t>
      </w:r>
      <w:r w:rsidRPr="00BE1AC2">
        <w:rPr>
          <w:color w:val="000000" w:themeColor="text1"/>
          <w:lang w:val="en-US"/>
        </w:rPr>
        <w:t xml:space="preserve">mendments to </w:t>
      </w:r>
      <w:r w:rsidR="005B0C06" w:rsidRPr="00BE1AC2">
        <w:rPr>
          <w:color w:val="000000" w:themeColor="text1"/>
          <w:lang w:val="en-US"/>
        </w:rPr>
        <w:t xml:space="preserve">UN </w:t>
      </w:r>
      <w:r w:rsidRPr="00BE1AC2">
        <w:rPr>
          <w:color w:val="000000" w:themeColor="text1"/>
          <w:lang w:val="en-US"/>
        </w:rPr>
        <w:t>Regulation No. 83</w:t>
      </w:r>
      <w:r w:rsidR="00AB4B45">
        <w:rPr>
          <w:color w:val="000000" w:themeColor="text1"/>
          <w:lang w:val="en-US"/>
        </w:rPr>
        <w:t xml:space="preserve"> </w:t>
      </w:r>
      <w:r w:rsidRPr="00B6567D">
        <w:rPr>
          <w:lang w:val="en-US"/>
        </w:rPr>
        <w:t>(Emissions of M1 and N1 vehicles)</w:t>
      </w:r>
    </w:p>
    <w:p w14:paraId="3A525C23" w14:textId="77777777" w:rsidR="00F34275" w:rsidRPr="00F34275" w:rsidRDefault="00F34275" w:rsidP="00F34275">
      <w:pPr>
        <w:rPr>
          <w:lang w:val="en-US"/>
        </w:rPr>
      </w:pPr>
    </w:p>
    <w:p w14:paraId="2A6BADAA" w14:textId="77777777" w:rsidR="00097A1F" w:rsidRDefault="00C70CC9" w:rsidP="002F4281">
      <w:pPr>
        <w:pStyle w:val="HChG"/>
        <w:ind w:hanging="567"/>
      </w:pPr>
      <w:r w:rsidRPr="00FD4196">
        <w:t>I.</w:t>
      </w:r>
      <w:r w:rsidR="00097A1F">
        <w:tab/>
      </w:r>
      <w:r w:rsidRPr="00FD4196">
        <w:tab/>
      </w:r>
      <w:r>
        <w:t>Proposal</w:t>
      </w:r>
    </w:p>
    <w:p w14:paraId="52E05C47" w14:textId="23E60AE4" w:rsidR="00B12D6C" w:rsidRPr="00F34275" w:rsidRDefault="00B12D6C" w:rsidP="00B12D6C">
      <w:pPr>
        <w:suppressAutoHyphens w:val="0"/>
        <w:autoSpaceDE w:val="0"/>
        <w:autoSpaceDN w:val="0"/>
        <w:adjustRightInd w:val="0"/>
        <w:spacing w:line="240" w:lineRule="auto"/>
        <w:ind w:left="1134" w:right="1134"/>
        <w:rPr>
          <w:color w:val="000000"/>
          <w:lang w:eastAsia="de-DE"/>
        </w:rPr>
      </w:pPr>
      <w:r w:rsidRPr="00F34275">
        <w:rPr>
          <w:i/>
          <w:iCs/>
          <w:color w:val="000000"/>
          <w:lang w:eastAsia="de-DE"/>
        </w:rPr>
        <w:t>Annex 11, paragraphs 2.14</w:t>
      </w:r>
      <w:r w:rsidRPr="00F34275">
        <w:rPr>
          <w:color w:val="000000"/>
          <w:lang w:eastAsia="de-DE"/>
        </w:rPr>
        <w:t xml:space="preserve">, amend to read: </w:t>
      </w:r>
    </w:p>
    <w:p w14:paraId="0440E4C4" w14:textId="77777777" w:rsidR="00B12D6C" w:rsidRPr="00F34275" w:rsidRDefault="00B12D6C" w:rsidP="00F34275">
      <w:pPr>
        <w:tabs>
          <w:tab w:val="left" w:pos="2268"/>
        </w:tabs>
        <w:suppressAutoHyphens w:val="0"/>
        <w:autoSpaceDE w:val="0"/>
        <w:autoSpaceDN w:val="0"/>
        <w:adjustRightInd w:val="0"/>
        <w:spacing w:line="240" w:lineRule="auto"/>
        <w:ind w:left="2268" w:right="1134" w:hanging="1134"/>
        <w:jc w:val="both"/>
        <w:rPr>
          <w:color w:val="000000"/>
          <w:lang w:val="en-US" w:eastAsia="de-DE"/>
        </w:rPr>
      </w:pPr>
      <w:r w:rsidRPr="00F34275">
        <w:rPr>
          <w:color w:val="000000"/>
          <w:lang w:eastAsia="de-DE"/>
        </w:rPr>
        <w:t>"2.14.</w:t>
      </w:r>
      <w:r w:rsidRPr="00F34275">
        <w:rPr>
          <w:color w:val="000000"/>
          <w:lang w:eastAsia="de-DE"/>
        </w:rPr>
        <w:tab/>
      </w:r>
      <w:r w:rsidRPr="00F34275">
        <w:rPr>
          <w:color w:val="000000"/>
          <w:lang w:val="en-US" w:eastAsia="de-DE"/>
        </w:rPr>
        <w:t xml:space="preserve">"Permanent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 </w:t>
      </w:r>
    </w:p>
    <w:p w14:paraId="4894E5EE" w14:textId="77777777" w:rsidR="00B12D6C" w:rsidRPr="00F34275" w:rsidRDefault="00B12D6C" w:rsidP="00B12D6C">
      <w:pPr>
        <w:tabs>
          <w:tab w:val="left" w:pos="2268"/>
        </w:tabs>
        <w:suppressAutoHyphens w:val="0"/>
        <w:autoSpaceDE w:val="0"/>
        <w:autoSpaceDN w:val="0"/>
        <w:adjustRightInd w:val="0"/>
        <w:spacing w:line="240" w:lineRule="auto"/>
        <w:ind w:left="2268" w:right="1134" w:hanging="1134"/>
        <w:rPr>
          <w:color w:val="000000"/>
          <w:lang w:val="en-US" w:eastAsia="de-DE"/>
        </w:rPr>
      </w:pPr>
    </w:p>
    <w:p w14:paraId="1345B42E" w14:textId="7F1C9390" w:rsidR="00B12D6C" w:rsidRPr="00F34275" w:rsidRDefault="00B12D6C" w:rsidP="00F34275">
      <w:pPr>
        <w:tabs>
          <w:tab w:val="left" w:pos="2268"/>
        </w:tabs>
        <w:suppressAutoHyphens w:val="0"/>
        <w:autoSpaceDE w:val="0"/>
        <w:autoSpaceDN w:val="0"/>
        <w:adjustRightInd w:val="0"/>
        <w:spacing w:line="240" w:lineRule="auto"/>
        <w:ind w:left="2268" w:right="1134" w:hanging="1134"/>
        <w:jc w:val="both"/>
        <w:rPr>
          <w:b/>
          <w:bCs/>
          <w:color w:val="000000"/>
          <w:lang w:val="en-US" w:eastAsia="de-DE"/>
        </w:rPr>
      </w:pPr>
      <w:r w:rsidRPr="00F34275">
        <w:rPr>
          <w:b/>
          <w:bCs/>
          <w:color w:val="000000"/>
          <w:lang w:val="en-US" w:eastAsia="de-DE"/>
        </w:rPr>
        <w:t>2.14.1.</w:t>
      </w:r>
      <w:r w:rsidRPr="00F34275">
        <w:rPr>
          <w:color w:val="000000"/>
          <w:lang w:val="en-US" w:eastAsia="de-DE"/>
        </w:rPr>
        <w:tab/>
      </w:r>
      <w:r w:rsidRPr="00F34275">
        <w:rPr>
          <w:b/>
          <w:bCs/>
          <w:color w:val="000000"/>
          <w:lang w:val="en-US" w:eastAsia="de-DE"/>
        </w:rPr>
        <w:t>Permanent in this context means that the default mode is not recoverable, i.e. the diagnostic or control strategy that caused the emission default mode cannot run in the next driving cycle and cannot confirm that the conditions that caused the emission default mode is present anymore.</w:t>
      </w:r>
      <w:r w:rsidR="00603E75" w:rsidRPr="00F34275">
        <w:rPr>
          <w:b/>
          <w:color w:val="000000"/>
          <w:lang w:eastAsia="de-DE"/>
        </w:rPr>
        <w:t>"</w:t>
      </w:r>
    </w:p>
    <w:p w14:paraId="741DFE95" w14:textId="77777777" w:rsidR="00B12D6C" w:rsidRPr="00F34275" w:rsidRDefault="00B12D6C" w:rsidP="00B12D6C">
      <w:pPr>
        <w:tabs>
          <w:tab w:val="left" w:pos="2268"/>
        </w:tabs>
        <w:suppressAutoHyphens w:val="0"/>
        <w:autoSpaceDE w:val="0"/>
        <w:autoSpaceDN w:val="0"/>
        <w:adjustRightInd w:val="0"/>
        <w:spacing w:line="240" w:lineRule="auto"/>
        <w:ind w:left="2268" w:right="1134" w:hanging="1134"/>
        <w:rPr>
          <w:color w:val="000000"/>
          <w:lang w:val="en-US" w:eastAsia="de-DE"/>
        </w:rPr>
      </w:pPr>
    </w:p>
    <w:p w14:paraId="3DBC8AF9" w14:textId="7404FF82" w:rsidR="00B12D6C" w:rsidRPr="00F34275" w:rsidRDefault="00B12D6C" w:rsidP="00B12D6C">
      <w:pPr>
        <w:suppressAutoHyphens w:val="0"/>
        <w:autoSpaceDE w:val="0"/>
        <w:autoSpaceDN w:val="0"/>
        <w:adjustRightInd w:val="0"/>
        <w:spacing w:line="240" w:lineRule="auto"/>
        <w:ind w:left="2268" w:right="1134" w:hanging="1134"/>
        <w:rPr>
          <w:color w:val="000000"/>
          <w:lang w:eastAsia="de-DE"/>
        </w:rPr>
      </w:pPr>
      <w:r w:rsidRPr="00F34275">
        <w:rPr>
          <w:i/>
          <w:iCs/>
          <w:color w:val="000000"/>
          <w:lang w:eastAsia="de-DE"/>
        </w:rPr>
        <w:t xml:space="preserve">Annex 11, </w:t>
      </w:r>
      <w:r w:rsidR="00603E75" w:rsidRPr="00F34275">
        <w:rPr>
          <w:i/>
          <w:iCs/>
          <w:color w:val="000000"/>
          <w:lang w:eastAsia="de-DE"/>
        </w:rPr>
        <w:t xml:space="preserve">add a new </w:t>
      </w:r>
      <w:r w:rsidRPr="00F34275">
        <w:rPr>
          <w:i/>
          <w:iCs/>
          <w:color w:val="000000"/>
          <w:lang w:eastAsia="de-DE"/>
        </w:rPr>
        <w:t>paragraph 2.</w:t>
      </w:r>
      <w:r w:rsidR="00603E75" w:rsidRPr="00F34275">
        <w:rPr>
          <w:i/>
          <w:iCs/>
          <w:color w:val="000000"/>
          <w:lang w:eastAsia="de-DE"/>
        </w:rPr>
        <w:t>21.</w:t>
      </w:r>
      <w:r w:rsidRPr="00F34275">
        <w:rPr>
          <w:color w:val="000000"/>
          <w:lang w:eastAsia="de-DE"/>
        </w:rPr>
        <w:t xml:space="preserve">: </w:t>
      </w:r>
    </w:p>
    <w:p w14:paraId="052C3B37" w14:textId="3B1E4734" w:rsidR="00B12D6C" w:rsidRPr="00F34275" w:rsidRDefault="00603E75" w:rsidP="00F34275">
      <w:pPr>
        <w:tabs>
          <w:tab w:val="left" w:pos="2268"/>
        </w:tabs>
        <w:suppressAutoHyphens w:val="0"/>
        <w:autoSpaceDE w:val="0"/>
        <w:autoSpaceDN w:val="0"/>
        <w:adjustRightInd w:val="0"/>
        <w:spacing w:line="240" w:lineRule="auto"/>
        <w:ind w:left="2268" w:right="1134" w:hanging="1134"/>
        <w:jc w:val="both"/>
        <w:rPr>
          <w:b/>
        </w:rPr>
      </w:pPr>
      <w:r w:rsidRPr="00F34275">
        <w:rPr>
          <w:b/>
          <w:color w:val="000000"/>
          <w:lang w:eastAsia="de-DE"/>
        </w:rPr>
        <w:t>"</w:t>
      </w:r>
      <w:r w:rsidR="00B12D6C" w:rsidRPr="00F34275">
        <w:rPr>
          <w:b/>
        </w:rPr>
        <w:t>2.21.</w:t>
      </w:r>
      <w:r w:rsidR="00B12D6C" w:rsidRPr="00F34275">
        <w:rPr>
          <w:b/>
        </w:rPr>
        <w:tab/>
      </w:r>
      <w:r w:rsidR="00394B6F" w:rsidRPr="00F34275">
        <w:rPr>
          <w:b/>
          <w:color w:val="000000"/>
          <w:lang w:eastAsia="de-DE"/>
        </w:rPr>
        <w:t>"</w:t>
      </w:r>
      <w:r w:rsidR="00B12D6C" w:rsidRPr="00F34275">
        <w:rPr>
          <w:b/>
        </w:rPr>
        <w:t>Limp-home routines</w:t>
      </w:r>
      <w:r w:rsidR="00394B6F" w:rsidRPr="00F34275">
        <w:rPr>
          <w:b/>
          <w:color w:val="000000"/>
          <w:lang w:eastAsia="de-DE"/>
        </w:rPr>
        <w:t>"</w:t>
      </w:r>
      <w:r w:rsidR="00B12D6C" w:rsidRPr="00F34275">
        <w:rPr>
          <w:b/>
        </w:rPr>
        <w:t xml:space="preserve"> means any default mode other than emission default mode.</w:t>
      </w:r>
      <w:r w:rsidRPr="00F34275">
        <w:rPr>
          <w:b/>
          <w:color w:val="000000"/>
          <w:lang w:eastAsia="de-DE"/>
        </w:rPr>
        <w:t>"</w:t>
      </w:r>
    </w:p>
    <w:p w14:paraId="0CE86EC5" w14:textId="77777777" w:rsidR="00B12D6C" w:rsidRPr="00F34275" w:rsidRDefault="00B12D6C" w:rsidP="00B12D6C">
      <w:pPr>
        <w:suppressAutoHyphens w:val="0"/>
        <w:autoSpaceDE w:val="0"/>
        <w:autoSpaceDN w:val="0"/>
        <w:adjustRightInd w:val="0"/>
        <w:spacing w:line="240" w:lineRule="auto"/>
        <w:ind w:left="2268" w:right="1134" w:hanging="1134"/>
        <w:rPr>
          <w:i/>
          <w:iCs/>
          <w:color w:val="000000"/>
          <w:lang w:eastAsia="de-DE"/>
        </w:rPr>
      </w:pPr>
    </w:p>
    <w:p w14:paraId="4BEE4179" w14:textId="216D243A" w:rsidR="00B12D6C" w:rsidRPr="00F34275" w:rsidRDefault="00B12D6C" w:rsidP="00B12D6C">
      <w:pPr>
        <w:suppressAutoHyphens w:val="0"/>
        <w:autoSpaceDE w:val="0"/>
        <w:autoSpaceDN w:val="0"/>
        <w:adjustRightInd w:val="0"/>
        <w:spacing w:line="240" w:lineRule="auto"/>
        <w:ind w:left="2268" w:right="1134" w:hanging="1134"/>
      </w:pPr>
      <w:r w:rsidRPr="00F34275">
        <w:rPr>
          <w:i/>
          <w:iCs/>
          <w:color w:val="000000"/>
          <w:lang w:eastAsia="de-DE"/>
        </w:rPr>
        <w:t>Annex 11, paragraph 3.5.1</w:t>
      </w:r>
      <w:r w:rsidRPr="00F34275">
        <w:rPr>
          <w:color w:val="000000"/>
          <w:lang w:eastAsia="de-DE"/>
        </w:rPr>
        <w:t>, amend to read:</w:t>
      </w:r>
    </w:p>
    <w:p w14:paraId="0E52AADB" w14:textId="640570C7" w:rsidR="00B12D6C" w:rsidRPr="00F34275" w:rsidRDefault="00F34275" w:rsidP="00F34275">
      <w:pPr>
        <w:tabs>
          <w:tab w:val="left" w:pos="2268"/>
        </w:tabs>
        <w:suppressAutoHyphens w:val="0"/>
        <w:autoSpaceDE w:val="0"/>
        <w:autoSpaceDN w:val="0"/>
        <w:adjustRightInd w:val="0"/>
        <w:spacing w:line="240" w:lineRule="auto"/>
        <w:ind w:left="2268" w:right="1134" w:hanging="1134"/>
        <w:jc w:val="both"/>
        <w:rPr>
          <w:color w:val="000000"/>
          <w:lang w:val="en-US" w:eastAsia="de-DE"/>
        </w:rPr>
      </w:pPr>
      <w:r w:rsidRPr="00F34275">
        <w:rPr>
          <w:color w:val="000000"/>
          <w:lang w:eastAsia="de-DE"/>
        </w:rPr>
        <w:t>"</w:t>
      </w:r>
      <w:r w:rsidR="00B12D6C" w:rsidRPr="00F34275">
        <w:rPr>
          <w:lang w:val="en-US"/>
        </w:rPr>
        <w:t xml:space="preserve">3.5.1. </w:t>
      </w:r>
      <w:r w:rsidR="00B12D6C" w:rsidRPr="00F34275">
        <w:rPr>
          <w:lang w:val="en-US"/>
        </w:rPr>
        <w:tab/>
      </w:r>
      <w:r w:rsidR="00B12D6C" w:rsidRPr="00F34275">
        <w:rPr>
          <w:color w:val="000000"/>
          <w:lang w:val="en-US" w:eastAsia="de-DE"/>
        </w:rPr>
        <w:t>The OBD system shall incorporate a malfunction indicator readily perceivable to the vehicle operator. The MI shall not be used for any other purpose except to indicate emergency start-up</w:t>
      </w:r>
      <w:r w:rsidR="00B12D6C" w:rsidRPr="00F34275">
        <w:rPr>
          <w:b/>
          <w:color w:val="000000"/>
          <w:lang w:val="en-US" w:eastAsia="de-DE"/>
        </w:rPr>
        <w:t>, permanent emission default modes</w:t>
      </w:r>
      <w:r w:rsidR="00B12D6C" w:rsidRPr="00F34275">
        <w:rPr>
          <w:color w:val="000000"/>
          <w:lang w:val="en-US" w:eastAsia="de-DE"/>
        </w:rPr>
        <w:t xml:space="preserve"> or limp-home routines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w:t>
      </w:r>
      <w:proofErr w:type="spellStart"/>
      <w:r w:rsidR="00B12D6C" w:rsidRPr="00F34275">
        <w:rPr>
          <w:color w:val="000000"/>
          <w:lang w:val="en-US" w:eastAsia="de-DE"/>
        </w:rPr>
        <w:t>colour</w:t>
      </w:r>
      <w:proofErr w:type="spellEnd"/>
      <w:r w:rsidR="00B12D6C" w:rsidRPr="00F34275">
        <w:rPr>
          <w:color w:val="000000"/>
          <w:lang w:val="en-US" w:eastAsia="de-DE"/>
        </w:rPr>
        <w:t xml:space="preserve"> for an MI is prohibited.</w:t>
      </w:r>
      <w:r w:rsidRPr="00F34275">
        <w:rPr>
          <w:color w:val="000000"/>
          <w:lang w:eastAsia="de-DE"/>
        </w:rPr>
        <w:t>"</w:t>
      </w:r>
    </w:p>
    <w:p w14:paraId="75A30A16" w14:textId="04ABEE44" w:rsidR="008E4122" w:rsidRPr="00B12D6C" w:rsidRDefault="008E4122" w:rsidP="00B12D6C">
      <w:pPr>
        <w:tabs>
          <w:tab w:val="left" w:pos="2268"/>
        </w:tabs>
        <w:suppressAutoHyphens w:val="0"/>
        <w:autoSpaceDE w:val="0"/>
        <w:autoSpaceDN w:val="0"/>
        <w:adjustRightInd w:val="0"/>
        <w:spacing w:line="240" w:lineRule="auto"/>
        <w:ind w:left="2268" w:right="1134" w:hanging="1134"/>
        <w:rPr>
          <w:lang w:val="en-US"/>
        </w:rPr>
      </w:pPr>
    </w:p>
    <w:p w14:paraId="0AC6EBF3" w14:textId="77777777"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14:paraId="12BB66B3" w14:textId="2A9EE3D4" w:rsidR="00603E75" w:rsidRPr="00F34275" w:rsidRDefault="00394B6F" w:rsidP="00F34275">
      <w:pPr>
        <w:pStyle w:val="Paragraphedeliste"/>
        <w:numPr>
          <w:ilvl w:val="0"/>
          <w:numId w:val="49"/>
        </w:numPr>
        <w:spacing w:after="120"/>
        <w:ind w:left="1134" w:right="1179" w:firstLine="0"/>
        <w:rPr>
          <w:rFonts w:cs="Courier New"/>
          <w:sz w:val="20"/>
          <w:szCs w:val="20"/>
        </w:rPr>
      </w:pPr>
      <w:r>
        <w:rPr>
          <w:rFonts w:cs="Courier New"/>
          <w:sz w:val="20"/>
          <w:szCs w:val="20"/>
        </w:rPr>
        <w:t>T</w:t>
      </w:r>
      <w:r w:rsidR="00F34275" w:rsidRPr="00F34275">
        <w:rPr>
          <w:rFonts w:cs="Courier New"/>
          <w:sz w:val="20"/>
          <w:szCs w:val="20"/>
        </w:rPr>
        <w:t xml:space="preserve">his proposal </w:t>
      </w:r>
      <w:r w:rsidR="00603E75" w:rsidRPr="00F34275">
        <w:rPr>
          <w:rFonts w:cs="Courier New"/>
          <w:sz w:val="20"/>
          <w:szCs w:val="20"/>
        </w:rPr>
        <w:t>define</w:t>
      </w:r>
      <w:r>
        <w:rPr>
          <w:rFonts w:cs="Courier New"/>
          <w:sz w:val="20"/>
          <w:szCs w:val="20"/>
        </w:rPr>
        <w:t>s</w:t>
      </w:r>
      <w:r w:rsidR="00603E75" w:rsidRPr="00F34275">
        <w:rPr>
          <w:rFonts w:cs="Courier New"/>
          <w:sz w:val="20"/>
          <w:szCs w:val="20"/>
        </w:rPr>
        <w:t xml:space="preserve"> the terms “limp-home routine” and </w:t>
      </w:r>
      <w:r w:rsidR="00F34275" w:rsidRPr="00F34275">
        <w:rPr>
          <w:rFonts w:cs="Courier New"/>
          <w:sz w:val="20"/>
          <w:szCs w:val="20"/>
        </w:rPr>
        <w:t xml:space="preserve">clarifies </w:t>
      </w:r>
      <w:r w:rsidR="00603E75" w:rsidRPr="00F34275">
        <w:rPr>
          <w:rFonts w:cs="Courier New"/>
          <w:sz w:val="20"/>
          <w:szCs w:val="20"/>
        </w:rPr>
        <w:t>“permanent emission default mode”</w:t>
      </w:r>
      <w:r w:rsidRPr="00394B6F">
        <w:rPr>
          <w:rFonts w:cs="Courier New"/>
          <w:sz w:val="20"/>
          <w:szCs w:val="20"/>
        </w:rPr>
        <w:t xml:space="preserve"> </w:t>
      </w:r>
      <w:r>
        <w:rPr>
          <w:rFonts w:cs="Courier New"/>
          <w:sz w:val="20"/>
          <w:szCs w:val="20"/>
        </w:rPr>
        <w:t>i</w:t>
      </w:r>
      <w:r w:rsidRPr="00F34275">
        <w:rPr>
          <w:rFonts w:cs="Courier New"/>
          <w:sz w:val="20"/>
          <w:szCs w:val="20"/>
        </w:rPr>
        <w:t>n UN Regulation No. 83</w:t>
      </w:r>
      <w:r w:rsidR="00603E75" w:rsidRPr="00F34275">
        <w:rPr>
          <w:rFonts w:cs="Courier New"/>
          <w:sz w:val="20"/>
          <w:szCs w:val="20"/>
        </w:rPr>
        <w:t>.</w:t>
      </w:r>
    </w:p>
    <w:p w14:paraId="3A5F903C" w14:textId="77777777" w:rsidR="00603E75" w:rsidRPr="00F34275" w:rsidRDefault="00603E75" w:rsidP="00603E75">
      <w:pPr>
        <w:spacing w:after="120"/>
        <w:ind w:left="1134" w:right="1179"/>
        <w:rPr>
          <w:rFonts w:cs="Courier New"/>
        </w:rPr>
      </w:pPr>
    </w:p>
    <w:p w14:paraId="7F14CF63" w14:textId="4C17F819" w:rsidR="00603E75" w:rsidRPr="00F34275" w:rsidRDefault="00603E75" w:rsidP="00F34275">
      <w:pPr>
        <w:pStyle w:val="Paragraphedeliste"/>
        <w:numPr>
          <w:ilvl w:val="0"/>
          <w:numId w:val="49"/>
        </w:numPr>
        <w:spacing w:after="120"/>
        <w:ind w:left="1134" w:right="1179" w:firstLine="0"/>
        <w:rPr>
          <w:rFonts w:eastAsia="Times New Roman" w:cs="Courier New"/>
          <w:kern w:val="0"/>
          <w:sz w:val="20"/>
          <w:szCs w:val="20"/>
          <w:lang w:eastAsia="en-US"/>
        </w:rPr>
      </w:pPr>
      <w:r w:rsidRPr="00F34275">
        <w:rPr>
          <w:rFonts w:cs="Courier New"/>
          <w:sz w:val="20"/>
          <w:szCs w:val="20"/>
        </w:rPr>
        <w:t>The term “permanent” is not further specified and leaves room for different interpretation</w:t>
      </w:r>
      <w:r w:rsidR="00F34275" w:rsidRPr="00F34275">
        <w:rPr>
          <w:rFonts w:cs="Courier New"/>
          <w:sz w:val="20"/>
          <w:szCs w:val="20"/>
        </w:rPr>
        <w:t>s</w:t>
      </w:r>
      <w:r w:rsidRPr="00F34275">
        <w:rPr>
          <w:rFonts w:cs="Courier New"/>
          <w:sz w:val="20"/>
          <w:szCs w:val="20"/>
        </w:rPr>
        <w:t>.</w:t>
      </w:r>
      <w:r w:rsidR="00F34275" w:rsidRPr="00F34275">
        <w:rPr>
          <w:rFonts w:cs="Courier New"/>
          <w:sz w:val="20"/>
          <w:szCs w:val="20"/>
        </w:rPr>
        <w:t xml:space="preserve"> </w:t>
      </w:r>
      <w:r w:rsidRPr="00F34275">
        <w:rPr>
          <w:rFonts w:eastAsia="Times New Roman" w:cs="Courier New"/>
          <w:kern w:val="0"/>
          <w:sz w:val="20"/>
          <w:szCs w:val="20"/>
          <w:lang w:eastAsia="en-US"/>
        </w:rPr>
        <w:t xml:space="preserve">A more precise definition of the term “permanent” in the context of emission default modes would be appreciated to make the </w:t>
      </w:r>
      <w:r w:rsidRPr="00F34275">
        <w:rPr>
          <w:rFonts w:cs="Courier New"/>
          <w:sz w:val="20"/>
          <w:szCs w:val="20"/>
        </w:rPr>
        <w:t>R</w:t>
      </w:r>
      <w:r w:rsidRPr="00F34275">
        <w:rPr>
          <w:rFonts w:eastAsia="Times New Roman" w:cs="Courier New"/>
          <w:kern w:val="0"/>
          <w:sz w:val="20"/>
          <w:szCs w:val="20"/>
          <w:lang w:eastAsia="en-US"/>
        </w:rPr>
        <w:t>egulation more comprehensive.</w:t>
      </w:r>
    </w:p>
    <w:p w14:paraId="5C650E90" w14:textId="77777777" w:rsidR="00603E75" w:rsidRPr="00F34275" w:rsidRDefault="00603E75" w:rsidP="00603E75">
      <w:pPr>
        <w:spacing w:after="120"/>
        <w:ind w:left="1134" w:right="1179"/>
        <w:rPr>
          <w:rFonts w:cs="Courier New"/>
          <w:sz w:val="16"/>
        </w:rPr>
      </w:pPr>
    </w:p>
    <w:p w14:paraId="2BEC7F0F" w14:textId="139E7966" w:rsidR="00603E75" w:rsidRPr="00F34275" w:rsidRDefault="00603E75" w:rsidP="00F34275">
      <w:pPr>
        <w:pStyle w:val="Paragraphedeliste"/>
        <w:numPr>
          <w:ilvl w:val="0"/>
          <w:numId w:val="49"/>
        </w:numPr>
        <w:spacing w:after="120"/>
        <w:ind w:left="1134" w:right="1179" w:firstLine="0"/>
        <w:rPr>
          <w:rFonts w:cs="Courier New"/>
          <w:sz w:val="20"/>
        </w:rPr>
      </w:pPr>
      <w:r w:rsidRPr="00F34275">
        <w:rPr>
          <w:rFonts w:cs="Courier New"/>
          <w:sz w:val="20"/>
        </w:rPr>
        <w:t xml:space="preserve">Activating the MI is only necessary in case the emissions exceed the applicable OBD </w:t>
      </w:r>
      <w:r w:rsidRPr="00F34275">
        <w:rPr>
          <w:rFonts w:cs="Courier New"/>
          <w:sz w:val="20"/>
        </w:rPr>
        <w:lastRenderedPageBreak/>
        <w:t>thresholds due to the activated “permanent emission default mode”. (Paragraph</w:t>
      </w:r>
      <w:r w:rsidR="00394B6F">
        <w:rPr>
          <w:rFonts w:cs="Courier New"/>
          <w:sz w:val="20"/>
        </w:rPr>
        <w:t>s</w:t>
      </w:r>
      <w:r w:rsidRPr="00F34275">
        <w:rPr>
          <w:rFonts w:cs="Courier New"/>
          <w:sz w:val="20"/>
        </w:rPr>
        <w:t xml:space="preserve"> 3.5.2 and 2.14)</w:t>
      </w:r>
    </w:p>
    <w:p w14:paraId="2AD326A3" w14:textId="77777777" w:rsidR="00603E75" w:rsidRPr="00F34275" w:rsidRDefault="00603E75" w:rsidP="00603E75">
      <w:pPr>
        <w:spacing w:after="120"/>
        <w:ind w:left="1134" w:right="1179"/>
        <w:rPr>
          <w:rFonts w:cs="Courier New"/>
          <w:sz w:val="16"/>
        </w:rPr>
      </w:pPr>
    </w:p>
    <w:p w14:paraId="017DF9EF" w14:textId="66AFB56E" w:rsidR="00603E75" w:rsidRPr="00F34275" w:rsidRDefault="00394B6F" w:rsidP="00F34275">
      <w:pPr>
        <w:pStyle w:val="Paragraphedeliste"/>
        <w:numPr>
          <w:ilvl w:val="0"/>
          <w:numId w:val="49"/>
        </w:numPr>
        <w:spacing w:after="120"/>
        <w:ind w:left="1134" w:right="1179" w:firstLine="0"/>
        <w:rPr>
          <w:rFonts w:cs="Courier New"/>
          <w:sz w:val="20"/>
        </w:rPr>
      </w:pPr>
      <w:r>
        <w:rPr>
          <w:rFonts w:cs="Courier New"/>
          <w:sz w:val="20"/>
        </w:rPr>
        <w:t>“</w:t>
      </w:r>
      <w:r w:rsidR="00603E75" w:rsidRPr="00F34275">
        <w:rPr>
          <w:rFonts w:cs="Courier New"/>
          <w:sz w:val="20"/>
        </w:rPr>
        <w:t>Permanent</w:t>
      </w:r>
      <w:r>
        <w:rPr>
          <w:rFonts w:cs="Courier New"/>
          <w:sz w:val="20"/>
        </w:rPr>
        <w:t>”</w:t>
      </w:r>
      <w:r w:rsidR="00603E75" w:rsidRPr="00F34275">
        <w:rPr>
          <w:rFonts w:cs="Courier New"/>
          <w:sz w:val="20"/>
        </w:rPr>
        <w:t xml:space="preserve"> can be considered as not recoverable in the next driving cycle, i.e. the diagnostic or control strategy that caused the emission default mode cannot run in the next driving cycle again and cannot confirm that the condition that caused the emission default mode is not present anymore. A short or a temporary default mode, e.g. for component protection, is recoverable and therefore not seen as permanent. </w:t>
      </w:r>
    </w:p>
    <w:p w14:paraId="58E9FA93" w14:textId="77777777" w:rsidR="00603E75" w:rsidRPr="00F34275" w:rsidRDefault="00603E75" w:rsidP="00603E75">
      <w:pPr>
        <w:spacing w:after="120"/>
        <w:ind w:right="1179"/>
        <w:rPr>
          <w:rFonts w:cs="Courier New"/>
          <w:sz w:val="16"/>
        </w:rPr>
      </w:pPr>
    </w:p>
    <w:p w14:paraId="233EAE73" w14:textId="77777777" w:rsidR="00603E75" w:rsidRPr="00F34275" w:rsidRDefault="00603E75" w:rsidP="00F34275">
      <w:pPr>
        <w:pStyle w:val="Paragraphedeliste"/>
        <w:numPr>
          <w:ilvl w:val="0"/>
          <w:numId w:val="49"/>
        </w:numPr>
        <w:spacing w:after="120"/>
        <w:ind w:left="1134" w:right="1179" w:firstLine="0"/>
        <w:rPr>
          <w:rFonts w:cs="Courier New"/>
          <w:color w:val="FF0000"/>
          <w:sz w:val="20"/>
        </w:rPr>
      </w:pPr>
      <w:r w:rsidRPr="00F34275">
        <w:rPr>
          <w:rFonts w:cs="Courier New"/>
          <w:sz w:val="20"/>
        </w:rPr>
        <w:t xml:space="preserve">“Limp-home routines” means any default mode other than emission default mode. For </w:t>
      </w:r>
      <w:r w:rsidRPr="00F34275">
        <w:rPr>
          <w:rFonts w:cs="Courier New"/>
          <w:color w:val="000000" w:themeColor="text1"/>
          <w:sz w:val="20"/>
        </w:rPr>
        <w:t>example</w:t>
      </w:r>
      <w:r w:rsidRPr="00F34275">
        <w:rPr>
          <w:rFonts w:cs="Courier New"/>
          <w:sz w:val="20"/>
        </w:rPr>
        <w:t>, a limp-home routine could be a limitation of vehicle speed or engine power due to safety related failures within the stability control.</w:t>
      </w:r>
    </w:p>
    <w:p w14:paraId="11171158" w14:textId="77777777"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1974" w14:textId="77777777" w:rsidR="00484DBC" w:rsidRDefault="00484DBC"/>
  </w:endnote>
  <w:endnote w:type="continuationSeparator" w:id="0">
    <w:p w14:paraId="1D68AB59" w14:textId="77777777" w:rsidR="00484DBC" w:rsidRDefault="00484DBC"/>
  </w:endnote>
  <w:endnote w:type="continuationNotice" w:id="1">
    <w:p w14:paraId="430E22C0"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Yu Gothic UI"/>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23B2" w14:textId="77777777" w:rsidR="00484DBC" w:rsidRDefault="00484DBC" w:rsidP="003E02FC">
    <w:pPr>
      <w:pStyle w:val="Pieddepage"/>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337C" w14:textId="77777777" w:rsidR="00484DBC" w:rsidRDefault="00484DBC" w:rsidP="003E02FC">
    <w:pPr>
      <w:pStyle w:val="Pieddepag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FCF7" w14:textId="77777777" w:rsidR="00484DBC" w:rsidRDefault="00484DBC" w:rsidP="00282C70">
    <w:pPr>
      <w:pStyle w:val="SingleTxtG"/>
      <w:ind w:left="0"/>
    </w:pPr>
  </w:p>
  <w:p w14:paraId="6ADC5197"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134B"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6250583A"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4EF371A9"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5990" w14:textId="7DD94414" w:rsidR="00484DBC" w:rsidRPr="003E02FC" w:rsidRDefault="00484DBC" w:rsidP="00680887">
    <w:pPr>
      <w:pStyle w:val="En-tte"/>
      <w:rPr>
        <w:lang w:val="fr-CH"/>
      </w:rPr>
    </w:pPr>
    <w:r>
      <w:rPr>
        <w:lang w:val="fr-CH"/>
      </w:rPr>
      <w:t>GRPE-7</w:t>
    </w:r>
    <w:r w:rsidR="00AB4B45">
      <w:rPr>
        <w:lang w:val="fr-CH"/>
      </w:rPr>
      <w:t>9</w:t>
    </w:r>
    <w:r>
      <w:rPr>
        <w:lang w:val="fr-CH"/>
      </w:rPr>
      <w:t>-</w:t>
    </w:r>
    <w:r w:rsidR="0015017A">
      <w:rPr>
        <w:lang w:val="fr-CH"/>
      </w:rPr>
      <w:t>1</w:t>
    </w:r>
    <w:r w:rsidR="00AB4B45">
      <w:rPr>
        <w:lang w:val="fr-CH"/>
      </w:rPr>
      <w:t>5</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E974" w14:textId="77777777" w:rsidR="00484DBC" w:rsidRPr="004C4175" w:rsidRDefault="004C4175" w:rsidP="004C4175">
    <w:pPr>
      <w:pStyle w:val="En-tte"/>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AB4B45" w14:paraId="50A816BC" w14:textId="77777777" w:rsidTr="00EE2605">
      <w:trPr>
        <w:trHeight w:hRule="exact" w:val="991"/>
      </w:trPr>
      <w:tc>
        <w:tcPr>
          <w:tcW w:w="5103" w:type="dxa"/>
          <w:shd w:val="clear" w:color="auto" w:fill="auto"/>
        </w:tcPr>
        <w:p w14:paraId="0FBC1ED4" w14:textId="77777777" w:rsidR="00EE2605" w:rsidRPr="0035238E" w:rsidRDefault="00EE2605" w:rsidP="00EE260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14:paraId="3EF76B4E" w14:textId="3396D577" w:rsidR="00EE2605" w:rsidRPr="00AB4B45" w:rsidRDefault="00EE2605" w:rsidP="00A143CD">
          <w:pPr>
            <w:jc w:val="right"/>
            <w:rPr>
              <w:lang w:val="en-US"/>
            </w:rPr>
          </w:pPr>
          <w:r w:rsidRPr="00AB4B45">
            <w:rPr>
              <w:lang w:val="en-US"/>
            </w:rPr>
            <w:t xml:space="preserve">Informal document </w:t>
          </w:r>
          <w:r w:rsidRPr="00AB4B45">
            <w:rPr>
              <w:b/>
              <w:lang w:val="en-US"/>
            </w:rPr>
            <w:t>GRPE-7</w:t>
          </w:r>
          <w:r w:rsidR="00A143CD" w:rsidRPr="00AB4B45">
            <w:rPr>
              <w:b/>
              <w:lang w:val="en-US"/>
            </w:rPr>
            <w:t>9</w:t>
          </w:r>
          <w:r w:rsidRPr="00AB4B45">
            <w:rPr>
              <w:b/>
              <w:lang w:val="en-US"/>
            </w:rPr>
            <w:t>-</w:t>
          </w:r>
          <w:r w:rsidR="00AB4B45" w:rsidRPr="00AB4B45">
            <w:rPr>
              <w:b/>
              <w:lang w:val="en-US"/>
            </w:rPr>
            <w:t>15</w:t>
          </w:r>
        </w:p>
        <w:p w14:paraId="34DC6355" w14:textId="572379E0" w:rsidR="00EE2605" w:rsidRPr="00AB4B45" w:rsidRDefault="00EE2605" w:rsidP="00EE2605">
          <w:pPr>
            <w:widowControl w:val="0"/>
            <w:tabs>
              <w:tab w:val="center" w:pos="4677"/>
              <w:tab w:val="right" w:pos="9355"/>
            </w:tabs>
            <w:ind w:left="567"/>
            <w:jc w:val="right"/>
            <w:rPr>
              <w:rFonts w:eastAsia="HGSGothicM"/>
              <w:kern w:val="2"/>
              <w:lang w:val="en-US" w:eastAsia="ko-KR"/>
            </w:rPr>
          </w:pPr>
          <w:r w:rsidRPr="00AB4B45">
            <w:rPr>
              <w:rFonts w:eastAsia="HGSGothicM"/>
              <w:kern w:val="2"/>
              <w:lang w:val="en-US" w:eastAsia="ar-SA"/>
            </w:rPr>
            <w:t>7</w:t>
          </w:r>
          <w:r w:rsidR="00A143CD" w:rsidRPr="00AB4B45">
            <w:rPr>
              <w:rFonts w:eastAsia="HGSGothicM"/>
              <w:kern w:val="2"/>
              <w:lang w:val="en-US" w:eastAsia="ar-SA"/>
            </w:rPr>
            <w:t>9</w:t>
          </w:r>
          <w:r w:rsidRPr="00AB4B45">
            <w:rPr>
              <w:rFonts w:eastAsia="HGSGothicM"/>
              <w:kern w:val="2"/>
              <w:vertAlign w:val="superscript"/>
              <w:lang w:val="en-US" w:eastAsia="ar-SA"/>
            </w:rPr>
            <w:t>th</w:t>
          </w:r>
          <w:r w:rsidRPr="00AB4B45">
            <w:rPr>
              <w:rFonts w:eastAsia="HGSGothicM"/>
              <w:kern w:val="2"/>
              <w:lang w:val="en-US" w:eastAsia="ar-SA"/>
            </w:rPr>
            <w:t xml:space="preserve"> GRPE, </w:t>
          </w:r>
          <w:r w:rsidR="00A143CD" w:rsidRPr="00AB4B45">
            <w:rPr>
              <w:rFonts w:eastAsia="HGSGothicM"/>
              <w:kern w:val="2"/>
              <w:lang w:val="en-US" w:eastAsia="ja-JP"/>
            </w:rPr>
            <w:t>21</w:t>
          </w:r>
          <w:r w:rsidRPr="00AB4B45">
            <w:rPr>
              <w:rFonts w:eastAsia="HGSGothicM" w:hint="eastAsia"/>
              <w:kern w:val="2"/>
              <w:lang w:val="en-US" w:eastAsia="ja-JP"/>
            </w:rPr>
            <w:t>-</w:t>
          </w:r>
          <w:r w:rsidR="00A143CD" w:rsidRPr="00AB4B45">
            <w:rPr>
              <w:rFonts w:eastAsia="HGSGothicM"/>
              <w:kern w:val="2"/>
              <w:lang w:val="en-US" w:eastAsia="ja-JP"/>
            </w:rPr>
            <w:t>24</w:t>
          </w:r>
          <w:r w:rsidRPr="00AB4B45">
            <w:rPr>
              <w:rFonts w:eastAsia="HGSGothicM"/>
              <w:kern w:val="2"/>
              <w:lang w:val="en-US" w:eastAsia="ar-SA"/>
            </w:rPr>
            <w:t xml:space="preserve"> </w:t>
          </w:r>
          <w:r w:rsidR="00A143CD" w:rsidRPr="00AB4B45">
            <w:rPr>
              <w:rFonts w:eastAsia="HGSGothicM"/>
              <w:kern w:val="2"/>
              <w:lang w:val="en-US" w:eastAsia="ar-SA"/>
            </w:rPr>
            <w:t>May</w:t>
          </w:r>
          <w:r w:rsidRPr="00AB4B45">
            <w:rPr>
              <w:rFonts w:eastAsia="HGSGothicM"/>
              <w:kern w:val="2"/>
              <w:lang w:val="en-US" w:eastAsia="ar-SA"/>
            </w:rPr>
            <w:t xml:space="preserve"> 2019</w:t>
          </w:r>
          <w:r w:rsidRPr="00AB4B45">
            <w:rPr>
              <w:rFonts w:eastAsia="HGSGothicM"/>
              <w:kern w:val="2"/>
              <w:lang w:val="en-US" w:eastAsia="ko-KR"/>
            </w:rPr>
            <w:t xml:space="preserve">, </w:t>
          </w:r>
        </w:p>
        <w:p w14:paraId="05DB7F1C" w14:textId="77777777" w:rsidR="00EE2605" w:rsidRPr="00AB4B45" w:rsidRDefault="00EE2605" w:rsidP="00EE2605">
          <w:pPr>
            <w:widowControl w:val="0"/>
            <w:tabs>
              <w:tab w:val="center" w:pos="4677"/>
              <w:tab w:val="right" w:pos="9355"/>
            </w:tabs>
            <w:ind w:left="567"/>
            <w:jc w:val="right"/>
            <w:rPr>
              <w:rFonts w:ascii="HGSGothicM" w:eastAsia="HGSGothicM" w:hAnsi="Century"/>
              <w:kern w:val="2"/>
              <w:lang w:val="en-US" w:eastAsia="ar-SA"/>
            </w:rPr>
          </w:pPr>
          <w:r w:rsidRPr="00AB4B45">
            <w:rPr>
              <w:rFonts w:eastAsia="HGSGothicM"/>
              <w:kern w:val="2"/>
              <w:lang w:val="en-US" w:eastAsia="ko-KR"/>
            </w:rPr>
            <w:t xml:space="preserve"> </w:t>
          </w:r>
          <w:r w:rsidRPr="00AB4B45">
            <w:rPr>
              <w:rFonts w:eastAsia="HGSGothicM"/>
              <w:kern w:val="2"/>
              <w:lang w:val="en-US" w:eastAsia="ar-SA"/>
            </w:rPr>
            <w:t xml:space="preserve">agenda item </w:t>
          </w:r>
          <w:r w:rsidRPr="00AB4B45">
            <w:rPr>
              <w:rFonts w:eastAsia="HGSGothicM" w:hint="eastAsia"/>
              <w:kern w:val="2"/>
              <w:lang w:val="en-US" w:eastAsia="ja-JP"/>
            </w:rPr>
            <w:t>3(</w:t>
          </w:r>
          <w:r w:rsidRPr="00AB4B45">
            <w:rPr>
              <w:rFonts w:eastAsia="HGSGothicM"/>
              <w:kern w:val="2"/>
              <w:lang w:val="en-US" w:eastAsia="ja-JP"/>
            </w:rPr>
            <w:t>a)</w:t>
          </w:r>
        </w:p>
      </w:tc>
    </w:tr>
  </w:tbl>
  <w:p w14:paraId="5B7D01A9" w14:textId="77777777" w:rsidR="00484DBC" w:rsidRPr="00A143CD" w:rsidRDefault="00484DBC" w:rsidP="00EE2605">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2EE3E59"/>
    <w:multiLevelType w:val="hybridMultilevel"/>
    <w:tmpl w:val="182C946E"/>
    <w:lvl w:ilvl="0" w:tplc="A67C57BC">
      <w:start w:val="3"/>
      <w:numFmt w:val="bullet"/>
      <w:lvlText w:val="-"/>
      <w:lvlJc w:val="left"/>
      <w:pPr>
        <w:ind w:left="2619" w:hanging="360"/>
      </w:pPr>
      <w:rPr>
        <w:rFonts w:ascii="Times New Roman" w:eastAsia="Times New Roman" w:hAnsi="Times New Roman" w:cs="Times New Roman"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33"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9C4374"/>
    <w:multiLevelType w:val="hybridMultilevel"/>
    <w:tmpl w:val="76DEC35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7"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0"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1" w15:restartNumberingAfterBreak="0">
    <w:nsid w:val="70605599"/>
    <w:multiLevelType w:val="hybridMultilevel"/>
    <w:tmpl w:val="964C8E8E"/>
    <w:lvl w:ilvl="0" w:tplc="59D22F12">
      <w:start w:val="1"/>
      <w:numFmt w:val="decimal"/>
      <w:lvlText w:val="%1."/>
      <w:lvlJc w:val="left"/>
      <w:pPr>
        <w:ind w:left="1854" w:hanging="360"/>
      </w:pPr>
      <w:rPr>
        <w:color w:val="000000" w:themeColor="text1"/>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66665"/>
    <w:multiLevelType w:val="hybridMultilevel"/>
    <w:tmpl w:val="350C888A"/>
    <w:lvl w:ilvl="0" w:tplc="7ABAD2A8">
      <w:start w:val="3"/>
      <w:numFmt w:val="bullet"/>
      <w:lvlText w:val="-"/>
      <w:lvlJc w:val="left"/>
      <w:pPr>
        <w:ind w:left="2619" w:hanging="360"/>
      </w:pPr>
      <w:rPr>
        <w:rFonts w:ascii="Times New Roman" w:eastAsia="Times New Roman" w:hAnsi="Times New Roman" w:cs="Times New Roman"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45"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7"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4"/>
  </w:num>
  <w:num w:numId="14">
    <w:abstractNumId w:val="38"/>
  </w:num>
  <w:num w:numId="15">
    <w:abstractNumId w:val="43"/>
  </w:num>
  <w:num w:numId="16">
    <w:abstractNumId w:val="21"/>
  </w:num>
  <w:num w:numId="17">
    <w:abstractNumId w:val="47"/>
  </w:num>
  <w:num w:numId="18">
    <w:abstractNumId w:val="39"/>
  </w:num>
  <w:num w:numId="19">
    <w:abstractNumId w:val="27"/>
  </w:num>
  <w:num w:numId="20">
    <w:abstractNumId w:val="26"/>
  </w:num>
  <w:num w:numId="21">
    <w:abstractNumId w:val="23"/>
  </w:num>
  <w:num w:numId="22">
    <w:abstractNumId w:val="42"/>
  </w:num>
  <w:num w:numId="23">
    <w:abstractNumId w:val="48"/>
  </w:num>
  <w:num w:numId="24">
    <w:abstractNumId w:val="11"/>
  </w:num>
  <w:num w:numId="25">
    <w:abstractNumId w:val="46"/>
  </w:num>
  <w:num w:numId="26">
    <w:abstractNumId w:val="19"/>
  </w:num>
  <w:num w:numId="27">
    <w:abstractNumId w:val="13"/>
  </w:num>
  <w:num w:numId="28">
    <w:abstractNumId w:val="28"/>
  </w:num>
  <w:num w:numId="29">
    <w:abstractNumId w:val="17"/>
  </w:num>
  <w:num w:numId="30">
    <w:abstractNumId w:val="30"/>
  </w:num>
  <w:num w:numId="31">
    <w:abstractNumId w:val="34"/>
  </w:num>
  <w:num w:numId="32">
    <w:abstractNumId w:val="25"/>
  </w:num>
  <w:num w:numId="33">
    <w:abstractNumId w:val="15"/>
  </w:num>
  <w:num w:numId="34">
    <w:abstractNumId w:val="24"/>
  </w:num>
  <w:num w:numId="35">
    <w:abstractNumId w:val="37"/>
  </w:num>
  <w:num w:numId="36">
    <w:abstractNumId w:val="29"/>
  </w:num>
  <w:num w:numId="37">
    <w:abstractNumId w:val="40"/>
  </w:num>
  <w:num w:numId="38">
    <w:abstractNumId w:val="16"/>
  </w:num>
  <w:num w:numId="39">
    <w:abstractNumId w:val="22"/>
  </w:num>
  <w:num w:numId="40">
    <w:abstractNumId w:val="20"/>
  </w:num>
  <w:num w:numId="41">
    <w:abstractNumId w:val="10"/>
  </w:num>
  <w:num w:numId="42">
    <w:abstractNumId w:val="31"/>
  </w:num>
  <w:num w:numId="43">
    <w:abstractNumId w:val="45"/>
  </w:num>
  <w:num w:numId="44">
    <w:abstractNumId w:val="33"/>
  </w:num>
  <w:num w:numId="45">
    <w:abstractNumId w:val="12"/>
  </w:num>
  <w:num w:numId="46">
    <w:abstractNumId w:val="44"/>
  </w:num>
  <w:num w:numId="47">
    <w:abstractNumId w:val="32"/>
  </w:num>
  <w:num w:numId="48">
    <w:abstractNumId w:val="36"/>
  </w:num>
  <w:num w:numId="4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34A5"/>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4B6F"/>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34EC"/>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3E7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3F7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3CD"/>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4B4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2D6C"/>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1AC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275"/>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FDA98"/>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F60CD5"/>
    <w:rPr>
      <w:rFonts w:cs="Courier New"/>
    </w:rPr>
  </w:style>
  <w:style w:type="paragraph" w:styleId="Corpsdetexte">
    <w:name w:val="Body Text"/>
    <w:basedOn w:val="Normal"/>
    <w:next w:val="Normal"/>
    <w:semiHidden/>
    <w:rsid w:val="00F60CD5"/>
  </w:style>
  <w:style w:type="paragraph" w:styleId="Retraitcorpsdetexte">
    <w:name w:val="Body Text Indent"/>
    <w:basedOn w:val="Normal"/>
    <w:semiHidden/>
    <w:rsid w:val="00F60CD5"/>
    <w:pPr>
      <w:spacing w:after="120"/>
      <w:ind w:left="283"/>
    </w:pPr>
  </w:style>
  <w:style w:type="paragraph" w:styleId="Normalcentr">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uiPriority w:val="99"/>
    <w:rsid w:val="00F60CD5"/>
    <w:rPr>
      <w:sz w:val="6"/>
    </w:rPr>
  </w:style>
  <w:style w:type="paragraph" w:styleId="Commentaire">
    <w:name w:val="annotation text"/>
    <w:basedOn w:val="Normal"/>
    <w:link w:val="CommentaireCar"/>
    <w:uiPriority w:val="99"/>
    <w:rsid w:val="00F60CD5"/>
    <w:rPr>
      <w:lang w:val="x-none"/>
    </w:rPr>
  </w:style>
  <w:style w:type="character" w:styleId="Numrodeligne">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DA77C0"/>
    <w:rPr>
      <w:sz w:val="16"/>
      <w:lang w:val="en-GB" w:eastAsia="en-US" w:bidi="ar-SA"/>
    </w:rPr>
  </w:style>
  <w:style w:type="paragraph" w:styleId="Paragraphedeliste">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790AED"/>
    <w:rPr>
      <w:lang w:val="en-GB" w:eastAsia="en-US" w:bidi="ar-SA"/>
    </w:rPr>
  </w:style>
  <w:style w:type="character" w:customStyle="1" w:styleId="NormalWebCar">
    <w:name w:val="Normal (Web) C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NotedebasdepageCar">
    <w:name w:val="Note de bas de page Car"/>
    <w:aliases w:val="5_G Car,PP Car,Footnote Text Char Car"/>
    <w:link w:val="Notedebasdepage"/>
    <w:rsid w:val="00837CC7"/>
    <w:rPr>
      <w:sz w:val="18"/>
      <w:lang w:val="en-GB" w:eastAsia="en-US" w:bidi="ar-SA"/>
    </w:rPr>
  </w:style>
  <w:style w:type="character" w:customStyle="1" w:styleId="En-tteCar">
    <w:name w:val="En-tête Car"/>
    <w:aliases w:val="6_G Car"/>
    <w:link w:val="En-tte"/>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Textedebulles">
    <w:name w:val="Balloon Text"/>
    <w:basedOn w:val="Normal"/>
    <w:link w:val="TextedebullesCar"/>
    <w:rsid w:val="0083784A"/>
    <w:pPr>
      <w:spacing w:line="240" w:lineRule="auto"/>
    </w:pPr>
    <w:rPr>
      <w:rFonts w:ascii="Tahoma" w:hAnsi="Tahoma"/>
      <w:sz w:val="16"/>
      <w:szCs w:val="16"/>
      <w:lang w:val="x-none"/>
    </w:rPr>
  </w:style>
  <w:style w:type="character" w:customStyle="1" w:styleId="TextedebullesCar">
    <w:name w:val="Texte de bulles Car"/>
    <w:link w:val="Textedebulles"/>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Objetducommentaire">
    <w:name w:val="annotation subject"/>
    <w:basedOn w:val="Commentaire"/>
    <w:next w:val="Commentaire"/>
    <w:link w:val="ObjetducommentaireCar"/>
    <w:rsid w:val="007C4E68"/>
    <w:pPr>
      <w:spacing w:line="240" w:lineRule="auto"/>
    </w:pPr>
    <w:rPr>
      <w:b/>
      <w:bCs/>
    </w:rPr>
  </w:style>
  <w:style w:type="character" w:customStyle="1" w:styleId="CommentaireCar">
    <w:name w:val="Commentaire Car"/>
    <w:link w:val="Commentaire"/>
    <w:uiPriority w:val="99"/>
    <w:rsid w:val="007C4E68"/>
    <w:rPr>
      <w:lang w:eastAsia="en-US"/>
    </w:rPr>
  </w:style>
  <w:style w:type="character" w:customStyle="1" w:styleId="ObjetducommentaireCar">
    <w:name w:val="Objet du commentaire Car"/>
    <w:link w:val="Objetducommentaire"/>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TableauNormal"/>
    <w:next w:val="Grilledutableau"/>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Textedelespacerserv">
    <w:name w:val="Placeholder Text"/>
    <w:basedOn w:val="Policepardfau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2C8C-5F6A-4EBB-A18E-3B7609A0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430</Words>
  <Characters>2453</Characters>
  <Application>Microsoft Office Word</Application>
  <DocSecurity>0</DocSecurity>
  <Lines>20</Lines>
  <Paragraphs>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2019-05-21T09:39:00Z</dcterms:created>
  <dcterms:modified xsi:type="dcterms:W3CDTF">2019-05-21T18:05:00Z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