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DE1F34">
            <w:pPr>
              <w:jc w:val="right"/>
            </w:pPr>
            <w:r w:rsidRPr="00FD4196">
              <w:rPr>
                <w:sz w:val="40"/>
              </w:rPr>
              <w:t>ECE</w:t>
            </w:r>
            <w:r w:rsidR="002077C3" w:rsidRPr="00FD4196">
              <w:t>/TRANS/WP.29/GRPE/</w:t>
            </w:r>
            <w:r w:rsidR="00660C48">
              <w:t>201</w:t>
            </w:r>
            <w:r w:rsidR="00DE1F34">
              <w:t>9</w:t>
            </w:r>
            <w:r w:rsidR="00DB2094">
              <w:t>/</w:t>
            </w:r>
            <w:r w:rsidR="00AA4633">
              <w:t>7</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val="en-US" w:eastAsia="zh-CN"/>
              </w:rPr>
              <w:drawing>
                <wp:inline distT="0" distB="0" distL="0" distR="0" wp14:anchorId="4A9C5D13" wp14:editId="6BAB728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776AE7" w:rsidRPr="00776AE7" w:rsidRDefault="00776AE7" w:rsidP="00776AE7">
            <w:pPr>
              <w:spacing w:before="240" w:line="240" w:lineRule="exact"/>
              <w:rPr>
                <w:rFonts w:eastAsia="MS Mincho"/>
              </w:rPr>
            </w:pPr>
            <w:r w:rsidRPr="00776AE7">
              <w:rPr>
                <w:rFonts w:eastAsia="MS Mincho"/>
              </w:rPr>
              <w:t>Distr.: General</w:t>
            </w:r>
          </w:p>
          <w:p w:rsidR="00776AE7" w:rsidRPr="00776AE7" w:rsidRDefault="00246639" w:rsidP="00776AE7">
            <w:pPr>
              <w:spacing w:line="240" w:lineRule="exact"/>
              <w:rPr>
                <w:rFonts w:eastAsia="MS Mincho"/>
                <w:lang w:eastAsia="ja-JP"/>
              </w:rPr>
            </w:pPr>
            <w:r>
              <w:rPr>
                <w:rFonts w:eastAsia="MS Mincho"/>
                <w:lang w:eastAsia="ja-JP"/>
              </w:rPr>
              <w:t>26</w:t>
            </w:r>
            <w:r w:rsidR="00776AE7" w:rsidRPr="00776AE7">
              <w:rPr>
                <w:rFonts w:eastAsia="MS Mincho"/>
              </w:rPr>
              <w:t xml:space="preserve"> October 201</w:t>
            </w:r>
            <w:r w:rsidR="00DE1F34">
              <w:rPr>
                <w:rFonts w:eastAsia="MS Mincho"/>
                <w:lang w:eastAsia="ja-JP"/>
              </w:rPr>
              <w:t>8</w:t>
            </w:r>
          </w:p>
          <w:p w:rsidR="00776AE7" w:rsidRPr="00776AE7" w:rsidRDefault="00776AE7" w:rsidP="00776AE7">
            <w:pPr>
              <w:spacing w:line="240" w:lineRule="exact"/>
              <w:rPr>
                <w:rFonts w:eastAsia="MS Mincho"/>
              </w:rPr>
            </w:pPr>
          </w:p>
          <w:p w:rsidR="0090004D" w:rsidRPr="00DB2094" w:rsidRDefault="00776AE7" w:rsidP="00776AE7">
            <w:pPr>
              <w:spacing w:line="240" w:lineRule="exact"/>
            </w:pPr>
            <w:r w:rsidRPr="00776AE7">
              <w:rPr>
                <w:rFonts w:eastAsia="MS Mincho"/>
              </w:rPr>
              <w:t>Original: English</w:t>
            </w:r>
          </w:p>
        </w:tc>
      </w:tr>
    </w:tbl>
    <w:p w:rsidR="00776AE7" w:rsidRPr="00776AE7" w:rsidRDefault="00776AE7" w:rsidP="00776AE7">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rsidR="00776AE7" w:rsidRPr="00776AE7" w:rsidRDefault="00776AE7" w:rsidP="00776AE7">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rsidR="00776AE7" w:rsidRPr="00776AE7" w:rsidRDefault="00776AE7" w:rsidP="00776AE7">
      <w:pPr>
        <w:tabs>
          <w:tab w:val="left" w:pos="567"/>
          <w:tab w:val="left" w:pos="1134"/>
        </w:tabs>
        <w:spacing w:before="120"/>
        <w:rPr>
          <w:rFonts w:eastAsia="MS Mincho"/>
          <w:sz w:val="22"/>
          <w:szCs w:val="22"/>
        </w:rPr>
      </w:pPr>
      <w:r w:rsidRPr="00776AE7">
        <w:rPr>
          <w:rFonts w:eastAsia="MS Mincho"/>
          <w:b/>
          <w:bCs/>
          <w:sz w:val="24"/>
          <w:szCs w:val="24"/>
        </w:rPr>
        <w:t xml:space="preserve">World Forum for Harmonization of Vehicle Regulations </w:t>
      </w:r>
    </w:p>
    <w:p w:rsidR="00776AE7" w:rsidRPr="00776AE7" w:rsidRDefault="00776AE7" w:rsidP="00776AE7">
      <w:pPr>
        <w:tabs>
          <w:tab w:val="left" w:pos="567"/>
          <w:tab w:val="left" w:pos="1134"/>
        </w:tabs>
        <w:spacing w:before="120" w:after="120"/>
        <w:rPr>
          <w:rFonts w:eastAsia="MS Mincho"/>
          <w:b/>
          <w:bCs/>
        </w:rPr>
      </w:pPr>
      <w:r w:rsidRPr="00776AE7">
        <w:rPr>
          <w:rFonts w:eastAsia="MS Mincho"/>
          <w:b/>
          <w:bCs/>
        </w:rPr>
        <w:t>Working Party on Pollution and Energy</w:t>
      </w:r>
    </w:p>
    <w:p w:rsidR="00776AE7" w:rsidRPr="00776AE7" w:rsidRDefault="00776AE7" w:rsidP="00776AE7">
      <w:pPr>
        <w:rPr>
          <w:rFonts w:eastAsia="MS Mincho"/>
          <w:b/>
        </w:rPr>
      </w:pPr>
      <w:r w:rsidRPr="00776AE7">
        <w:rPr>
          <w:rFonts w:eastAsia="MS Mincho"/>
          <w:b/>
        </w:rPr>
        <w:t>Seventy-</w:t>
      </w:r>
      <w:r w:rsidR="00AA4633">
        <w:rPr>
          <w:rFonts w:eastAsia="MS Mincho"/>
          <w:b/>
        </w:rPr>
        <w:t>eigh</w:t>
      </w:r>
      <w:r w:rsidRPr="00776AE7">
        <w:rPr>
          <w:rFonts w:eastAsia="MS Mincho"/>
          <w:b/>
        </w:rPr>
        <w:t>th session</w:t>
      </w:r>
    </w:p>
    <w:p w:rsidR="00776AE7" w:rsidRPr="00776AE7" w:rsidRDefault="00776AE7" w:rsidP="00776AE7">
      <w:pPr>
        <w:tabs>
          <w:tab w:val="left" w:pos="567"/>
          <w:tab w:val="left" w:pos="1134"/>
        </w:tabs>
        <w:rPr>
          <w:rFonts w:eastAsia="MS Mincho"/>
          <w:bCs/>
        </w:rPr>
      </w:pPr>
      <w:r w:rsidRPr="00776AE7">
        <w:rPr>
          <w:rFonts w:eastAsia="MS Mincho"/>
        </w:rPr>
        <w:t>Geneva</w:t>
      </w:r>
      <w:r w:rsidRPr="00776AE7">
        <w:rPr>
          <w:rFonts w:eastAsia="MS Mincho"/>
          <w:bCs/>
        </w:rPr>
        <w:t xml:space="preserve">, </w:t>
      </w:r>
      <w:r w:rsidR="00AA4633">
        <w:rPr>
          <w:rFonts w:eastAsia="MS Mincho"/>
          <w:bCs/>
        </w:rPr>
        <w:t>8</w:t>
      </w:r>
      <w:r w:rsidRPr="00776AE7">
        <w:rPr>
          <w:rFonts w:eastAsia="MS Mincho"/>
          <w:bCs/>
        </w:rPr>
        <w:t>-1</w:t>
      </w:r>
      <w:r w:rsidR="00DE1F34">
        <w:rPr>
          <w:rFonts w:eastAsia="MS Mincho"/>
          <w:bCs/>
        </w:rPr>
        <w:t>1</w:t>
      </w:r>
      <w:r w:rsidRPr="00776AE7">
        <w:rPr>
          <w:rFonts w:eastAsia="MS Mincho"/>
          <w:bCs/>
        </w:rPr>
        <w:t xml:space="preserve"> January 201</w:t>
      </w:r>
      <w:r w:rsidR="004E6BE0">
        <w:rPr>
          <w:rFonts w:eastAsia="MS Mincho"/>
          <w:bCs/>
        </w:rPr>
        <w:t>9</w:t>
      </w:r>
    </w:p>
    <w:p w:rsidR="00776AE7" w:rsidRPr="00776AE7" w:rsidRDefault="00776AE7" w:rsidP="00776AE7">
      <w:pPr>
        <w:rPr>
          <w:rFonts w:eastAsia="MS Mincho"/>
        </w:rPr>
      </w:pPr>
      <w:r w:rsidRPr="00776AE7">
        <w:rPr>
          <w:rFonts w:eastAsia="MS Mincho"/>
        </w:rPr>
        <w:t xml:space="preserve">Item </w:t>
      </w:r>
      <w:r>
        <w:rPr>
          <w:rFonts w:eastAsia="MS Mincho"/>
        </w:rPr>
        <w:t>5</w:t>
      </w:r>
      <w:r w:rsidRPr="00776AE7">
        <w:rPr>
          <w:rFonts w:eastAsia="MS Mincho"/>
        </w:rPr>
        <w:t xml:space="preserve"> of the provisional agenda</w:t>
      </w:r>
    </w:p>
    <w:p w:rsidR="009C3E09" w:rsidRPr="00DA63CE" w:rsidRDefault="00AA4633" w:rsidP="009C3E09">
      <w:pPr>
        <w:tabs>
          <w:tab w:val="left" w:pos="567"/>
          <w:tab w:val="left" w:pos="1134"/>
        </w:tabs>
        <w:rPr>
          <w:b/>
          <w:bCs/>
        </w:rPr>
      </w:pPr>
      <w:r>
        <w:rPr>
          <w:b/>
          <w:bCs/>
        </w:rPr>
        <w:t xml:space="preserve">UN </w:t>
      </w:r>
      <w:r w:rsidRPr="006F00F3">
        <w:rPr>
          <w:b/>
          <w:bCs/>
        </w:rPr>
        <w:t xml:space="preserve">Regulations Nos. </w:t>
      </w:r>
      <w:r>
        <w:rPr>
          <w:b/>
          <w:bCs/>
        </w:rPr>
        <w:t>24 (</w:t>
      </w:r>
      <w:r w:rsidRPr="004E1284">
        <w:rPr>
          <w:b/>
          <w:bCs/>
        </w:rPr>
        <w:t>Visible pollutants, measurement of power</w:t>
      </w:r>
      <w:r>
        <w:rPr>
          <w:b/>
          <w:bCs/>
        </w:rPr>
        <w:br/>
      </w:r>
      <w:r w:rsidRPr="004E1284">
        <w:rPr>
          <w:b/>
          <w:bCs/>
        </w:rPr>
        <w:t>of C.I. engine</w:t>
      </w:r>
      <w:r>
        <w:rPr>
          <w:b/>
          <w:bCs/>
        </w:rPr>
        <w:t>s</w:t>
      </w:r>
      <w:r w:rsidRPr="004E1284">
        <w:rPr>
          <w:b/>
          <w:bCs/>
        </w:rPr>
        <w:t xml:space="preserve"> (Diesel smoke)</w:t>
      </w:r>
      <w:r>
        <w:rPr>
          <w:b/>
          <w:bCs/>
        </w:rPr>
        <w:t xml:space="preserve">), </w:t>
      </w:r>
      <w:r w:rsidRPr="006F00F3">
        <w:rPr>
          <w:b/>
          <w:bCs/>
        </w:rPr>
        <w:t xml:space="preserve">85 (Measurement of the net power), </w:t>
      </w:r>
      <w:r>
        <w:rPr>
          <w:b/>
          <w:bCs/>
        </w:rPr>
        <w:br/>
      </w:r>
      <w:r w:rsidRPr="006F00F3">
        <w:rPr>
          <w:b/>
          <w:bCs/>
        </w:rPr>
        <w:t xml:space="preserve">115 (LPG and CNG retrofit systems), 133 (Recyclability of motor </w:t>
      </w:r>
      <w:r>
        <w:rPr>
          <w:b/>
          <w:bCs/>
        </w:rPr>
        <w:br/>
      </w:r>
      <w:r w:rsidRPr="006F00F3">
        <w:rPr>
          <w:b/>
          <w:bCs/>
        </w:rPr>
        <w:t>vehicles) and 143 (Heavy Duty Dual-Fuel Engine Retrofit Systems</w:t>
      </w:r>
      <w:r>
        <w:rPr>
          <w:b/>
          <w:bCs/>
        </w:rPr>
        <w:br/>
      </w:r>
      <w:r w:rsidRPr="006F00F3">
        <w:rPr>
          <w:b/>
          <w:bCs/>
        </w:rPr>
        <w:t>(HDDF-ERS))</w:t>
      </w:r>
    </w:p>
    <w:p w:rsidR="00450B28" w:rsidRPr="00FD4196" w:rsidRDefault="00450B28" w:rsidP="00252825">
      <w:pPr>
        <w:pStyle w:val="HChG"/>
      </w:pPr>
      <w:r w:rsidRPr="00FD4196">
        <w:tab/>
      </w:r>
      <w:r w:rsidRPr="00FD4196">
        <w:tab/>
      </w:r>
      <w:r w:rsidR="00DA63CE">
        <w:t>Proposal</w:t>
      </w:r>
      <w:r w:rsidR="008E24B7" w:rsidRPr="008E24B7">
        <w:rPr>
          <w:b w:val="0"/>
          <w:bCs/>
          <w:color w:val="000000"/>
          <w:szCs w:val="28"/>
        </w:rPr>
        <w:t xml:space="preserve"> </w:t>
      </w:r>
      <w:r w:rsidR="008E24B7" w:rsidRPr="008E24B7">
        <w:rPr>
          <w:bCs/>
          <w:color w:val="000000"/>
          <w:szCs w:val="28"/>
        </w:rPr>
        <w:t xml:space="preserve">for </w:t>
      </w:r>
      <w:r w:rsidR="00776AE7">
        <w:rPr>
          <w:bCs/>
          <w:color w:val="000000"/>
          <w:szCs w:val="28"/>
        </w:rPr>
        <w:t xml:space="preserve">a new </w:t>
      </w:r>
      <w:r w:rsidR="008E24B7" w:rsidRPr="008E24B7">
        <w:rPr>
          <w:bCs/>
          <w:color w:val="000000"/>
          <w:szCs w:val="28"/>
        </w:rPr>
        <w:t xml:space="preserve">Supplement to the original version of </w:t>
      </w:r>
      <w:r w:rsidR="00AA4633">
        <w:rPr>
          <w:bCs/>
          <w:color w:val="000000"/>
          <w:szCs w:val="28"/>
        </w:rPr>
        <w:t xml:space="preserve">UN </w:t>
      </w:r>
      <w:r w:rsidR="008E24B7" w:rsidRPr="008E24B7">
        <w:rPr>
          <w:bCs/>
          <w:color w:val="000000"/>
          <w:szCs w:val="28"/>
        </w:rPr>
        <w:t>Regulation No. 85 (Measurement of the net power</w:t>
      </w:r>
      <w:r w:rsidR="00DA63CE">
        <w:t>)</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 xml:space="preserve">International </w:t>
      </w:r>
      <w:proofErr w:type="spellStart"/>
      <w:r w:rsidR="009C3E09" w:rsidRPr="00BC73E7">
        <w:rPr>
          <w:lang w:val="en-GB"/>
        </w:rPr>
        <w:t>Organi</w:t>
      </w:r>
      <w:r w:rsidR="00776AE7" w:rsidRPr="00BC73E7">
        <w:rPr>
          <w:lang w:val="en-GB"/>
        </w:rPr>
        <w:t>z</w:t>
      </w:r>
      <w:r w:rsidR="009C3E09">
        <w:t>ation</w:t>
      </w:r>
      <w:proofErr w:type="spellEnd"/>
      <w:r w:rsidR="009C3E09">
        <w:t xml:space="preserve"> of Motor Vehicle Manufacturers</w:t>
      </w:r>
      <w:r w:rsidR="00735EE3" w:rsidRPr="007E5C8F">
        <w:rPr>
          <w:rStyle w:val="H1GChar"/>
          <w:lang w:val="en-GB"/>
        </w:rPr>
        <w:footnoteReference w:customMarkFollows="1" w:id="2"/>
        <w:t>*</w:t>
      </w:r>
    </w:p>
    <w:p w:rsidR="009C3E09" w:rsidRDefault="009C3E09" w:rsidP="002E30C8">
      <w:pPr>
        <w:pStyle w:val="SingleTxtG"/>
        <w:ind w:firstLine="567"/>
      </w:pPr>
      <w:r w:rsidRPr="00450B28">
        <w:t xml:space="preserve">The text reproduced below </w:t>
      </w:r>
      <w:r w:rsidR="00B831E4">
        <w:t>was prepared by the expert</w:t>
      </w:r>
      <w:r w:rsidR="008E24B7">
        <w:t xml:space="preserve"> from the International Organization of Mot</w:t>
      </w:r>
      <w:r w:rsidR="009200E6">
        <w:t>or Vehicle Manufacturers (OICA).</w:t>
      </w:r>
      <w:r w:rsidR="008E24B7">
        <w:t xml:space="preserve"> </w:t>
      </w:r>
      <w:r w:rsidR="00DE1F34">
        <w:t>T</w:t>
      </w:r>
      <w:r w:rsidR="009200E6">
        <w:t>his document</w:t>
      </w:r>
      <w:r w:rsidR="008E24B7">
        <w:t xml:space="preserve"> </w:t>
      </w:r>
      <w:r w:rsidR="008E24B7">
        <w:rPr>
          <w:bCs/>
        </w:rPr>
        <w:t>propose</w:t>
      </w:r>
      <w:r w:rsidR="009200E6">
        <w:rPr>
          <w:bCs/>
        </w:rPr>
        <w:t>s</w:t>
      </w:r>
      <w:r w:rsidR="00DE1F34">
        <w:rPr>
          <w:bCs/>
        </w:rPr>
        <w:t xml:space="preserve"> to amend the wording of the description of auxiliaries to be fitted for testing in order to reduce potential testing burden</w:t>
      </w:r>
      <w:r>
        <w:rPr>
          <w:szCs w:val="23"/>
        </w:rPr>
        <w:t>.</w:t>
      </w:r>
    </w:p>
    <w:p w:rsidR="003E02FC" w:rsidRDefault="00EC6158" w:rsidP="008E24B7">
      <w:pPr>
        <w:pStyle w:val="HChG"/>
        <w:tabs>
          <w:tab w:val="clear" w:pos="851"/>
        </w:tabs>
        <w:ind w:left="567"/>
      </w:pPr>
      <w:r w:rsidRPr="00FD4196">
        <w:br w:type="page"/>
      </w:r>
      <w:r w:rsidR="008E24B7">
        <w:lastRenderedPageBreak/>
        <w:tab/>
      </w:r>
      <w:r w:rsidR="003E02FC" w:rsidRPr="00FD4196">
        <w:t>I.</w:t>
      </w:r>
      <w:r w:rsidR="003E02FC" w:rsidRPr="00FD4196">
        <w:tab/>
      </w:r>
      <w:r w:rsidR="007903E8">
        <w:t>Proposal</w:t>
      </w:r>
    </w:p>
    <w:p w:rsidR="008E24B7" w:rsidRDefault="00DE1F34" w:rsidP="008E24B7">
      <w:pPr>
        <w:spacing w:after="120"/>
        <w:ind w:left="2300" w:right="1134" w:hanging="1166"/>
        <w:jc w:val="both"/>
        <w:rPr>
          <w:i/>
          <w:lang w:eastAsia="ja-JP"/>
        </w:rPr>
      </w:pPr>
      <w:r>
        <w:rPr>
          <w:i/>
          <w:lang w:val="en-US"/>
        </w:rPr>
        <w:t>A</w:t>
      </w:r>
      <w:r w:rsidR="00AA1CA8">
        <w:rPr>
          <w:i/>
          <w:lang w:val="en-US"/>
        </w:rPr>
        <w:t>nn</w:t>
      </w:r>
      <w:r>
        <w:rPr>
          <w:i/>
          <w:lang w:val="en-US"/>
        </w:rPr>
        <w:t>ex 5, Table 1, Footnote 1b</w:t>
      </w:r>
      <w:r w:rsidR="008E24B7">
        <w:rPr>
          <w:rFonts w:hint="eastAsia"/>
          <w:i/>
          <w:lang w:eastAsia="ja-JP"/>
        </w:rPr>
        <w:t>,</w:t>
      </w:r>
      <w:r w:rsidR="008E24B7" w:rsidRPr="008353D9">
        <w:rPr>
          <w:rFonts w:hint="eastAsia"/>
          <w:lang w:eastAsia="ja-JP"/>
        </w:rPr>
        <w:t xml:space="preserve"> amend </w:t>
      </w:r>
      <w:r w:rsidR="008E24B7" w:rsidRPr="008353D9">
        <w:rPr>
          <w:lang w:eastAsia="ja-JP"/>
        </w:rPr>
        <w:t>to read</w:t>
      </w:r>
      <w:r w:rsidR="008E24B7" w:rsidRPr="008353D9">
        <w:rPr>
          <w:rFonts w:hint="eastAsia"/>
          <w:lang w:eastAsia="ja-JP"/>
        </w:rPr>
        <w:t>:</w:t>
      </w:r>
    </w:p>
    <w:p w:rsidR="00DE1F34" w:rsidRDefault="004D1B6E" w:rsidP="00DE1F34">
      <w:pPr>
        <w:spacing w:after="120"/>
        <w:ind w:left="2300" w:right="1134" w:hanging="1166"/>
        <w:jc w:val="both"/>
        <w:rPr>
          <w:lang w:eastAsia="ja-JP"/>
        </w:rPr>
      </w:pPr>
      <w:r w:rsidRPr="009F1AA6">
        <w:t>"</w:t>
      </w:r>
      <w:r w:rsidR="00DE1F34" w:rsidRPr="00AD17EF">
        <w:rPr>
          <w:vertAlign w:val="superscript"/>
          <w:lang w:eastAsia="ja-JP"/>
        </w:rPr>
        <w:t>1b</w:t>
      </w:r>
      <w:r w:rsidR="00DE1F34">
        <w:rPr>
          <w:lang w:eastAsia="ja-JP"/>
        </w:rPr>
        <w:t xml:space="preserve"> </w:t>
      </w:r>
      <w:r w:rsidR="00DE1F34" w:rsidRPr="00DE1F34">
        <w:rPr>
          <w:b/>
          <w:lang w:eastAsia="ja-JP"/>
        </w:rPr>
        <w:t>In the following cases,</w:t>
      </w:r>
      <w:r w:rsidR="00DE1F34">
        <w:rPr>
          <w:lang w:eastAsia="ja-JP"/>
        </w:rPr>
        <w:t xml:space="preserve"> </w:t>
      </w:r>
      <w:proofErr w:type="spellStart"/>
      <w:r w:rsidR="00DE1F34" w:rsidRPr="00DE1F34">
        <w:rPr>
          <w:strike/>
          <w:lang w:eastAsia="ja-JP"/>
        </w:rPr>
        <w:t>T</w:t>
      </w:r>
      <w:r w:rsidR="00DE1F34" w:rsidRPr="00DE1F34">
        <w:rPr>
          <w:b/>
          <w:lang w:eastAsia="ja-JP"/>
        </w:rPr>
        <w:t>t</w:t>
      </w:r>
      <w:r w:rsidR="00DE1F34">
        <w:rPr>
          <w:lang w:eastAsia="ja-JP"/>
        </w:rPr>
        <w:t>he</w:t>
      </w:r>
      <w:proofErr w:type="spellEnd"/>
      <w:r w:rsidR="00DE1F34">
        <w:rPr>
          <w:lang w:eastAsia="ja-JP"/>
        </w:rPr>
        <w:t xml:space="preserve"> complete exhaust system shall be fitted as provided for the intended application: </w:t>
      </w:r>
    </w:p>
    <w:p w:rsidR="00DE1F34" w:rsidRDefault="00DE1F34" w:rsidP="00DE1F34">
      <w:pPr>
        <w:spacing w:after="120"/>
        <w:ind w:left="2300" w:right="1134" w:hanging="1166"/>
        <w:jc w:val="both"/>
        <w:rPr>
          <w:lang w:eastAsia="ja-JP"/>
        </w:rPr>
      </w:pPr>
      <w:r>
        <w:rPr>
          <w:lang w:eastAsia="ja-JP"/>
        </w:rPr>
        <w:tab/>
        <w:t>Where there is a risk of an appreciable effect on the engine power;</w:t>
      </w:r>
    </w:p>
    <w:p w:rsidR="00DE1F34" w:rsidRDefault="00DE1F34" w:rsidP="00DE1F34">
      <w:pPr>
        <w:spacing w:after="120"/>
        <w:ind w:left="2300" w:right="1134" w:hanging="1166"/>
        <w:jc w:val="both"/>
        <w:rPr>
          <w:lang w:eastAsia="ja-JP"/>
        </w:rPr>
      </w:pPr>
      <w:r>
        <w:rPr>
          <w:lang w:eastAsia="ja-JP"/>
        </w:rPr>
        <w:tab/>
        <w:t xml:space="preserve">In the case of two-stroke </w:t>
      </w:r>
      <w:r w:rsidRPr="00DE1F34">
        <w:rPr>
          <w:strike/>
          <w:lang w:eastAsia="ja-JP"/>
        </w:rPr>
        <w:t>and positive-ignition</w:t>
      </w:r>
      <w:r>
        <w:rPr>
          <w:lang w:eastAsia="ja-JP"/>
        </w:rPr>
        <w:t xml:space="preserve"> engines;</w:t>
      </w:r>
    </w:p>
    <w:p w:rsidR="00DE1F34" w:rsidRDefault="00DE1F34" w:rsidP="00DE1F34">
      <w:pPr>
        <w:spacing w:after="120"/>
        <w:ind w:left="2300" w:right="1134" w:hanging="1166"/>
        <w:jc w:val="both"/>
        <w:rPr>
          <w:lang w:eastAsia="ja-JP"/>
        </w:rPr>
      </w:pPr>
      <w:r>
        <w:rPr>
          <w:lang w:eastAsia="ja-JP"/>
        </w:rPr>
        <w:tab/>
        <w:t>When the manufacturer requests that this should be done.</w:t>
      </w:r>
    </w:p>
    <w:p w:rsidR="00DE1F34" w:rsidRDefault="00DE1F34" w:rsidP="00DE1F34">
      <w:pPr>
        <w:spacing w:after="120"/>
        <w:ind w:left="1134" w:right="1134"/>
        <w:jc w:val="both"/>
        <w:rPr>
          <w:lang w:eastAsia="ja-JP"/>
        </w:rPr>
      </w:pPr>
      <w:r>
        <w:rPr>
          <w:lang w:eastAsia="ja-JP"/>
        </w:rPr>
        <w:t xml:space="preserve">In other cases, an equivalent system may be installed provided the pressure measured at the exit of the engine exhaust system does not </w:t>
      </w:r>
      <w:r w:rsidRPr="00AA1CA8">
        <w:rPr>
          <w:strike/>
          <w:lang w:eastAsia="ja-JP"/>
        </w:rPr>
        <w:t>differ</w:t>
      </w:r>
      <w:r>
        <w:rPr>
          <w:lang w:eastAsia="ja-JP"/>
        </w:rPr>
        <w:t xml:space="preserve"> </w:t>
      </w:r>
      <w:r w:rsidR="00AA1CA8" w:rsidRPr="00AA1CA8">
        <w:rPr>
          <w:b/>
          <w:lang w:eastAsia="ja-JP"/>
        </w:rPr>
        <w:t>exceed</w:t>
      </w:r>
      <w:r w:rsidR="00AA1CA8">
        <w:rPr>
          <w:lang w:eastAsia="ja-JP"/>
        </w:rPr>
        <w:t xml:space="preserve"> </w:t>
      </w:r>
      <w:r>
        <w:rPr>
          <w:lang w:eastAsia="ja-JP"/>
        </w:rPr>
        <w:t>by more than 1</w:t>
      </w:r>
      <w:r w:rsidRPr="00BF5E62">
        <w:rPr>
          <w:strike/>
          <w:lang w:eastAsia="ja-JP"/>
        </w:rPr>
        <w:t>,000</w:t>
      </w:r>
      <w:r>
        <w:rPr>
          <w:lang w:eastAsia="ja-JP"/>
        </w:rPr>
        <w:t xml:space="preserve"> </w:t>
      </w:r>
      <w:r w:rsidR="00BF5E62" w:rsidRPr="00BF5E62">
        <w:rPr>
          <w:b/>
          <w:lang w:eastAsia="ja-JP"/>
        </w:rPr>
        <w:t>k</w:t>
      </w:r>
      <w:r>
        <w:rPr>
          <w:lang w:eastAsia="ja-JP"/>
        </w:rPr>
        <w:t xml:space="preserve">Pa </w:t>
      </w:r>
      <w:r w:rsidRPr="00AA1CA8">
        <w:rPr>
          <w:strike/>
          <w:lang w:eastAsia="ja-JP"/>
        </w:rPr>
        <w:t>from</w:t>
      </w:r>
      <w:r>
        <w:rPr>
          <w:lang w:eastAsia="ja-JP"/>
        </w:rPr>
        <w:t xml:space="preserve"> that specified by the manufacturer.</w:t>
      </w:r>
    </w:p>
    <w:p w:rsidR="008E24B7" w:rsidRDefault="00DE1F34" w:rsidP="00DE1F34">
      <w:pPr>
        <w:spacing w:after="120"/>
        <w:ind w:left="1134" w:right="1134"/>
        <w:jc w:val="both"/>
      </w:pPr>
      <w:r>
        <w:rPr>
          <w:lang w:eastAsia="ja-JP"/>
        </w:rPr>
        <w:t>The exit from the engine exhaust system is defined as a point 150 mm downstream from the termination of the part of the exhaust system mounted on the engine.</w:t>
      </w:r>
      <w:r w:rsidR="004D1B6E" w:rsidRPr="009F1AA6">
        <w:t>"</w:t>
      </w:r>
    </w:p>
    <w:p w:rsidR="00AE3C45" w:rsidRPr="00BF5E62" w:rsidRDefault="00AE3C45" w:rsidP="00AE3C45">
      <w:pPr>
        <w:suppressAutoHyphens w:val="0"/>
        <w:autoSpaceDE w:val="0"/>
        <w:autoSpaceDN w:val="0"/>
        <w:adjustRightInd w:val="0"/>
        <w:spacing w:line="240" w:lineRule="auto"/>
        <w:rPr>
          <w:color w:val="000000"/>
          <w:sz w:val="24"/>
          <w:szCs w:val="24"/>
          <w:lang w:eastAsia="en-GB"/>
        </w:rPr>
      </w:pPr>
    </w:p>
    <w:p w:rsidR="00AE3C45" w:rsidRPr="00AE3C45" w:rsidRDefault="00AE3C45" w:rsidP="00AE3C45">
      <w:pPr>
        <w:suppressAutoHyphens w:val="0"/>
        <w:autoSpaceDE w:val="0"/>
        <w:autoSpaceDN w:val="0"/>
        <w:adjustRightInd w:val="0"/>
        <w:spacing w:after="120" w:line="240" w:lineRule="auto"/>
        <w:ind w:left="1133" w:right="1133"/>
        <w:jc w:val="both"/>
        <w:rPr>
          <w:color w:val="000000"/>
          <w:lang w:eastAsia="en-GB"/>
        </w:rPr>
      </w:pPr>
      <w:r w:rsidRPr="00AE3C45">
        <w:rPr>
          <w:color w:val="000000"/>
          <w:sz w:val="24"/>
          <w:szCs w:val="24"/>
          <w:lang w:eastAsia="en-GB"/>
        </w:rPr>
        <w:t xml:space="preserve"> </w:t>
      </w:r>
      <w:r w:rsidRPr="00AE3C45">
        <w:rPr>
          <w:i/>
          <w:iCs/>
          <w:color w:val="000000"/>
          <w:lang w:eastAsia="en-GB"/>
        </w:rPr>
        <w:t>Annex 5, Table 1.</w:t>
      </w:r>
      <w:r w:rsidRPr="00AE3C45">
        <w:rPr>
          <w:color w:val="000000"/>
          <w:lang w:eastAsia="en-GB"/>
        </w:rPr>
        <w:t xml:space="preserve">, </w:t>
      </w:r>
      <w:r>
        <w:rPr>
          <w:i/>
          <w:lang w:val="en-US"/>
        </w:rPr>
        <w:t xml:space="preserve">Footnote </w:t>
      </w:r>
      <w:r w:rsidRPr="00AE3C45">
        <w:rPr>
          <w:i/>
          <w:iCs/>
          <w:color w:val="000000"/>
          <w:lang w:eastAsia="en-GB"/>
        </w:rPr>
        <w:t>9</w:t>
      </w:r>
      <w:r w:rsidRPr="00AE3C45">
        <w:rPr>
          <w:color w:val="000000"/>
          <w:lang w:eastAsia="en-GB"/>
        </w:rPr>
        <w:t xml:space="preserve">, amend to read: </w:t>
      </w:r>
    </w:p>
    <w:p w:rsidR="00AE3C45" w:rsidRPr="00AE3C45" w:rsidRDefault="00AE3C45" w:rsidP="00AE3C45">
      <w:pPr>
        <w:spacing w:after="120"/>
        <w:ind w:left="1134" w:right="1134"/>
        <w:jc w:val="both"/>
        <w:rPr>
          <w:lang w:eastAsia="ja-JP"/>
        </w:rPr>
      </w:pPr>
      <w:r w:rsidRPr="00AE3C45">
        <w:rPr>
          <w:color w:val="000000"/>
          <w:lang w:eastAsia="en-GB"/>
        </w:rPr>
        <w:t>"</w:t>
      </w:r>
      <w:r w:rsidRPr="00AD17EF">
        <w:rPr>
          <w:color w:val="000000"/>
          <w:vertAlign w:val="superscript"/>
          <w:lang w:eastAsia="en-GB"/>
        </w:rPr>
        <w:t>9</w:t>
      </w:r>
      <w:r w:rsidRPr="00AE3C45">
        <w:rPr>
          <w:color w:val="000000"/>
          <w:lang w:eastAsia="en-GB"/>
        </w:rPr>
        <w:t xml:space="preserve"> Charge air cooled engines shall be tested with charge air cooling, whether liquid or air cooled, but if the engine manufacturer prefers, a test bench system may replace the air cooled cooler. In either case, the measurement of power at each speed shall be made with the same pressure drop and temperature drop of the engine air across the charge air cooler on the test bench system as those specified by the manufacturer for the system on the complete vehicle</w:t>
      </w:r>
      <w:r w:rsidRPr="00AE3C45">
        <w:rPr>
          <w:b/>
          <w:bCs/>
          <w:color w:val="000000"/>
          <w:lang w:eastAsia="en-GB"/>
        </w:rPr>
        <w:t>, or the charge air cooler outlet temperature shall be adjusted for the ambient temperature recorded during the vehicle tests by increasing or decreasing the charge air cooler outlet temperature by the same amount that the ambient conditions for the vehicle test varied from the standard temperature.</w:t>
      </w:r>
      <w:r w:rsidR="007A49B1" w:rsidRPr="00AE3C45">
        <w:rPr>
          <w:color w:val="000000"/>
          <w:lang w:eastAsia="en-GB"/>
        </w:rPr>
        <w:t>"</w:t>
      </w:r>
    </w:p>
    <w:p w:rsidR="00890FB0" w:rsidRPr="00697A82" w:rsidRDefault="00890FB0" w:rsidP="008E24B7">
      <w:pPr>
        <w:pStyle w:val="HChG"/>
        <w:tabs>
          <w:tab w:val="clear" w:pos="851"/>
        </w:tabs>
        <w:ind w:hanging="567"/>
      </w:pPr>
      <w:r w:rsidRPr="00697A82">
        <w:rPr>
          <w:lang w:val="en-US"/>
        </w:rPr>
        <w:t>II.</w:t>
      </w:r>
      <w:r w:rsidRPr="00697A82">
        <w:rPr>
          <w:lang w:val="en-US"/>
        </w:rPr>
        <w:tab/>
        <w:t>Justification</w:t>
      </w:r>
    </w:p>
    <w:p w:rsidR="00DE1F34" w:rsidRDefault="00DE1F34" w:rsidP="00DE1F34">
      <w:pPr>
        <w:pStyle w:val="SingleTxtG"/>
        <w:ind w:left="1701" w:hanging="567"/>
        <w:rPr>
          <w:lang w:eastAsia="ja-JP"/>
        </w:rPr>
      </w:pPr>
      <w:r>
        <w:rPr>
          <w:lang w:eastAsia="ja-JP"/>
        </w:rPr>
        <w:t>1.</w:t>
      </w:r>
      <w:r>
        <w:rPr>
          <w:lang w:eastAsia="ja-JP"/>
        </w:rPr>
        <w:tab/>
        <w:t>Table 1 describes the a</w:t>
      </w:r>
      <w:r w:rsidRPr="00DE1F34">
        <w:rPr>
          <w:lang w:eastAsia="ja-JP"/>
        </w:rPr>
        <w:t>uxiliaries to be fitted for the test to determine net power of engine</w:t>
      </w:r>
      <w:r>
        <w:rPr>
          <w:lang w:eastAsia="ja-JP"/>
        </w:rPr>
        <w:t>.</w:t>
      </w:r>
    </w:p>
    <w:p w:rsidR="008E24B7" w:rsidRPr="008E24B7" w:rsidRDefault="00DE1F34" w:rsidP="00DE1F34">
      <w:pPr>
        <w:pStyle w:val="SingleTxtG"/>
        <w:ind w:left="1701" w:hanging="567"/>
        <w:rPr>
          <w:lang w:eastAsia="ja-JP"/>
        </w:rPr>
      </w:pPr>
      <w:r>
        <w:rPr>
          <w:lang w:eastAsia="ja-JP"/>
        </w:rPr>
        <w:t>2.</w:t>
      </w:r>
      <w:r>
        <w:rPr>
          <w:lang w:eastAsia="ja-JP"/>
        </w:rPr>
        <w:tab/>
        <w:t>The existing wording may be interpreted to mean that the exhaust system for a positive ignition engine cannot be modified in any way</w:t>
      </w:r>
      <w:r w:rsidR="000A659E">
        <w:rPr>
          <w:lang w:eastAsia="ja-JP"/>
        </w:rPr>
        <w:t>.</w:t>
      </w:r>
      <w:r w:rsidR="00AA4633">
        <w:rPr>
          <w:lang w:eastAsia="ja-JP"/>
        </w:rPr>
        <w:t xml:space="preserve"> </w:t>
      </w:r>
      <w:r>
        <w:rPr>
          <w:lang w:eastAsia="ja-JP"/>
        </w:rPr>
        <w:t>This can cause problems when installing the engine and exhaust in the test cell and prevents coverage of small differences with a single approval test (family concept).</w:t>
      </w:r>
    </w:p>
    <w:p w:rsidR="008E24B7" w:rsidRDefault="00DE1F34" w:rsidP="00DE1F34">
      <w:pPr>
        <w:pStyle w:val="SingleTxtG"/>
        <w:ind w:left="1701" w:hanging="567"/>
        <w:rPr>
          <w:lang w:eastAsia="ja-JP"/>
        </w:rPr>
      </w:pPr>
      <w:r>
        <w:rPr>
          <w:lang w:eastAsia="ja-JP"/>
        </w:rPr>
        <w:t>3.</w:t>
      </w:r>
      <w:r>
        <w:rPr>
          <w:lang w:eastAsia="ja-JP"/>
        </w:rPr>
        <w:tab/>
        <w:t>The final 2 sentences of the footnote provide sufficient assurance that the exhaust system used is representative (as with compression ignition engines)</w:t>
      </w:r>
    </w:p>
    <w:p w:rsidR="00AE3C45" w:rsidRDefault="00AA1CA8" w:rsidP="00AE3C45">
      <w:pPr>
        <w:pStyle w:val="SingleTxtG"/>
        <w:ind w:left="1701" w:hanging="567"/>
        <w:rPr>
          <w:lang w:eastAsia="ja-JP"/>
        </w:rPr>
      </w:pPr>
      <w:r>
        <w:rPr>
          <w:lang w:eastAsia="ja-JP"/>
        </w:rPr>
        <w:t>4.</w:t>
      </w:r>
      <w:r>
        <w:rPr>
          <w:lang w:eastAsia="ja-JP"/>
        </w:rPr>
        <w:tab/>
        <w:t xml:space="preserve">However, the restriction in positive or negative deviations of exhaust pressure is also over restrictive in the determination of maximum power and should be amended to restrict only a positive pressure deviation </w:t>
      </w:r>
    </w:p>
    <w:p w:rsidR="00AE3C45" w:rsidRDefault="00AE3C45" w:rsidP="00AE3C45">
      <w:pPr>
        <w:pStyle w:val="SingleTxtG"/>
        <w:ind w:left="1701" w:hanging="567"/>
        <w:rPr>
          <w:color w:val="000000"/>
          <w:lang w:eastAsia="en-GB"/>
        </w:rPr>
      </w:pPr>
      <w:r>
        <w:rPr>
          <w:lang w:eastAsia="ja-JP"/>
        </w:rPr>
        <w:t>5.</w:t>
      </w:r>
      <w:r>
        <w:rPr>
          <w:lang w:eastAsia="ja-JP"/>
        </w:rPr>
        <w:tab/>
      </w:r>
      <w:r w:rsidRPr="00AE3C45">
        <w:rPr>
          <w:color w:val="000000"/>
          <w:lang w:eastAsia="en-GB"/>
        </w:rPr>
        <w:t xml:space="preserve">The current test method for measuring charge-air-cooled engines net power is not suitable for high power engines of those. While waiting for the constant test condition (ref. Annex 5, 3.5.), the charge air cooler outlet temperature rises and the net power cannot be measured correctly. </w:t>
      </w:r>
    </w:p>
    <w:p w:rsidR="00AE3C45" w:rsidRDefault="00AE3C45" w:rsidP="00AE3C45">
      <w:pPr>
        <w:pStyle w:val="SingleTxtG"/>
        <w:ind w:left="1701" w:hanging="567"/>
        <w:rPr>
          <w:color w:val="000000"/>
          <w:lang w:eastAsia="en-GB"/>
        </w:rPr>
      </w:pPr>
      <w:r>
        <w:rPr>
          <w:color w:val="000000"/>
          <w:lang w:eastAsia="en-GB"/>
        </w:rPr>
        <w:t>6.</w:t>
      </w:r>
      <w:r>
        <w:rPr>
          <w:color w:val="000000"/>
          <w:lang w:eastAsia="en-GB"/>
        </w:rPr>
        <w:tab/>
      </w:r>
      <w:r w:rsidRPr="00AE3C45">
        <w:rPr>
          <w:color w:val="000000"/>
          <w:lang w:eastAsia="en-GB"/>
        </w:rPr>
        <w:t>To solve this problem, we propose an alternative test method to “decrease the charge air cooler outlet temperature by the same amount that the ambient conditions for the vehicle test varied from the standard temperature.” This is aligned with SAE J1349, “9.3 Application of Vehicle Transient Data to Net Power Test.”</w:t>
      </w:r>
    </w:p>
    <w:p w:rsidR="00BF5E62" w:rsidRPr="00AE3C45" w:rsidRDefault="00BF5E62" w:rsidP="00AE3C45">
      <w:pPr>
        <w:pStyle w:val="SingleTxtG"/>
        <w:ind w:left="1701" w:hanging="567"/>
        <w:rPr>
          <w:color w:val="000000"/>
          <w:lang w:eastAsia="en-GB"/>
        </w:rPr>
      </w:pPr>
      <w:r>
        <w:rPr>
          <w:color w:val="000000"/>
          <w:lang w:eastAsia="en-GB"/>
        </w:rPr>
        <w:lastRenderedPageBreak/>
        <w:t>7.</w:t>
      </w:r>
      <w:r>
        <w:rPr>
          <w:color w:val="000000"/>
          <w:lang w:eastAsia="en-GB"/>
        </w:rPr>
        <w:tab/>
        <w:t>The unit of pressure in the footnote has been changed from Pa to kPa to avoid confusion between thousand separators and decimal separators.</w:t>
      </w:r>
    </w:p>
    <w:p w:rsidR="00E238C0" w:rsidRDefault="00E238C0" w:rsidP="00E238C0">
      <w:pPr>
        <w:pStyle w:val="SingleTxtG"/>
        <w:spacing w:before="240" w:after="0"/>
        <w:ind w:left="1494"/>
        <w:jc w:val="center"/>
        <w:rPr>
          <w:u w:val="single"/>
        </w:rPr>
      </w:pPr>
      <w:r>
        <w:rPr>
          <w:u w:val="single"/>
        </w:rPr>
        <w:tab/>
      </w:r>
      <w:r>
        <w:rPr>
          <w:u w:val="single"/>
        </w:rPr>
        <w:tab/>
      </w:r>
      <w:r>
        <w:rPr>
          <w:u w:val="single"/>
        </w:rPr>
        <w:tab/>
      </w:r>
    </w:p>
    <w:p w:rsidR="00E238C0" w:rsidRPr="00E238C0" w:rsidRDefault="00E238C0" w:rsidP="00E238C0">
      <w:pPr>
        <w:ind w:right="1134"/>
        <w:rPr>
          <w:u w:val="single"/>
        </w:rPr>
      </w:pPr>
    </w:p>
    <w:sectPr w:rsidR="00E238C0" w:rsidRPr="00E238C0"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04" w:rsidRDefault="00F23204"/>
  </w:endnote>
  <w:endnote w:type="continuationSeparator" w:id="0">
    <w:p w:rsidR="00F23204" w:rsidRDefault="00F23204"/>
  </w:endnote>
  <w:endnote w:type="continuationNotice" w:id="1">
    <w:p w:rsidR="00F23204" w:rsidRDefault="00F2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B273D">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B273D">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1C" w:rsidRDefault="009B273D" w:rsidP="009B273D">
    <w:pPr>
      <w:pStyle w:val="Footer"/>
      <w:ind w:right="1134"/>
      <w:rPr>
        <w:rFonts w:ascii="C39T30Lfz" w:hAnsi="C39T30Lfz"/>
        <w:sz w:val="56"/>
      </w:rPr>
    </w:pPr>
    <w:r>
      <w:rPr>
        <w:rFonts w:ascii="C39T30Lfz" w:hAnsi="C39T30Lfz"/>
        <w:noProof/>
        <w:sz w:val="56"/>
        <w:lang w:val="en-US" w:eastAsia="zh-CN"/>
      </w:rPr>
      <w:drawing>
        <wp:anchor distT="0" distB="0" distL="114300" distR="114300" simplePos="0" relativeHeight="251660288" behindDoc="0" locked="0" layoutInCell="1" allowOverlap="1" wp14:anchorId="3500E33B" wp14:editId="7E1A1337">
          <wp:simplePos x="0" y="0"/>
          <wp:positionH relativeFrom="margin">
            <wp:posOffset>5472248</wp:posOffset>
          </wp:positionH>
          <wp:positionV relativeFrom="margin">
            <wp:posOffset>7860756</wp:posOffset>
          </wp:positionV>
          <wp:extent cx="638175" cy="638175"/>
          <wp:effectExtent l="0" t="0" r="9525" b="9525"/>
          <wp:wrapNone/>
          <wp:docPr id="2" name="Picture 1" descr="https://undocs.org/m2/QRCode.ashx?DS=ECE/TRANS/WP.29/GRPE/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73D">
      <w:rPr>
        <w:rFonts w:ascii="C39T30Lfz" w:hAnsi="C39T30Lfz"/>
        <w:noProof/>
        <w:sz w:val="56"/>
        <w:lang w:val="en-US" w:eastAsia="zh-CN"/>
      </w:rPr>
      <w:drawing>
        <wp:anchor distT="0" distB="0" distL="114300" distR="114300" simplePos="0" relativeHeight="251659264" behindDoc="1" locked="1" layoutInCell="1" allowOverlap="1" wp14:anchorId="17178BDD" wp14:editId="7D5D5D0C">
          <wp:simplePos x="0" y="0"/>
          <wp:positionH relativeFrom="margin">
            <wp:posOffset>4313555</wp:posOffset>
          </wp:positionH>
          <wp:positionV relativeFrom="margin">
            <wp:posOffset>8211185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B273D" w:rsidRPr="009B273D" w:rsidRDefault="009B273D" w:rsidP="009B273D">
    <w:pPr>
      <w:pStyle w:val="Footer"/>
      <w:ind w:right="1134"/>
      <w:rPr>
        <w:rFonts w:asciiTheme="majorBidi" w:hAnsiTheme="majorBidi" w:cstheme="majorBidi"/>
        <w:sz w:val="20"/>
      </w:rPr>
    </w:pPr>
    <w:r w:rsidRPr="009B273D">
      <w:rPr>
        <w:rFonts w:asciiTheme="majorBidi" w:hAnsiTheme="majorBidi" w:cstheme="majorBidi"/>
        <w:sz w:val="20"/>
      </w:rPr>
      <w:t>GE.18-17903(E)</w:t>
    </w:r>
  </w:p>
  <w:p w:rsidR="009B273D" w:rsidRPr="009B273D" w:rsidRDefault="009B273D" w:rsidP="009B27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04" w:rsidRPr="000B175B" w:rsidRDefault="00F23204" w:rsidP="000B175B">
      <w:pPr>
        <w:tabs>
          <w:tab w:val="right" w:pos="2155"/>
        </w:tabs>
        <w:spacing w:after="80"/>
        <w:ind w:left="680"/>
        <w:rPr>
          <w:u w:val="single"/>
        </w:rPr>
      </w:pPr>
      <w:r>
        <w:rPr>
          <w:u w:val="single"/>
        </w:rPr>
        <w:tab/>
      </w:r>
    </w:p>
  </w:footnote>
  <w:footnote w:type="continuationSeparator" w:id="0">
    <w:p w:rsidR="00F23204" w:rsidRPr="00FC68B7" w:rsidRDefault="00F23204" w:rsidP="00FC68B7">
      <w:pPr>
        <w:tabs>
          <w:tab w:val="left" w:pos="2155"/>
        </w:tabs>
        <w:spacing w:after="80"/>
        <w:ind w:left="680"/>
        <w:rPr>
          <w:u w:val="single"/>
        </w:rPr>
      </w:pPr>
      <w:r>
        <w:rPr>
          <w:u w:val="single"/>
        </w:rPr>
        <w:tab/>
      </w:r>
    </w:p>
  </w:footnote>
  <w:footnote w:type="continuationNotice" w:id="1">
    <w:p w:rsidR="00F23204" w:rsidRDefault="00F2320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Pr="003E02FC" w:rsidRDefault="009C3E09">
    <w:pPr>
      <w:pStyle w:val="Header"/>
      <w:rPr>
        <w:lang w:val="fr-CH"/>
      </w:rPr>
    </w:pPr>
    <w:r>
      <w:rPr>
        <w:lang w:val="fr-CH"/>
      </w:rPr>
      <w:t>ECE/TRANS/WP.29/GRPE/201</w:t>
    </w:r>
    <w:r w:rsidR="007A49B1">
      <w:rPr>
        <w:lang w:val="fr-CH"/>
      </w:rPr>
      <w:t>9</w:t>
    </w:r>
    <w:r>
      <w:rPr>
        <w:lang w:val="fr-CH"/>
      </w:rPr>
      <w:t>/</w:t>
    </w:r>
    <w:r w:rsidR="00AA4633">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Pr="003E02FC" w:rsidRDefault="003E02FC" w:rsidP="003E02FC">
    <w:pPr>
      <w:pStyle w:val="Header"/>
      <w:jc w:val="right"/>
      <w:rPr>
        <w:lang w:val="fr-CH"/>
      </w:rPr>
    </w:pPr>
    <w:r>
      <w:rPr>
        <w:lang w:val="fr-CH"/>
      </w:rPr>
      <w:t>ECE/TRANS/WP.29/GRPE/201</w:t>
    </w:r>
    <w:r w:rsidR="007A49B1">
      <w:rPr>
        <w:lang w:val="fr-CH"/>
      </w:rPr>
      <w:t>9</w:t>
    </w:r>
    <w:r>
      <w:rPr>
        <w:lang w:val="fr-CH"/>
      </w:rPr>
      <w:t>/</w:t>
    </w:r>
    <w:r w:rsidR="00AA4633">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5C3352"/>
    <w:multiLevelType w:val="hybridMultilevel"/>
    <w:tmpl w:val="C49AD5FA"/>
    <w:lvl w:ilvl="0" w:tplc="0F4E61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97B464D"/>
    <w:multiLevelType w:val="hybridMultilevel"/>
    <w:tmpl w:val="7A6E3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C052C70"/>
    <w:multiLevelType w:val="hybridMultilevel"/>
    <w:tmpl w:val="AFF02DDE"/>
    <w:lvl w:ilvl="0" w:tplc="0F4E615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8E45407"/>
    <w:multiLevelType w:val="hybridMultilevel"/>
    <w:tmpl w:val="A2062AA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6"/>
  </w:num>
  <w:num w:numId="16">
    <w:abstractNumId w:val="20"/>
  </w:num>
  <w:num w:numId="17">
    <w:abstractNumId w:val="38"/>
  </w:num>
  <w:num w:numId="18">
    <w:abstractNumId w:val="34"/>
  </w:num>
  <w:num w:numId="19">
    <w:abstractNumId w:val="26"/>
  </w:num>
  <w:num w:numId="20">
    <w:abstractNumId w:val="25"/>
  </w:num>
  <w:num w:numId="21">
    <w:abstractNumId w:val="21"/>
  </w:num>
  <w:num w:numId="22">
    <w:abstractNumId w:val="35"/>
  </w:num>
  <w:num w:numId="23">
    <w:abstractNumId w:val="39"/>
  </w:num>
  <w:num w:numId="24">
    <w:abstractNumId w:val="10"/>
  </w:num>
  <w:num w:numId="25">
    <w:abstractNumId w:val="37"/>
  </w:num>
  <w:num w:numId="26">
    <w:abstractNumId w:val="17"/>
  </w:num>
  <w:num w:numId="27">
    <w:abstractNumId w:val="11"/>
  </w:num>
  <w:num w:numId="28">
    <w:abstractNumId w:val="27"/>
  </w:num>
  <w:num w:numId="29">
    <w:abstractNumId w:val="15"/>
  </w:num>
  <w:num w:numId="30">
    <w:abstractNumId w:val="29"/>
  </w:num>
  <w:num w:numId="31">
    <w:abstractNumId w:val="30"/>
  </w:num>
  <w:num w:numId="32">
    <w:abstractNumId w:val="23"/>
  </w:num>
  <w:num w:numId="33">
    <w:abstractNumId w:val="13"/>
  </w:num>
  <w:num w:numId="34">
    <w:abstractNumId w:val="22"/>
  </w:num>
  <w:num w:numId="35">
    <w:abstractNumId w:val="32"/>
  </w:num>
  <w:num w:numId="36">
    <w:abstractNumId w:val="28"/>
  </w:num>
  <w:num w:numId="37">
    <w:abstractNumId w:val="14"/>
  </w:num>
  <w:num w:numId="38">
    <w:abstractNumId w:val="24"/>
  </w:num>
  <w:num w:numId="39">
    <w:abstractNumId w:val="18"/>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48"/>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56"/>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659E"/>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28B3"/>
    <w:rsid w:val="000F3975"/>
    <w:rsid w:val="000F39F3"/>
    <w:rsid w:val="000F43CD"/>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6E4"/>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254"/>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34F"/>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0E3"/>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639"/>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784C"/>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0C8"/>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4B64"/>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5B64"/>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C58"/>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5C64"/>
    <w:rsid w:val="00407F84"/>
    <w:rsid w:val="00410462"/>
    <w:rsid w:val="00410767"/>
    <w:rsid w:val="00410C89"/>
    <w:rsid w:val="00410DE0"/>
    <w:rsid w:val="00411B4B"/>
    <w:rsid w:val="0041299D"/>
    <w:rsid w:val="0041347A"/>
    <w:rsid w:val="00413918"/>
    <w:rsid w:val="00413AF2"/>
    <w:rsid w:val="00414B03"/>
    <w:rsid w:val="0041574A"/>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2D0B"/>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1B6E"/>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6BE0"/>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5FC7"/>
    <w:rsid w:val="00686D50"/>
    <w:rsid w:val="0068744D"/>
    <w:rsid w:val="00687B17"/>
    <w:rsid w:val="00691568"/>
    <w:rsid w:val="00691A02"/>
    <w:rsid w:val="00691EB1"/>
    <w:rsid w:val="00693741"/>
    <w:rsid w:val="00693B49"/>
    <w:rsid w:val="006947B7"/>
    <w:rsid w:val="00696804"/>
    <w:rsid w:val="0069773D"/>
    <w:rsid w:val="00697884"/>
    <w:rsid w:val="00697A82"/>
    <w:rsid w:val="006A0162"/>
    <w:rsid w:val="006A0C09"/>
    <w:rsid w:val="006A1CEE"/>
    <w:rsid w:val="006A2530"/>
    <w:rsid w:val="006A3C33"/>
    <w:rsid w:val="006A42BC"/>
    <w:rsid w:val="006A4F15"/>
    <w:rsid w:val="006A65B8"/>
    <w:rsid w:val="006A6E99"/>
    <w:rsid w:val="006A78A1"/>
    <w:rsid w:val="006B05FA"/>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583E"/>
    <w:rsid w:val="0076666D"/>
    <w:rsid w:val="00770145"/>
    <w:rsid w:val="00770226"/>
    <w:rsid w:val="0077047D"/>
    <w:rsid w:val="007710C6"/>
    <w:rsid w:val="007712B1"/>
    <w:rsid w:val="00771F33"/>
    <w:rsid w:val="007722F5"/>
    <w:rsid w:val="00772EAE"/>
    <w:rsid w:val="007738C1"/>
    <w:rsid w:val="0077583F"/>
    <w:rsid w:val="00776AE7"/>
    <w:rsid w:val="007818BA"/>
    <w:rsid w:val="00781E22"/>
    <w:rsid w:val="007820AF"/>
    <w:rsid w:val="00782C00"/>
    <w:rsid w:val="00783387"/>
    <w:rsid w:val="007838B2"/>
    <w:rsid w:val="00783CB3"/>
    <w:rsid w:val="0078451C"/>
    <w:rsid w:val="00784643"/>
    <w:rsid w:val="00784960"/>
    <w:rsid w:val="00785B9E"/>
    <w:rsid w:val="00786137"/>
    <w:rsid w:val="00786597"/>
    <w:rsid w:val="00787A13"/>
    <w:rsid w:val="007903E8"/>
    <w:rsid w:val="007905F7"/>
    <w:rsid w:val="00790AED"/>
    <w:rsid w:val="00790D22"/>
    <w:rsid w:val="0079119F"/>
    <w:rsid w:val="00791D8B"/>
    <w:rsid w:val="00791E8D"/>
    <w:rsid w:val="00792696"/>
    <w:rsid w:val="007939FA"/>
    <w:rsid w:val="00795175"/>
    <w:rsid w:val="007959E3"/>
    <w:rsid w:val="00796E9C"/>
    <w:rsid w:val="00797FF0"/>
    <w:rsid w:val="007A0B3C"/>
    <w:rsid w:val="007A167E"/>
    <w:rsid w:val="007A1D4A"/>
    <w:rsid w:val="007A2490"/>
    <w:rsid w:val="007A2AA2"/>
    <w:rsid w:val="007A3BB0"/>
    <w:rsid w:val="007A3C74"/>
    <w:rsid w:val="007A49B1"/>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579"/>
    <w:rsid w:val="00812D6F"/>
    <w:rsid w:val="00812ED5"/>
    <w:rsid w:val="00813148"/>
    <w:rsid w:val="00813318"/>
    <w:rsid w:val="00814F84"/>
    <w:rsid w:val="00815AD0"/>
    <w:rsid w:val="00815B1C"/>
    <w:rsid w:val="00815EDB"/>
    <w:rsid w:val="00816135"/>
    <w:rsid w:val="00816252"/>
    <w:rsid w:val="008164AE"/>
    <w:rsid w:val="00816D8A"/>
    <w:rsid w:val="008200B2"/>
    <w:rsid w:val="00821122"/>
    <w:rsid w:val="00821D46"/>
    <w:rsid w:val="00822DEB"/>
    <w:rsid w:val="00822DF2"/>
    <w:rsid w:val="008242D7"/>
    <w:rsid w:val="00824DB0"/>
    <w:rsid w:val="008257B1"/>
    <w:rsid w:val="0082597F"/>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4247"/>
    <w:rsid w:val="008C6E4E"/>
    <w:rsid w:val="008C7313"/>
    <w:rsid w:val="008C791A"/>
    <w:rsid w:val="008D3588"/>
    <w:rsid w:val="008D3AB4"/>
    <w:rsid w:val="008D492C"/>
    <w:rsid w:val="008D594C"/>
    <w:rsid w:val="008D78C5"/>
    <w:rsid w:val="008D7DB6"/>
    <w:rsid w:val="008D7DDE"/>
    <w:rsid w:val="008E05D2"/>
    <w:rsid w:val="008E0678"/>
    <w:rsid w:val="008E24B7"/>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00E6"/>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1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782"/>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73D"/>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1EE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56DF"/>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1CA8"/>
    <w:rsid w:val="00AA293C"/>
    <w:rsid w:val="00AA4633"/>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7EF"/>
    <w:rsid w:val="00AD2EFF"/>
    <w:rsid w:val="00AD380A"/>
    <w:rsid w:val="00AD448B"/>
    <w:rsid w:val="00AD6799"/>
    <w:rsid w:val="00AD7842"/>
    <w:rsid w:val="00AD7EE1"/>
    <w:rsid w:val="00AE16F0"/>
    <w:rsid w:val="00AE1813"/>
    <w:rsid w:val="00AE25D8"/>
    <w:rsid w:val="00AE2A3C"/>
    <w:rsid w:val="00AE3C45"/>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1E4"/>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3E7"/>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5E62"/>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4794"/>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076"/>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3B27"/>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01DB"/>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63CE"/>
    <w:rsid w:val="00DA77C0"/>
    <w:rsid w:val="00DA7C9F"/>
    <w:rsid w:val="00DB0701"/>
    <w:rsid w:val="00DB0EC7"/>
    <w:rsid w:val="00DB1EA9"/>
    <w:rsid w:val="00DB1FFB"/>
    <w:rsid w:val="00DB2094"/>
    <w:rsid w:val="00DB2EC4"/>
    <w:rsid w:val="00DB3311"/>
    <w:rsid w:val="00DB35FB"/>
    <w:rsid w:val="00DB3DC1"/>
    <w:rsid w:val="00DB3F6C"/>
    <w:rsid w:val="00DB4837"/>
    <w:rsid w:val="00DB600A"/>
    <w:rsid w:val="00DB7E31"/>
    <w:rsid w:val="00DC00B7"/>
    <w:rsid w:val="00DC0B3D"/>
    <w:rsid w:val="00DC0B7A"/>
    <w:rsid w:val="00DC38FA"/>
    <w:rsid w:val="00DC49FD"/>
    <w:rsid w:val="00DC57B4"/>
    <w:rsid w:val="00DC6D39"/>
    <w:rsid w:val="00DD17E2"/>
    <w:rsid w:val="00DD28F2"/>
    <w:rsid w:val="00DD3229"/>
    <w:rsid w:val="00DE1C02"/>
    <w:rsid w:val="00DE1F34"/>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38C0"/>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93D"/>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2AA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B3896537-C586-4669-B4F0-6CDBC226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45484742">
      <w:bodyDiv w:val="1"/>
      <w:marLeft w:val="0"/>
      <w:marRight w:val="0"/>
      <w:marTop w:val="0"/>
      <w:marBottom w:val="0"/>
      <w:divBdr>
        <w:top w:val="none" w:sz="0" w:space="0" w:color="auto"/>
        <w:left w:val="none" w:sz="0" w:space="0" w:color="auto"/>
        <w:bottom w:val="none" w:sz="0" w:space="0" w:color="auto"/>
        <w:right w:val="none" w:sz="0" w:space="0" w:color="auto"/>
      </w:divBdr>
    </w:div>
    <w:div w:id="15579327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07034033">
      <w:bodyDiv w:val="1"/>
      <w:marLeft w:val="0"/>
      <w:marRight w:val="0"/>
      <w:marTop w:val="0"/>
      <w:marBottom w:val="0"/>
      <w:divBdr>
        <w:top w:val="none" w:sz="0" w:space="0" w:color="auto"/>
        <w:left w:val="none" w:sz="0" w:space="0" w:color="auto"/>
        <w:bottom w:val="none" w:sz="0" w:space="0" w:color="auto"/>
        <w:right w:val="none" w:sz="0" w:space="0" w:color="auto"/>
      </w:divBdr>
    </w:div>
    <w:div w:id="1950157703">
      <w:bodyDiv w:val="1"/>
      <w:marLeft w:val="0"/>
      <w:marRight w:val="0"/>
      <w:marTop w:val="0"/>
      <w:marBottom w:val="0"/>
      <w:divBdr>
        <w:top w:val="none" w:sz="0" w:space="0" w:color="auto"/>
        <w:left w:val="none" w:sz="0" w:space="0" w:color="auto"/>
        <w:bottom w:val="none" w:sz="0" w:space="0" w:color="auto"/>
        <w:right w:val="none" w:sz="0" w:space="0" w:color="auto"/>
      </w:divBdr>
    </w:div>
    <w:div w:id="214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DE36-8E72-4AB6-8574-53B3C6EC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628</Words>
  <Characters>3586</Characters>
  <Application>Microsoft Office Word</Application>
  <DocSecurity>0</DocSecurity>
  <Lines>29</Lines>
  <Paragraphs>8</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ECE/TRANS/WP.29/GRPE/2019/7</vt:lpstr>
      <vt:lpstr>1718407</vt:lpstr>
      <vt:lpstr>1718407</vt:lpstr>
      <vt:lpstr>United Nations</vt:lpstr>
      <vt:lpstr>United Nations</vt:lpstr>
    </vt:vector>
  </TitlesOfParts>
  <Company>RDW Voertuiginformatie en -toelating</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ECE/TRANS/WP.29/GRPE/2019/7</dc:title>
  <dc:subject>1817903</dc:subject>
  <dc:creator>Generic Pdf eng</dc:creator>
  <cp:keywords/>
  <dc:description/>
  <cp:lastModifiedBy>Benedicte Boudol</cp:lastModifiedBy>
  <cp:revision>2</cp:revision>
  <cp:lastPrinted>2014-11-03T15:14:00Z</cp:lastPrinted>
  <dcterms:created xsi:type="dcterms:W3CDTF">2018-11-14T16:17:00Z</dcterms:created>
  <dcterms:modified xsi:type="dcterms:W3CDTF">2018-11-14T16:17:00Z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