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A2DDE9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FCB3936" w14:textId="77777777" w:rsidR="00F35BAF" w:rsidRPr="00DB58B5" w:rsidRDefault="00F35BAF" w:rsidP="00F6620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25EA48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3D9EB8A" w14:textId="77777777" w:rsidR="00F35BAF" w:rsidRPr="00DB58B5" w:rsidRDefault="00F66201" w:rsidP="00F66201">
            <w:pPr>
              <w:jc w:val="right"/>
            </w:pPr>
            <w:r w:rsidRPr="00F66201">
              <w:rPr>
                <w:sz w:val="40"/>
              </w:rPr>
              <w:t>ECE</w:t>
            </w:r>
            <w:r>
              <w:t>/TRANS/WP.29/GRE/2019/28</w:t>
            </w:r>
          </w:p>
        </w:tc>
      </w:tr>
      <w:tr w:rsidR="00F35BAF" w:rsidRPr="00DB58B5" w14:paraId="20A50F3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CC0BE9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F45B307" wp14:editId="0FF1FAB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5D679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F5D2FC1" w14:textId="77777777" w:rsidR="00F35BAF" w:rsidRDefault="00F66201" w:rsidP="00C97039">
            <w:pPr>
              <w:spacing w:before="240"/>
            </w:pPr>
            <w:r>
              <w:t>Distr. générale</w:t>
            </w:r>
          </w:p>
          <w:p w14:paraId="74FDD5A7" w14:textId="77777777" w:rsidR="00F66201" w:rsidRDefault="00F66201" w:rsidP="00F66201">
            <w:pPr>
              <w:spacing w:line="240" w:lineRule="exact"/>
            </w:pPr>
            <w:r>
              <w:t>8 août 2019</w:t>
            </w:r>
          </w:p>
          <w:p w14:paraId="48FA6001" w14:textId="77777777" w:rsidR="00F66201" w:rsidRDefault="00F66201" w:rsidP="00F66201">
            <w:pPr>
              <w:spacing w:line="240" w:lineRule="exact"/>
            </w:pPr>
            <w:r>
              <w:t>Français</w:t>
            </w:r>
          </w:p>
          <w:p w14:paraId="4841D56A" w14:textId="77777777" w:rsidR="00F66201" w:rsidRPr="00DB58B5" w:rsidRDefault="00F66201" w:rsidP="00F66201">
            <w:pPr>
              <w:spacing w:line="240" w:lineRule="exact"/>
            </w:pPr>
            <w:r>
              <w:t>Original : anglais</w:t>
            </w:r>
          </w:p>
        </w:tc>
      </w:tr>
    </w:tbl>
    <w:p w14:paraId="7744697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77692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68E1F6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5582003" w14:textId="77777777" w:rsidR="00F66201" w:rsidRDefault="00F6620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77692E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00D1129F" w14:textId="77777777" w:rsidR="00F66201" w:rsidRDefault="00F66201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</w:t>
      </w:r>
      <w:r w:rsidR="0077692E">
        <w:rPr>
          <w:b/>
        </w:rPr>
        <w:t>’</w:t>
      </w:r>
      <w:r>
        <w:rPr>
          <w:b/>
        </w:rPr>
        <w:t>éclairage et de la signalisation lumineuse</w:t>
      </w:r>
    </w:p>
    <w:p w14:paraId="6FC41714" w14:textId="77777777" w:rsidR="00F66201" w:rsidRDefault="00F66201" w:rsidP="00257168">
      <w:pPr>
        <w:spacing w:before="120" w:line="240" w:lineRule="exact"/>
        <w:rPr>
          <w:b/>
        </w:rPr>
      </w:pPr>
      <w:r>
        <w:rPr>
          <w:b/>
          <w:bCs/>
          <w:lang w:val="fr-FR"/>
        </w:rPr>
        <w:t>Quatre-vingt-deuxième</w:t>
      </w:r>
      <w:r>
        <w:rPr>
          <w:b/>
        </w:rPr>
        <w:t xml:space="preserve"> session</w:t>
      </w:r>
    </w:p>
    <w:p w14:paraId="50B658BF" w14:textId="77777777" w:rsidR="00F66201" w:rsidRDefault="00F66201" w:rsidP="00257168">
      <w:pPr>
        <w:spacing w:line="240" w:lineRule="exact"/>
      </w:pPr>
      <w:r>
        <w:t xml:space="preserve">Genève, </w:t>
      </w:r>
      <w:r>
        <w:rPr>
          <w:lang w:val="fr-FR"/>
        </w:rPr>
        <w:t>22-25 octobre 2019</w:t>
      </w:r>
    </w:p>
    <w:p w14:paraId="7E776DC7" w14:textId="77777777" w:rsidR="00F66201" w:rsidRDefault="00F66201" w:rsidP="00257168">
      <w:pPr>
        <w:spacing w:line="240" w:lineRule="exact"/>
      </w:pPr>
      <w:r>
        <w:t>Point 4 de l</w:t>
      </w:r>
      <w:r w:rsidR="0077692E">
        <w:t>’</w:t>
      </w:r>
      <w:r>
        <w:t>ordre du jour provisoire</w:t>
      </w:r>
    </w:p>
    <w:p w14:paraId="46BB55B1" w14:textId="77777777" w:rsidR="00F66201" w:rsidRPr="00C740F6" w:rsidRDefault="00F66201" w:rsidP="00F66201">
      <w:pPr>
        <w:rPr>
          <w:b/>
          <w:bCs/>
        </w:rPr>
      </w:pPr>
      <w:r>
        <w:rPr>
          <w:b/>
          <w:bCs/>
          <w:lang w:val="fr-FR"/>
        </w:rPr>
        <w:t>Simplification des Règlements ONU relatifs à l</w:t>
      </w:r>
      <w:r w:rsidR="0077692E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éclairage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et à la signalisation lumineuse</w:t>
      </w:r>
      <w:r>
        <w:rPr>
          <w:lang w:val="fr-FR"/>
        </w:rPr>
        <w:t xml:space="preserve"> </w:t>
      </w:r>
    </w:p>
    <w:p w14:paraId="1BD33E72" w14:textId="77777777" w:rsidR="00F66201" w:rsidRPr="00525E6C" w:rsidRDefault="00F66201" w:rsidP="00F66201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compléments au Règlement ONU n</w:t>
      </w:r>
      <w:r w:rsidR="00DE2F5E" w:rsidRPr="00DE2F5E">
        <w:rPr>
          <w:vertAlign w:val="superscript"/>
          <w:lang w:val="fr-FR"/>
        </w:rPr>
        <w:t>o</w:t>
      </w:r>
      <w:r w:rsidR="00DE2F5E">
        <w:rPr>
          <w:lang w:val="fr-FR"/>
        </w:rPr>
        <w:t> </w:t>
      </w:r>
      <w:r>
        <w:rPr>
          <w:lang w:val="fr-FR"/>
        </w:rPr>
        <w:t xml:space="preserve">[148] </w:t>
      </w:r>
      <w:r>
        <w:rPr>
          <w:lang w:val="fr-FR"/>
        </w:rPr>
        <w:br/>
      </w:r>
      <w:r>
        <w:rPr>
          <w:lang w:val="fr-FR"/>
        </w:rPr>
        <w:t>et à la série 06 d</w:t>
      </w:r>
      <w:r w:rsidR="0077692E">
        <w:rPr>
          <w:lang w:val="fr-FR"/>
        </w:rPr>
        <w:t>’</w:t>
      </w:r>
      <w:r>
        <w:rPr>
          <w:lang w:val="fr-FR"/>
        </w:rPr>
        <w:t>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48</w:t>
      </w:r>
    </w:p>
    <w:p w14:paraId="120F5869" w14:textId="77777777" w:rsidR="00F66201" w:rsidRPr="00525E6C" w:rsidRDefault="00F66201" w:rsidP="00F66201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Communication des experts de la France et de l</w:t>
      </w:r>
      <w:r w:rsidR="0077692E">
        <w:rPr>
          <w:lang w:val="fr-FR"/>
        </w:rPr>
        <w:t>’</w:t>
      </w:r>
      <w:r>
        <w:rPr>
          <w:lang w:val="fr-FR"/>
        </w:rPr>
        <w:t>Allemagne</w:t>
      </w:r>
      <w:r w:rsidRPr="00F66201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71BF6213" w14:textId="77777777" w:rsidR="00F9573C" w:rsidRDefault="00F66201" w:rsidP="00F66201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ci-après, établi par les experts de la France et de l</w:t>
      </w:r>
      <w:r w:rsidR="0077692E">
        <w:rPr>
          <w:lang w:val="fr-FR"/>
        </w:rPr>
        <w:t>’</w:t>
      </w:r>
      <w:r>
        <w:rPr>
          <w:lang w:val="fr-FR"/>
        </w:rPr>
        <w:t>Allemagne, vise à autoriser, sous certaines conditions, l</w:t>
      </w:r>
      <w:r w:rsidR="0077692E">
        <w:rPr>
          <w:lang w:val="fr-FR"/>
        </w:rPr>
        <w:t>’</w:t>
      </w:r>
      <w:r>
        <w:rPr>
          <w:lang w:val="fr-FR"/>
        </w:rPr>
        <w:t>apposition du logo du constructeur sur la surface interne de la plage réfléchissante d</w:t>
      </w:r>
      <w:r w:rsidR="0077692E">
        <w:rPr>
          <w:lang w:val="fr-FR"/>
        </w:rPr>
        <w:t>’</w:t>
      </w:r>
      <w:r>
        <w:rPr>
          <w:lang w:val="fr-FR"/>
        </w:rPr>
        <w:t>un feu de signalisation. La présente proposition fait suite au débat engagé à la soixante-dix-huitième session du Groupe de travail de l</w:t>
      </w:r>
      <w:r w:rsidR="0077692E">
        <w:rPr>
          <w:lang w:val="fr-FR"/>
        </w:rPr>
        <w:t>’</w:t>
      </w:r>
      <w:r>
        <w:rPr>
          <w:lang w:val="fr-FR"/>
        </w:rPr>
        <w:t xml:space="preserve">éclairage et de la signalisation lumineuse (GRE), qui a donné lieu à une enquête auprès des Parties contractantes, dont les résultats ont été présentés à la quatre-vingtième session du GRE. </w:t>
      </w:r>
      <w:r w:rsidRPr="00F66201">
        <w:rPr>
          <w:lang w:val="fr-FR"/>
        </w:rPr>
        <w:t>La présente</w:t>
      </w:r>
      <w:r>
        <w:rPr>
          <w:lang w:val="fr-FR"/>
        </w:rPr>
        <w:t xml:space="preserve"> proposition révisée est fondée sur le document ECE/TRANS/WP.29/GRE/2019/6 et tient compte des observations formulées à la quatre-vingt-unième session du GRE.</w:t>
      </w:r>
    </w:p>
    <w:p w14:paraId="56225A01" w14:textId="77777777" w:rsidR="00F66201" w:rsidRDefault="00F66201" w:rsidP="00F66201">
      <w:pPr>
        <w:pStyle w:val="HChG"/>
      </w:pPr>
      <w:r>
        <w:br w:type="page"/>
      </w: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14:paraId="7EE3AFCD" w14:textId="77777777" w:rsidR="00F66201" w:rsidRPr="0022516A" w:rsidRDefault="00F66201" w:rsidP="00F66201">
      <w:pPr>
        <w:pStyle w:val="H1G"/>
        <w:rPr>
          <w:rFonts w:eastAsia="SimSun"/>
        </w:rPr>
      </w:pPr>
      <w:r>
        <w:rPr>
          <w:lang w:val="fr-FR"/>
        </w:rPr>
        <w:tab/>
        <w:t>A.</w:t>
      </w:r>
      <w:r>
        <w:rPr>
          <w:lang w:val="fr-FR"/>
        </w:rPr>
        <w:tab/>
        <w:t>Proposition de complément au Règlement ONU n</w:t>
      </w:r>
      <w:r>
        <w:rPr>
          <w:vertAlign w:val="superscript"/>
          <w:lang w:val="fr-FR"/>
        </w:rPr>
        <w:t>o</w:t>
      </w:r>
      <w:r w:rsidRPr="00F66201">
        <w:rPr>
          <w:lang w:val="fr-FR"/>
        </w:rPr>
        <w:t> </w:t>
      </w:r>
      <w:r>
        <w:rPr>
          <w:lang w:val="fr-FR"/>
        </w:rPr>
        <w:t>[148]</w:t>
      </w:r>
    </w:p>
    <w:p w14:paraId="7FDC4AB3" w14:textId="77777777" w:rsidR="00F66201" w:rsidRPr="00C25D5A" w:rsidRDefault="00F66201" w:rsidP="00F66201">
      <w:pPr>
        <w:pStyle w:val="SingleTxtG"/>
        <w:rPr>
          <w:bCs/>
        </w:rPr>
      </w:pPr>
      <w:r w:rsidRPr="00F66201">
        <w:rPr>
          <w:i/>
          <w:lang w:val="fr-FR"/>
        </w:rPr>
        <w:t>Au paragraphe 3.1.2.1, ajouter le nouvel alinéa g)</w:t>
      </w:r>
      <w:r>
        <w:rPr>
          <w:lang w:val="fr-FR"/>
        </w:rPr>
        <w:t xml:space="preserve">, libellé comme suit : </w:t>
      </w:r>
    </w:p>
    <w:p w14:paraId="412A9F5A" w14:textId="77777777" w:rsidR="00F66201" w:rsidRPr="00C25D5A" w:rsidRDefault="00F66201" w:rsidP="0077692E">
      <w:pPr>
        <w:pStyle w:val="SingleTxtG"/>
        <w:ind w:left="2268"/>
        <w:rPr>
          <w:bCs/>
          <w:i/>
        </w:rPr>
      </w:pPr>
      <w:r>
        <w:rPr>
          <w:lang w:val="fr-FR"/>
        </w:rPr>
        <w:t>«</w:t>
      </w:r>
      <w:r w:rsidR="006C5C7A">
        <w:rPr>
          <w:lang w:val="fr-FR"/>
        </w:rPr>
        <w:t> </w:t>
      </w:r>
      <w:r>
        <w:rPr>
          <w:lang w:val="fr-FR"/>
        </w:rPr>
        <w:t>...</w:t>
      </w:r>
    </w:p>
    <w:p w14:paraId="1B300FF2" w14:textId="77777777" w:rsidR="00F66201" w:rsidRPr="00F66201" w:rsidRDefault="00F66201" w:rsidP="00F66201">
      <w:pPr>
        <w:pStyle w:val="SingleTxtG"/>
        <w:ind w:left="2835" w:hanging="567"/>
        <w:rPr>
          <w:b/>
          <w:i/>
        </w:rPr>
      </w:pPr>
      <w:r w:rsidRPr="00F66201">
        <w:rPr>
          <w:b/>
          <w:lang w:val="fr-FR"/>
        </w:rPr>
        <w:t>g)</w:t>
      </w:r>
      <w:r w:rsidRPr="00F66201">
        <w:rPr>
          <w:b/>
          <w:lang w:val="fr-FR"/>
        </w:rPr>
        <w:tab/>
        <w:t>Dans le cas d</w:t>
      </w:r>
      <w:r w:rsidR="0077692E">
        <w:rPr>
          <w:b/>
          <w:lang w:val="fr-FR"/>
        </w:rPr>
        <w:t>’</w:t>
      </w:r>
      <w:r w:rsidRPr="00F66201">
        <w:rPr>
          <w:b/>
          <w:lang w:val="fr-FR"/>
        </w:rPr>
        <w:t>un feu susceptible d</w:t>
      </w:r>
      <w:r w:rsidR="0077692E">
        <w:rPr>
          <w:b/>
          <w:lang w:val="fr-FR"/>
        </w:rPr>
        <w:t>’</w:t>
      </w:r>
      <w:r w:rsidRPr="00F66201">
        <w:rPr>
          <w:b/>
          <w:lang w:val="fr-FR"/>
        </w:rPr>
        <w:t>arborer un logo de constructeur, le logo du constructeur</w:t>
      </w:r>
      <w:r>
        <w:rPr>
          <w:b/>
          <w:lang w:val="fr-FR"/>
        </w:rPr>
        <w:t> </w:t>
      </w:r>
      <w:r w:rsidRPr="00F66201">
        <w:rPr>
          <w:b/>
          <w:lang w:val="fr-FR"/>
        </w:rPr>
        <w:t>;</w:t>
      </w:r>
    </w:p>
    <w:p w14:paraId="1DE07EFF" w14:textId="77777777" w:rsidR="00F66201" w:rsidRDefault="00F66201" w:rsidP="00F66201">
      <w:pPr>
        <w:pStyle w:val="SingleTxtG"/>
        <w:ind w:left="2835" w:hanging="567"/>
        <w:rPr>
          <w:bCs/>
        </w:rPr>
      </w:pPr>
      <w:r>
        <w:rPr>
          <w:lang w:val="fr-FR"/>
        </w:rPr>
        <w:t>...</w:t>
      </w:r>
      <w:r w:rsidR="006C5C7A">
        <w:rPr>
          <w:lang w:val="fr-FR"/>
        </w:rPr>
        <w:t> </w:t>
      </w:r>
      <w:r>
        <w:rPr>
          <w:lang w:val="fr-FR"/>
        </w:rPr>
        <w:t>»</w:t>
      </w:r>
      <w:r>
        <w:rPr>
          <w:lang w:val="fr-FR"/>
        </w:rPr>
        <w:t>.</w:t>
      </w:r>
    </w:p>
    <w:p w14:paraId="4874CC6F" w14:textId="77777777" w:rsidR="00F66201" w:rsidRPr="00C25D5A" w:rsidRDefault="00F66201" w:rsidP="00F66201">
      <w:pPr>
        <w:pStyle w:val="SingleTxtG"/>
        <w:rPr>
          <w:bCs/>
          <w:i/>
        </w:rPr>
      </w:pPr>
      <w:r>
        <w:rPr>
          <w:i/>
          <w:iCs/>
          <w:lang w:val="fr-FR"/>
        </w:rPr>
        <w:t>Au paragraphe 3.1.2.2, ajouter le nouvel alinéa e),</w:t>
      </w:r>
      <w:r>
        <w:rPr>
          <w:lang w:val="fr-FR"/>
        </w:rPr>
        <w:t xml:space="preserve"> libellé comme suit : </w:t>
      </w:r>
    </w:p>
    <w:p w14:paraId="43D3A952" w14:textId="77777777" w:rsidR="00F66201" w:rsidRPr="00C25D5A" w:rsidRDefault="00F66201" w:rsidP="0077692E">
      <w:pPr>
        <w:pStyle w:val="SingleTxtG"/>
        <w:ind w:left="2268"/>
        <w:rPr>
          <w:bCs/>
        </w:rPr>
      </w:pPr>
      <w:r>
        <w:rPr>
          <w:lang w:val="fr-FR"/>
        </w:rPr>
        <w:t>«</w:t>
      </w:r>
      <w:r w:rsidR="006C5C7A">
        <w:rPr>
          <w:lang w:val="fr-FR"/>
        </w:rPr>
        <w:t> </w:t>
      </w:r>
      <w:r>
        <w:rPr>
          <w:lang w:val="fr-FR"/>
        </w:rPr>
        <w:t>...</w:t>
      </w:r>
    </w:p>
    <w:p w14:paraId="2A139751" w14:textId="77777777" w:rsidR="00F66201" w:rsidRDefault="00F66201" w:rsidP="00F66201">
      <w:pPr>
        <w:pStyle w:val="SingleTxtG"/>
        <w:ind w:left="2835" w:hanging="567"/>
        <w:rPr>
          <w:b/>
          <w:bCs/>
        </w:rPr>
      </w:pPr>
      <w:r>
        <w:rPr>
          <w:b/>
          <w:bCs/>
          <w:lang w:val="fr-FR"/>
        </w:rPr>
        <w:t>e)</w:t>
      </w:r>
      <w:r>
        <w:rPr>
          <w:lang w:val="fr-FR"/>
        </w:rPr>
        <w:tab/>
      </w:r>
      <w:r>
        <w:rPr>
          <w:b/>
          <w:bCs/>
          <w:lang w:val="fr-FR"/>
        </w:rPr>
        <w:t>Dans le cas d</w:t>
      </w:r>
      <w:r w:rsidR="0077692E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un feu susceptible </w:t>
      </w:r>
      <w:r w:rsidRPr="00F66201">
        <w:rPr>
          <w:b/>
          <w:lang w:val="fr-FR"/>
        </w:rPr>
        <w:t>d</w:t>
      </w:r>
      <w:r w:rsidR="0077692E">
        <w:rPr>
          <w:b/>
          <w:lang w:val="fr-FR"/>
        </w:rPr>
        <w:t>’</w:t>
      </w:r>
      <w:r w:rsidRPr="00F66201">
        <w:rPr>
          <w:b/>
          <w:lang w:val="fr-FR"/>
        </w:rPr>
        <w:t>arborer</w:t>
      </w:r>
      <w:r w:rsidRPr="0029278B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un logo de constructeur, la confirmation écrite du rapport entre le logo du constructeur et l</w:t>
      </w:r>
      <w:r w:rsidR="0077692E">
        <w:rPr>
          <w:b/>
          <w:bCs/>
          <w:lang w:val="fr-FR"/>
        </w:rPr>
        <w:t>’</w:t>
      </w:r>
      <w:r>
        <w:rPr>
          <w:b/>
          <w:bCs/>
          <w:lang w:val="fr-FR"/>
        </w:rPr>
        <w:t>appellation commerciale du constructeur du véhicule ou du carrossier.</w:t>
      </w:r>
    </w:p>
    <w:p w14:paraId="4CA0C0D0" w14:textId="77777777" w:rsidR="00F66201" w:rsidRPr="00F66201" w:rsidRDefault="00F66201" w:rsidP="00F66201">
      <w:pPr>
        <w:pStyle w:val="SingleTxtG"/>
        <w:ind w:left="2835" w:hanging="567"/>
        <w:rPr>
          <w:bCs/>
        </w:rPr>
      </w:pPr>
      <w:r w:rsidRPr="00F66201">
        <w:rPr>
          <w:bCs/>
        </w:rPr>
        <w:t>...</w:t>
      </w:r>
      <w:r w:rsidR="006C5C7A">
        <w:rPr>
          <w:bCs/>
        </w:rPr>
        <w:t> </w:t>
      </w:r>
      <w:r w:rsidRPr="00F66201">
        <w:rPr>
          <w:bCs/>
        </w:rPr>
        <w:t>»</w:t>
      </w:r>
      <w:r>
        <w:rPr>
          <w:bCs/>
        </w:rPr>
        <w:t>.</w:t>
      </w:r>
    </w:p>
    <w:p w14:paraId="4E11C2DA" w14:textId="77777777" w:rsidR="00F66201" w:rsidRPr="00275637" w:rsidRDefault="00F66201" w:rsidP="00F66201">
      <w:pPr>
        <w:pStyle w:val="SingleTxtG"/>
        <w:rPr>
          <w:b/>
          <w:bCs/>
          <w:sz w:val="24"/>
          <w:szCs w:val="24"/>
        </w:rPr>
      </w:pPr>
      <w:r w:rsidRPr="008C770D">
        <w:rPr>
          <w:i/>
          <w:iCs/>
          <w:lang w:val="fr-FR"/>
        </w:rPr>
        <w:t>Ajouter le nouveau paragraphe 4.5.6</w:t>
      </w:r>
      <w:r w:rsidRPr="00F66201">
        <w:rPr>
          <w:lang w:val="fr-FR"/>
        </w:rPr>
        <w:t>, libellé comme suit :</w:t>
      </w:r>
    </w:p>
    <w:p w14:paraId="1A6D167D" w14:textId="77777777" w:rsidR="00F66201" w:rsidRPr="00D76A45" w:rsidRDefault="00F66201" w:rsidP="006C5C7A">
      <w:pPr>
        <w:pStyle w:val="SingleTxtG"/>
        <w:ind w:left="2268" w:hanging="1134"/>
      </w:pPr>
      <w:r w:rsidRPr="00D76A45">
        <w:rPr>
          <w:lang w:val="fr-FR"/>
        </w:rPr>
        <w:t>«</w:t>
      </w:r>
      <w:r w:rsidR="006C5C7A">
        <w:rPr>
          <w:lang w:val="fr-FR"/>
        </w:rPr>
        <w:t> </w:t>
      </w:r>
      <w:r w:rsidRPr="006C5C7A">
        <w:rPr>
          <w:b/>
          <w:lang w:val="fr-FR"/>
        </w:rPr>
        <w:t>4.5.6</w:t>
      </w:r>
      <w:r w:rsidRPr="006C5C7A">
        <w:rPr>
          <w:b/>
          <w:lang w:val="fr-FR"/>
        </w:rPr>
        <w:tab/>
        <w:t>À la requête du demandeur</w:t>
      </w:r>
      <w:r w:rsidR="004739D5">
        <w:rPr>
          <w:b/>
          <w:lang w:val="fr-FR"/>
        </w:rPr>
        <w:t>,</w:t>
      </w:r>
      <w:r w:rsidRPr="006C5C7A">
        <w:rPr>
          <w:b/>
          <w:lang w:val="fr-FR"/>
        </w:rPr>
        <w:t xml:space="preserve"> la structure interne des éléments optiques ou la texture de l</w:t>
      </w:r>
      <w:r w:rsidR="0077692E">
        <w:rPr>
          <w:b/>
          <w:lang w:val="fr-FR"/>
        </w:rPr>
        <w:t>’</w:t>
      </w:r>
      <w:r w:rsidRPr="006C5C7A">
        <w:rPr>
          <w:b/>
          <w:lang w:val="fr-FR"/>
        </w:rPr>
        <w:t>intérieur de la glace extérieure (surface apparente) d</w:t>
      </w:r>
      <w:r w:rsidR="0077692E">
        <w:rPr>
          <w:b/>
          <w:lang w:val="fr-FR"/>
        </w:rPr>
        <w:t>’</w:t>
      </w:r>
      <w:r w:rsidRPr="006C5C7A">
        <w:rPr>
          <w:b/>
          <w:lang w:val="fr-FR"/>
        </w:rPr>
        <w:t>un feu peut arborer un logo de constructeur composé d</w:t>
      </w:r>
      <w:r w:rsidR="0077692E">
        <w:rPr>
          <w:b/>
          <w:lang w:val="fr-FR"/>
        </w:rPr>
        <w:t>’</w:t>
      </w:r>
      <w:r w:rsidRPr="006C5C7A">
        <w:rPr>
          <w:b/>
          <w:lang w:val="fr-FR"/>
        </w:rPr>
        <w:t>éléments transparents ou non transparents sous réserve que toutes les prescriptions applicables à la fonction visée par le présent Règlement et les conditions ci-après soient respectées :</w:t>
      </w:r>
    </w:p>
    <w:p w14:paraId="66048576" w14:textId="77777777" w:rsidR="00F66201" w:rsidRPr="006C5C7A" w:rsidRDefault="00F66201" w:rsidP="006C5C7A">
      <w:pPr>
        <w:pStyle w:val="SingleTxtG"/>
        <w:ind w:left="2835" w:hanging="567"/>
        <w:rPr>
          <w:b/>
        </w:rPr>
      </w:pPr>
      <w:r w:rsidRPr="006C5C7A">
        <w:rPr>
          <w:b/>
          <w:lang w:val="fr-FR"/>
        </w:rPr>
        <w:t>a)</w:t>
      </w:r>
      <w:r w:rsidRPr="006C5C7A">
        <w:rPr>
          <w:b/>
          <w:lang w:val="fr-FR"/>
        </w:rPr>
        <w:tab/>
        <w:t>Indépendamment des dispositions du paragraphe 3.3 relatives au marquage, seul le logo de l</w:t>
      </w:r>
      <w:r w:rsidR="0077692E">
        <w:rPr>
          <w:b/>
          <w:lang w:val="fr-FR"/>
        </w:rPr>
        <w:t>’</w:t>
      </w:r>
      <w:r w:rsidRPr="006C5C7A">
        <w:rPr>
          <w:b/>
          <w:lang w:val="fr-FR"/>
        </w:rPr>
        <w:t>appellation commerciale du constructeur du véhicule ou du carrossier peut être intégré. Le demandeur doit confirmer par écrit que le logo fait bien partie de ceux autorisés (voir par. 3.1.2.2</w:t>
      </w:r>
      <w:r w:rsidR="004739D5">
        <w:rPr>
          <w:b/>
          <w:lang w:val="fr-FR"/>
        </w:rPr>
        <w:t> </w:t>
      </w:r>
      <w:r w:rsidRPr="006C5C7A">
        <w:rPr>
          <w:b/>
          <w:lang w:val="fr-FR"/>
        </w:rPr>
        <w:t>e))</w:t>
      </w:r>
      <w:r w:rsidR="006C5C7A">
        <w:rPr>
          <w:b/>
          <w:lang w:val="fr-FR"/>
        </w:rPr>
        <w:t> ;</w:t>
      </w:r>
    </w:p>
    <w:p w14:paraId="5680E7B7" w14:textId="77777777" w:rsidR="00F66201" w:rsidRPr="006C5C7A" w:rsidRDefault="00F66201" w:rsidP="006C5C7A">
      <w:pPr>
        <w:pStyle w:val="SingleTxtG"/>
        <w:ind w:left="2835" w:hanging="567"/>
        <w:rPr>
          <w:b/>
          <w:lang w:val="fr-FR"/>
        </w:rPr>
      </w:pPr>
      <w:r w:rsidRPr="006C5C7A">
        <w:rPr>
          <w:b/>
          <w:lang w:val="fr-FR"/>
        </w:rPr>
        <w:t>b)</w:t>
      </w:r>
      <w:r w:rsidRPr="006C5C7A">
        <w:rPr>
          <w:b/>
          <w:lang w:val="fr-FR"/>
        </w:rPr>
        <w:tab/>
        <w:t>S</w:t>
      </w:r>
      <w:r w:rsidR="0077692E">
        <w:rPr>
          <w:b/>
          <w:lang w:val="fr-FR"/>
        </w:rPr>
        <w:t>’</w:t>
      </w:r>
      <w:r w:rsidRPr="006C5C7A">
        <w:rPr>
          <w:b/>
          <w:lang w:val="fr-FR"/>
        </w:rPr>
        <w:t>agissant de la taille, l</w:t>
      </w:r>
      <w:r w:rsidR="0077692E">
        <w:rPr>
          <w:b/>
          <w:lang w:val="fr-FR"/>
        </w:rPr>
        <w:t>’</w:t>
      </w:r>
      <w:r w:rsidRPr="006C5C7A">
        <w:rPr>
          <w:b/>
          <w:lang w:val="fr-FR"/>
        </w:rPr>
        <w:t>ensemble de la surface de sortie de la lumière du logo (composée des éléments transparents ou non transparents du logo) dans la direction de l</w:t>
      </w:r>
      <w:r w:rsidR="0077692E">
        <w:rPr>
          <w:b/>
          <w:lang w:val="fr-FR"/>
        </w:rPr>
        <w:t>’</w:t>
      </w:r>
      <w:r w:rsidRPr="006C5C7A">
        <w:rPr>
          <w:b/>
          <w:lang w:val="fr-FR"/>
        </w:rPr>
        <w:t>axe de référence ne doit pas excéder 100 cm</w:t>
      </w:r>
      <w:r w:rsidRPr="006C5C7A">
        <w:rPr>
          <w:b/>
          <w:vertAlign w:val="superscript"/>
          <w:lang w:val="fr-FR"/>
        </w:rPr>
        <w:t>2</w:t>
      </w:r>
      <w:r w:rsidR="006C5C7A" w:rsidRPr="006C5C7A">
        <w:rPr>
          <w:b/>
          <w:lang w:val="fr-FR"/>
        </w:rPr>
        <w:t> </w:t>
      </w:r>
      <w:r w:rsidR="006C5C7A">
        <w:rPr>
          <w:b/>
          <w:lang w:val="fr-FR"/>
        </w:rPr>
        <w:t>;</w:t>
      </w:r>
    </w:p>
    <w:p w14:paraId="2A464E3E" w14:textId="77777777" w:rsidR="00F66201" w:rsidRPr="006C5C7A" w:rsidRDefault="00F66201" w:rsidP="006C5C7A">
      <w:pPr>
        <w:pStyle w:val="SingleTxtG"/>
        <w:ind w:left="2835" w:hanging="567"/>
        <w:rPr>
          <w:b/>
          <w:lang w:val="fr-FR"/>
        </w:rPr>
      </w:pPr>
      <w:r w:rsidRPr="006C5C7A">
        <w:rPr>
          <w:b/>
          <w:lang w:val="fr-FR"/>
        </w:rPr>
        <w:t>c)</w:t>
      </w:r>
      <w:r w:rsidRPr="006C5C7A">
        <w:rPr>
          <w:b/>
          <w:lang w:val="fr-FR"/>
        </w:rPr>
        <w:tab/>
        <w:t>S</w:t>
      </w:r>
      <w:r w:rsidR="0077692E">
        <w:rPr>
          <w:b/>
          <w:lang w:val="fr-FR"/>
        </w:rPr>
        <w:t>’</w:t>
      </w:r>
      <w:r w:rsidRPr="006C5C7A">
        <w:rPr>
          <w:b/>
          <w:lang w:val="fr-FR"/>
        </w:rPr>
        <w:t>agissant de la symétrie, il n</w:t>
      </w:r>
      <w:r w:rsidR="0077692E">
        <w:rPr>
          <w:b/>
          <w:lang w:val="fr-FR"/>
        </w:rPr>
        <w:t>’</w:t>
      </w:r>
      <w:r w:rsidRPr="006C5C7A">
        <w:rPr>
          <w:b/>
          <w:lang w:val="fr-FR"/>
        </w:rPr>
        <w:t>est pas nécessaire que la surface de sortie de la lumière du logo en tant que telle soit symétrique, nonobstant les prescriptions de l</w:t>
      </w:r>
      <w:r w:rsidR="0077692E">
        <w:rPr>
          <w:b/>
          <w:lang w:val="fr-FR"/>
        </w:rPr>
        <w:t>’</w:t>
      </w:r>
      <w:r w:rsidRPr="006C5C7A">
        <w:rPr>
          <w:b/>
          <w:lang w:val="fr-FR"/>
        </w:rPr>
        <w:t>article 5.5.2 du Règlement ONU n</w:t>
      </w:r>
      <w:r w:rsidRPr="006C5C7A">
        <w:rPr>
          <w:b/>
          <w:vertAlign w:val="superscript"/>
          <w:lang w:val="fr-FR"/>
        </w:rPr>
        <w:t>o</w:t>
      </w:r>
      <w:r w:rsidRPr="006C5C7A">
        <w:rPr>
          <w:b/>
          <w:lang w:val="fr-FR"/>
        </w:rPr>
        <w:t> 48</w:t>
      </w:r>
      <w:r w:rsidR="006C5C7A">
        <w:rPr>
          <w:b/>
          <w:lang w:val="fr-FR"/>
        </w:rPr>
        <w:t> ;</w:t>
      </w:r>
    </w:p>
    <w:p w14:paraId="6634768A" w14:textId="77777777" w:rsidR="00F66201" w:rsidRPr="006C5C7A" w:rsidRDefault="00F66201" w:rsidP="006C5C7A">
      <w:pPr>
        <w:pStyle w:val="SingleTxtG"/>
        <w:ind w:left="2835" w:hanging="567"/>
        <w:rPr>
          <w:b/>
          <w:lang w:val="fr-FR"/>
        </w:rPr>
      </w:pPr>
      <w:r w:rsidRPr="006C5C7A">
        <w:rPr>
          <w:b/>
          <w:lang w:val="fr-FR"/>
        </w:rPr>
        <w:t>d)</w:t>
      </w:r>
      <w:r w:rsidRPr="006C5C7A">
        <w:rPr>
          <w:b/>
          <w:lang w:val="fr-FR"/>
        </w:rPr>
        <w:tab/>
        <w:t>Les feux-stop ne doivent comporter aucun logo</w:t>
      </w:r>
      <w:r w:rsidR="006C5C7A">
        <w:rPr>
          <w:b/>
          <w:lang w:val="fr-FR"/>
        </w:rPr>
        <w:t> ;</w:t>
      </w:r>
    </w:p>
    <w:p w14:paraId="05B47A0E" w14:textId="77777777" w:rsidR="00F66201" w:rsidRPr="00930B2A" w:rsidRDefault="00F66201" w:rsidP="006C5C7A">
      <w:pPr>
        <w:pStyle w:val="SingleTxtG"/>
        <w:ind w:left="2835" w:hanging="567"/>
        <w:rPr>
          <w:b/>
          <w:sz w:val="24"/>
          <w:szCs w:val="24"/>
        </w:rPr>
      </w:pPr>
      <w:r w:rsidRPr="006C5C7A">
        <w:rPr>
          <w:b/>
          <w:lang w:val="fr-FR"/>
        </w:rPr>
        <w:t>e)</w:t>
      </w:r>
      <w:r w:rsidRPr="006C5C7A">
        <w:rPr>
          <w:b/>
          <w:lang w:val="fr-FR"/>
        </w:rPr>
        <w:tab/>
        <w:t>Les feux en forme de bande ne doivent comporter aucun logo.</w:t>
      </w:r>
      <w:r w:rsidR="006C5C7A">
        <w:rPr>
          <w:b/>
          <w:lang w:val="fr-FR"/>
        </w:rPr>
        <w:t> </w:t>
      </w:r>
      <w:r w:rsidRPr="006C5C7A">
        <w:rPr>
          <w:lang w:val="fr-FR"/>
        </w:rPr>
        <w:t>»</w:t>
      </w:r>
      <w:r w:rsidR="006C5C7A">
        <w:rPr>
          <w:lang w:val="fr-FR"/>
        </w:rPr>
        <w:t>.</w:t>
      </w:r>
    </w:p>
    <w:p w14:paraId="77BB3077" w14:textId="77777777" w:rsidR="00F66201" w:rsidRPr="0022516A" w:rsidRDefault="00F66201" w:rsidP="006C5C7A">
      <w:pPr>
        <w:pStyle w:val="H1G"/>
        <w:rPr>
          <w:rFonts w:eastAsia="SimSun"/>
        </w:rPr>
      </w:pPr>
      <w:r>
        <w:rPr>
          <w:lang w:val="fr-FR"/>
        </w:rPr>
        <w:tab/>
        <w:t>B.</w:t>
      </w:r>
      <w:r>
        <w:rPr>
          <w:lang w:val="fr-FR"/>
        </w:rPr>
        <w:tab/>
      </w:r>
      <w:r w:rsidRPr="006C5C7A">
        <w:rPr>
          <w:lang w:val="fr-FR"/>
        </w:rPr>
        <w:t>Proposition de complément à la série 06 d</w:t>
      </w:r>
      <w:r w:rsidR="0077692E">
        <w:rPr>
          <w:lang w:val="fr-FR"/>
        </w:rPr>
        <w:t>’</w:t>
      </w:r>
      <w:r w:rsidRPr="006C5C7A">
        <w:rPr>
          <w:lang w:val="fr-FR"/>
        </w:rPr>
        <w:t xml:space="preserve">amendements </w:t>
      </w:r>
      <w:r w:rsidR="006C5C7A">
        <w:rPr>
          <w:lang w:val="fr-FR"/>
        </w:rPr>
        <w:br/>
      </w:r>
      <w:r w:rsidRPr="006C5C7A">
        <w:rPr>
          <w:lang w:val="fr-FR"/>
        </w:rPr>
        <w:t>au Règlement ONU n</w:t>
      </w:r>
      <w:r w:rsidRPr="006C5C7A">
        <w:rPr>
          <w:vertAlign w:val="superscript"/>
          <w:lang w:val="fr-FR"/>
        </w:rPr>
        <w:t>o</w:t>
      </w:r>
      <w:r w:rsidRPr="006C5C7A">
        <w:rPr>
          <w:lang w:val="fr-FR"/>
        </w:rPr>
        <w:t> 48</w:t>
      </w:r>
    </w:p>
    <w:p w14:paraId="633F4D13" w14:textId="77777777" w:rsidR="00F66201" w:rsidRPr="00C25D5A" w:rsidRDefault="00F66201" w:rsidP="006C5C7A">
      <w:pPr>
        <w:pStyle w:val="SingleTxtG"/>
      </w:pPr>
      <w:r>
        <w:rPr>
          <w:i/>
          <w:iCs/>
          <w:lang w:val="fr-FR"/>
        </w:rPr>
        <w:t>Ajouter le nouveau paragraphe 2.1.7</w:t>
      </w:r>
      <w:r>
        <w:rPr>
          <w:lang w:val="fr-FR"/>
        </w:rPr>
        <w:t>, libellé comme suit :</w:t>
      </w:r>
    </w:p>
    <w:p w14:paraId="0E7CB7E2" w14:textId="77777777" w:rsidR="00F66201" w:rsidRPr="007D352E" w:rsidRDefault="00F66201" w:rsidP="006C5C7A">
      <w:pPr>
        <w:pStyle w:val="SingleTxtG"/>
        <w:ind w:left="2268" w:hanging="1134"/>
        <w:rPr>
          <w:b/>
        </w:rPr>
      </w:pPr>
      <w:r w:rsidRPr="006C5C7A">
        <w:rPr>
          <w:bCs/>
          <w:lang w:val="fr-FR"/>
        </w:rPr>
        <w:t>«</w:t>
      </w:r>
      <w:r>
        <w:rPr>
          <w:b/>
          <w:bCs/>
          <w:lang w:val="fr-FR"/>
        </w:rPr>
        <w:t> </w:t>
      </w:r>
      <w:r w:rsidR="006C5C7A">
        <w:rPr>
          <w:b/>
          <w:bCs/>
          <w:lang w:val="fr-FR"/>
        </w:rPr>
        <w:t> </w:t>
      </w:r>
      <w:r>
        <w:rPr>
          <w:b/>
          <w:bCs/>
          <w:lang w:val="fr-FR"/>
        </w:rPr>
        <w:t>2.1.7</w:t>
      </w:r>
      <w:r>
        <w:rPr>
          <w:lang w:val="fr-FR"/>
        </w:rPr>
        <w:tab/>
      </w:r>
      <w:r w:rsidR="006C5C7A" w:rsidRPr="006C5C7A">
        <w:rPr>
          <w:b/>
          <w:lang w:val="fr-FR"/>
        </w:rPr>
        <w:t>“</w:t>
      </w:r>
      <w:r>
        <w:rPr>
          <w:b/>
          <w:bCs/>
          <w:i/>
          <w:iCs/>
          <w:lang w:val="fr-FR"/>
        </w:rPr>
        <w:t>Logo du constructeur</w:t>
      </w:r>
      <w:r w:rsidR="006C5C7A">
        <w:rPr>
          <w:b/>
          <w:bCs/>
          <w:lang w:val="fr-FR"/>
        </w:rPr>
        <w:t>”</w:t>
      </w:r>
      <w:r>
        <w:rPr>
          <w:b/>
          <w:bCs/>
          <w:lang w:val="fr-FR"/>
        </w:rPr>
        <w:t xml:space="preserve">, un signe graphique, un emblème, un mot ou une </w:t>
      </w:r>
      <w:r w:rsidRPr="006C5C7A">
        <w:rPr>
          <w:b/>
          <w:lang w:val="fr-FR"/>
        </w:rPr>
        <w:t>combinaison</w:t>
      </w:r>
      <w:r>
        <w:rPr>
          <w:b/>
          <w:bCs/>
          <w:lang w:val="fr-FR"/>
        </w:rPr>
        <w:t xml:space="preserve"> de ces différents éléments visant à faciliter l</w:t>
      </w:r>
      <w:r w:rsidR="0077692E">
        <w:rPr>
          <w:b/>
          <w:bCs/>
          <w:lang w:val="fr-FR"/>
        </w:rPr>
        <w:t>’</w:t>
      </w:r>
      <w:r>
        <w:rPr>
          <w:b/>
          <w:bCs/>
          <w:lang w:val="fr-FR"/>
        </w:rPr>
        <w:t>identification et la reconnaissance de la marque d</w:t>
      </w:r>
      <w:r w:rsidR="0077692E">
        <w:rPr>
          <w:b/>
          <w:bCs/>
          <w:lang w:val="fr-FR"/>
        </w:rPr>
        <w:t>’</w:t>
      </w:r>
      <w:r>
        <w:rPr>
          <w:b/>
          <w:bCs/>
          <w:lang w:val="fr-FR"/>
        </w:rPr>
        <w:t>un constructeur.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Ce logo doit être déposé et faire partie de la charte graphique officielle du constructeur.</w:t>
      </w:r>
      <w:r w:rsidR="006C5C7A">
        <w:rPr>
          <w:b/>
          <w:bCs/>
          <w:lang w:val="fr-FR"/>
        </w:rPr>
        <w:t> </w:t>
      </w:r>
      <w:r w:rsidRPr="006C5C7A">
        <w:rPr>
          <w:bCs/>
          <w:lang w:val="fr-FR"/>
        </w:rPr>
        <w:t>»</w:t>
      </w:r>
      <w:r w:rsidR="006C5C7A">
        <w:rPr>
          <w:bCs/>
          <w:lang w:val="fr-FR"/>
        </w:rPr>
        <w:t>.</w:t>
      </w:r>
    </w:p>
    <w:p w14:paraId="61A714BE" w14:textId="77777777" w:rsidR="00F66201" w:rsidRPr="00C25D5A" w:rsidRDefault="00F66201" w:rsidP="006C5C7A">
      <w:pPr>
        <w:pStyle w:val="SingleTxtG"/>
        <w:keepNext/>
      </w:pPr>
      <w:r>
        <w:rPr>
          <w:i/>
          <w:iCs/>
          <w:lang w:val="fr-FR"/>
        </w:rPr>
        <w:lastRenderedPageBreak/>
        <w:t xml:space="preserve">Ajouter le nouveau paragraphe 5.5.5, </w:t>
      </w:r>
      <w:r>
        <w:rPr>
          <w:lang w:val="fr-FR"/>
        </w:rPr>
        <w:t>libellé comme suit :</w:t>
      </w:r>
    </w:p>
    <w:p w14:paraId="61D3AD57" w14:textId="77777777" w:rsidR="00F66201" w:rsidRPr="00C36075" w:rsidRDefault="00F66201" w:rsidP="006C5C7A">
      <w:pPr>
        <w:pStyle w:val="SingleTxtG"/>
        <w:keepNext/>
        <w:ind w:left="2268" w:hanging="1134"/>
        <w:rPr>
          <w:i/>
          <w:color w:val="000000"/>
          <w:sz w:val="18"/>
          <w:szCs w:val="18"/>
        </w:rPr>
      </w:pPr>
      <w:r w:rsidRPr="006C5C7A">
        <w:rPr>
          <w:bCs/>
          <w:lang w:val="fr-FR"/>
        </w:rPr>
        <w:t>«</w:t>
      </w:r>
      <w:r w:rsidR="006C5C7A">
        <w:rPr>
          <w:b/>
          <w:bCs/>
          <w:lang w:val="fr-FR"/>
        </w:rPr>
        <w:t> </w:t>
      </w:r>
      <w:r>
        <w:rPr>
          <w:b/>
          <w:bCs/>
          <w:lang w:val="fr-FR"/>
        </w:rPr>
        <w:t>5.5.5</w:t>
      </w:r>
      <w:r>
        <w:rPr>
          <w:lang w:val="fr-FR"/>
        </w:rPr>
        <w:tab/>
      </w:r>
      <w:r>
        <w:rPr>
          <w:b/>
          <w:bCs/>
          <w:lang w:val="fr-FR"/>
        </w:rPr>
        <w:t>Dans le cas des feux arborant un logo de constructeur, n</w:t>
      </w:r>
      <w:r w:rsidR="0077692E">
        <w:rPr>
          <w:b/>
          <w:bCs/>
          <w:lang w:val="fr-FR"/>
        </w:rPr>
        <w:t>’</w:t>
      </w:r>
      <w:r>
        <w:rPr>
          <w:b/>
          <w:bCs/>
          <w:lang w:val="fr-FR"/>
        </w:rPr>
        <w:t>être que deux à l</w:t>
      </w:r>
      <w:r w:rsidR="0077692E">
        <w:rPr>
          <w:b/>
          <w:bCs/>
          <w:lang w:val="fr-FR"/>
        </w:rPr>
        <w:t>’</w:t>
      </w:r>
      <w:r>
        <w:rPr>
          <w:b/>
          <w:bCs/>
          <w:lang w:val="fr-FR"/>
        </w:rPr>
        <w:t>arrière et/ou à l</w:t>
      </w:r>
      <w:r w:rsidR="0077692E">
        <w:rPr>
          <w:b/>
          <w:bCs/>
          <w:lang w:val="fr-FR"/>
        </w:rPr>
        <w:t>’</w:t>
      </w:r>
      <w:r>
        <w:rPr>
          <w:b/>
          <w:bCs/>
          <w:lang w:val="fr-FR"/>
        </w:rPr>
        <w:t>avant du véhicule, soit un de chaque côté.</w:t>
      </w:r>
      <w:r w:rsidR="006C5C7A">
        <w:rPr>
          <w:b/>
          <w:bCs/>
          <w:lang w:val="fr-FR"/>
        </w:rPr>
        <w:t> </w:t>
      </w:r>
      <w:r w:rsidRPr="006C5C7A">
        <w:rPr>
          <w:bCs/>
          <w:lang w:val="fr-FR"/>
        </w:rPr>
        <w:t>»</w:t>
      </w:r>
      <w:r w:rsidR="006C5C7A">
        <w:rPr>
          <w:bCs/>
          <w:lang w:val="fr-FR"/>
        </w:rPr>
        <w:t>.</w:t>
      </w:r>
    </w:p>
    <w:p w14:paraId="10ADC72A" w14:textId="77777777" w:rsidR="00F66201" w:rsidRPr="006C5C7A" w:rsidRDefault="00F66201" w:rsidP="006C5C7A">
      <w:pPr>
        <w:pStyle w:val="HChG"/>
        <w:rPr>
          <w:lang w:val="fr-FR"/>
        </w:rPr>
      </w:pPr>
      <w:r>
        <w:rPr>
          <w:lang w:val="fr-FR"/>
        </w:rPr>
        <w:tab/>
        <w:t>II.</w:t>
      </w:r>
      <w:r>
        <w:rPr>
          <w:lang w:val="fr-FR"/>
        </w:rPr>
        <w:tab/>
      </w:r>
      <w:r w:rsidRPr="006C5C7A">
        <w:rPr>
          <w:lang w:val="fr-FR"/>
        </w:rPr>
        <w:t>Justification</w:t>
      </w:r>
    </w:p>
    <w:p w14:paraId="75BE4097" w14:textId="77777777" w:rsidR="00F66201" w:rsidRPr="006C5C7A" w:rsidRDefault="00F66201" w:rsidP="006C5C7A">
      <w:pPr>
        <w:pStyle w:val="SingleTxtG"/>
        <w:rPr>
          <w:spacing w:val="-2"/>
        </w:rPr>
      </w:pPr>
      <w:r w:rsidRPr="006C5C7A">
        <w:rPr>
          <w:spacing w:val="-2"/>
          <w:lang w:val="fr-FR"/>
        </w:rPr>
        <w:t>1.</w:t>
      </w:r>
      <w:r w:rsidRPr="006C5C7A">
        <w:rPr>
          <w:spacing w:val="-2"/>
          <w:lang w:val="fr-FR"/>
        </w:rPr>
        <w:tab/>
        <w:t>Ces dernières années, des feux ayant des surfaces apparentes susceptibles d</w:t>
      </w:r>
      <w:r w:rsidR="0077692E">
        <w:rPr>
          <w:spacing w:val="-2"/>
          <w:lang w:val="fr-FR"/>
        </w:rPr>
        <w:t>’</w:t>
      </w:r>
      <w:r w:rsidRPr="006C5C7A">
        <w:rPr>
          <w:spacing w:val="-2"/>
          <w:lang w:val="fr-FR"/>
        </w:rPr>
        <w:t>avoir une forme évocatrice, suggestive ou figurative ont été homologués. À la soixante-dix-huitième session du GRE, les experts de la France et de l</w:t>
      </w:r>
      <w:r w:rsidR="0077692E">
        <w:rPr>
          <w:spacing w:val="-2"/>
          <w:lang w:val="fr-FR"/>
        </w:rPr>
        <w:t>’</w:t>
      </w:r>
      <w:r w:rsidRPr="006C5C7A">
        <w:rPr>
          <w:spacing w:val="-2"/>
          <w:lang w:val="fr-FR"/>
        </w:rPr>
        <w:t>Allemagne se sont interrogés à cet égard (GRE-78-3). Pour donner suite à ces échanges, un questionnaire a été établi et envoyé à toutes les Parties contractantes. Les résultats ont été présentés à la quatre-vingtième session du GRE (GRE</w:t>
      </w:r>
      <w:r w:rsidR="003C518C">
        <w:rPr>
          <w:spacing w:val="-2"/>
          <w:lang w:val="fr-FR"/>
        </w:rPr>
        <w:t>-</w:t>
      </w:r>
      <w:r w:rsidRPr="006C5C7A">
        <w:rPr>
          <w:spacing w:val="-2"/>
          <w:lang w:val="fr-FR"/>
        </w:rPr>
        <w:t>80-28). Une proposition officielle (ECE/TRANS/WP.29/GRE/2019/6) a été soumise par les experts de la France et de l</w:t>
      </w:r>
      <w:r w:rsidR="0077692E">
        <w:rPr>
          <w:spacing w:val="-2"/>
          <w:lang w:val="fr-FR"/>
        </w:rPr>
        <w:t>’</w:t>
      </w:r>
      <w:r w:rsidRPr="006C5C7A">
        <w:rPr>
          <w:spacing w:val="-2"/>
          <w:lang w:val="fr-FR"/>
        </w:rPr>
        <w:t>Allemagne à la quatre-vingt-unième session du GRE, dont les participants ont estimé qu</w:t>
      </w:r>
      <w:r w:rsidR="0077692E">
        <w:rPr>
          <w:spacing w:val="-2"/>
          <w:lang w:val="fr-FR"/>
        </w:rPr>
        <w:t>’</w:t>
      </w:r>
      <w:r w:rsidRPr="006C5C7A">
        <w:rPr>
          <w:spacing w:val="-2"/>
          <w:lang w:val="fr-FR"/>
        </w:rPr>
        <w:t>il convenait de définir clairement le terme «</w:t>
      </w:r>
      <w:r w:rsidR="006C5C7A">
        <w:rPr>
          <w:spacing w:val="-2"/>
          <w:lang w:val="fr-FR"/>
        </w:rPr>
        <w:t> </w:t>
      </w:r>
      <w:r w:rsidRPr="006C5C7A">
        <w:rPr>
          <w:spacing w:val="-2"/>
          <w:lang w:val="fr-FR"/>
        </w:rPr>
        <w:t>logo</w:t>
      </w:r>
      <w:r w:rsidR="006C5C7A">
        <w:rPr>
          <w:spacing w:val="-2"/>
          <w:lang w:val="fr-FR"/>
        </w:rPr>
        <w:t> </w:t>
      </w:r>
      <w:r w:rsidRPr="006C5C7A">
        <w:rPr>
          <w:spacing w:val="-2"/>
          <w:lang w:val="fr-FR"/>
        </w:rPr>
        <w:t>». La présente proposition révisée a été établie en tenant compte des observations formulées à cette session.</w:t>
      </w:r>
    </w:p>
    <w:p w14:paraId="1EC0D2C0" w14:textId="77777777" w:rsidR="00F66201" w:rsidRDefault="00F66201" w:rsidP="006C5C7A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Il y a été débattu des principes énoncés ci-après en vue de parvenir facilement à un compromis concernant les logos autorisés</w:t>
      </w:r>
      <w:r w:rsidR="003C518C">
        <w:rPr>
          <w:lang w:val="fr-FR"/>
        </w:rPr>
        <w:t> :</w:t>
      </w:r>
    </w:p>
    <w:p w14:paraId="6661C6D2" w14:textId="77777777" w:rsidR="00F66201" w:rsidRPr="008461C3" w:rsidRDefault="00F66201" w:rsidP="00DB09BB">
      <w:pPr>
        <w:pStyle w:val="Bullet1G"/>
      </w:pPr>
      <w:r w:rsidRPr="008461C3">
        <w:rPr>
          <w:lang w:val="fr-FR"/>
        </w:rPr>
        <w:t>Ajout de la définition du terme «</w:t>
      </w:r>
      <w:r w:rsidR="00DB09BB">
        <w:rPr>
          <w:lang w:val="fr-FR"/>
        </w:rPr>
        <w:t> </w:t>
      </w:r>
      <w:r w:rsidRPr="008461C3">
        <w:rPr>
          <w:lang w:val="fr-FR"/>
        </w:rPr>
        <w:t>logo du constructeur</w:t>
      </w:r>
      <w:r w:rsidR="00DB09BB">
        <w:rPr>
          <w:lang w:val="fr-FR"/>
        </w:rPr>
        <w:t> </w:t>
      </w:r>
      <w:r w:rsidRPr="008461C3">
        <w:rPr>
          <w:lang w:val="fr-FR"/>
        </w:rPr>
        <w:t>»</w:t>
      </w:r>
      <w:r w:rsidR="00DB09BB">
        <w:rPr>
          <w:lang w:val="fr-FR"/>
        </w:rPr>
        <w:t> ;</w:t>
      </w:r>
    </w:p>
    <w:p w14:paraId="50155389" w14:textId="77777777" w:rsidR="00F66201" w:rsidRPr="00DB09BB" w:rsidRDefault="00F66201" w:rsidP="00DB09BB">
      <w:pPr>
        <w:pStyle w:val="Bullet1G"/>
        <w:rPr>
          <w:lang w:val="fr-FR"/>
        </w:rPr>
      </w:pPr>
      <w:r w:rsidRPr="00DB09BB">
        <w:rPr>
          <w:lang w:val="fr-FR"/>
        </w:rPr>
        <w:t>Seul le logo du constructeur du véhicule est autorisé (même dans le cas de l</w:t>
      </w:r>
      <w:r w:rsidR="0077692E">
        <w:rPr>
          <w:lang w:val="fr-FR"/>
        </w:rPr>
        <w:t>’</w:t>
      </w:r>
      <w:r w:rsidRPr="00DB09BB">
        <w:rPr>
          <w:lang w:val="fr-FR"/>
        </w:rPr>
        <w:t>homologation de type du véhicule en plusieurs étapes). Les logos des équipementiers ne sont pas autorisés</w:t>
      </w:r>
      <w:r w:rsidR="00DB09BB">
        <w:rPr>
          <w:lang w:val="fr-FR"/>
        </w:rPr>
        <w:t> ;</w:t>
      </w:r>
    </w:p>
    <w:p w14:paraId="5D32822A" w14:textId="77777777" w:rsidR="00F66201" w:rsidRPr="00DB09BB" w:rsidRDefault="00F66201" w:rsidP="00DB09BB">
      <w:pPr>
        <w:pStyle w:val="Bullet1G"/>
        <w:rPr>
          <w:lang w:val="fr-FR"/>
        </w:rPr>
      </w:pPr>
      <w:r>
        <w:rPr>
          <w:lang w:val="fr-FR"/>
        </w:rPr>
        <w:t>Le logo doit faire l</w:t>
      </w:r>
      <w:r w:rsidR="0077692E">
        <w:rPr>
          <w:lang w:val="fr-FR"/>
        </w:rPr>
        <w:t>’</w:t>
      </w:r>
      <w:r>
        <w:rPr>
          <w:lang w:val="fr-FR"/>
        </w:rPr>
        <w:t>objet d</w:t>
      </w:r>
      <w:r w:rsidR="0077692E">
        <w:rPr>
          <w:lang w:val="fr-FR"/>
        </w:rPr>
        <w:t>’</w:t>
      </w:r>
      <w:r>
        <w:rPr>
          <w:lang w:val="fr-FR"/>
        </w:rPr>
        <w:t>une homologation de type en tant qu</w:t>
      </w:r>
      <w:r w:rsidR="0077692E">
        <w:rPr>
          <w:lang w:val="fr-FR"/>
        </w:rPr>
        <w:t>’</w:t>
      </w:r>
      <w:r>
        <w:rPr>
          <w:lang w:val="fr-FR"/>
        </w:rPr>
        <w:t>élément d</w:t>
      </w:r>
      <w:r w:rsidR="0077692E">
        <w:rPr>
          <w:lang w:val="fr-FR"/>
        </w:rPr>
        <w:t>’</w:t>
      </w:r>
      <w:r>
        <w:rPr>
          <w:lang w:val="fr-FR"/>
        </w:rPr>
        <w:t>un feu de signalisation déjà existant (à savoir un feu de position avant ou arrière)</w:t>
      </w:r>
      <w:r w:rsidR="00DB09BB">
        <w:rPr>
          <w:lang w:val="fr-FR"/>
        </w:rPr>
        <w:t> ;</w:t>
      </w:r>
    </w:p>
    <w:p w14:paraId="75B86576" w14:textId="77777777" w:rsidR="00F66201" w:rsidRPr="00DB09BB" w:rsidRDefault="00F66201" w:rsidP="00DB09BB">
      <w:pPr>
        <w:pStyle w:val="Bullet1G"/>
        <w:rPr>
          <w:lang w:val="fr-FR"/>
        </w:rPr>
      </w:pPr>
      <w:r>
        <w:rPr>
          <w:lang w:val="fr-FR"/>
        </w:rPr>
        <w:t>Le logo doit être placé à l</w:t>
      </w:r>
      <w:r w:rsidR="0077692E">
        <w:rPr>
          <w:lang w:val="fr-FR"/>
        </w:rPr>
        <w:t>’</w:t>
      </w:r>
      <w:r>
        <w:rPr>
          <w:lang w:val="fr-FR"/>
        </w:rPr>
        <w:t>avant ou à l</w:t>
      </w:r>
      <w:r w:rsidR="0077692E">
        <w:rPr>
          <w:lang w:val="fr-FR"/>
        </w:rPr>
        <w:t>’</w:t>
      </w:r>
      <w:r>
        <w:rPr>
          <w:lang w:val="fr-FR"/>
        </w:rPr>
        <w:t>arrière du véhicule</w:t>
      </w:r>
      <w:r w:rsidR="00DB09BB">
        <w:rPr>
          <w:lang w:val="fr-FR"/>
        </w:rPr>
        <w:t> ;</w:t>
      </w:r>
    </w:p>
    <w:p w14:paraId="3E1968C3" w14:textId="77777777" w:rsidR="00F66201" w:rsidRPr="00DB09BB" w:rsidRDefault="00F66201" w:rsidP="00DB09BB">
      <w:pPr>
        <w:pStyle w:val="Bullet1G"/>
      </w:pPr>
      <w:r>
        <w:rPr>
          <w:lang w:val="fr-FR"/>
        </w:rPr>
        <w:t>En ce qui concerne le nombre de logos :</w:t>
      </w:r>
    </w:p>
    <w:p w14:paraId="6FD4D548" w14:textId="77777777" w:rsidR="00DB09BB" w:rsidRPr="00FC73C2" w:rsidRDefault="00DB09BB" w:rsidP="00E33225">
      <w:pPr>
        <w:pStyle w:val="SingleTxtG"/>
        <w:tabs>
          <w:tab w:val="left" w:pos="2552"/>
        </w:tabs>
        <w:ind w:left="2269" w:hanging="284"/>
      </w:pPr>
      <w:r>
        <w:rPr>
          <w:rFonts w:eastAsia="MS Mincho"/>
        </w:rPr>
        <w:t>–</w:t>
      </w:r>
      <w:r>
        <w:rPr>
          <w:rFonts w:eastAsia="MS Mincho"/>
        </w:rPr>
        <w:tab/>
      </w:r>
      <w:r>
        <w:rPr>
          <w:lang w:val="fr-FR"/>
        </w:rPr>
        <w:t>Il peut n</w:t>
      </w:r>
      <w:r w:rsidR="0077692E">
        <w:rPr>
          <w:lang w:val="fr-FR"/>
        </w:rPr>
        <w:t>’</w:t>
      </w:r>
      <w:r>
        <w:rPr>
          <w:lang w:val="fr-FR"/>
        </w:rPr>
        <w:t>y en avoir que deux à l</w:t>
      </w:r>
      <w:r w:rsidR="0077692E">
        <w:rPr>
          <w:lang w:val="fr-FR"/>
        </w:rPr>
        <w:t>’</w:t>
      </w:r>
      <w:r>
        <w:rPr>
          <w:lang w:val="fr-FR"/>
        </w:rPr>
        <w:t>arrière, soit un de chaque côté, et/ou deux à l</w:t>
      </w:r>
      <w:r w:rsidR="0077692E">
        <w:rPr>
          <w:lang w:val="fr-FR"/>
        </w:rPr>
        <w:t>’</w:t>
      </w:r>
      <w:r>
        <w:rPr>
          <w:lang w:val="fr-FR"/>
        </w:rPr>
        <w:t>avant, soit un de chaque côté ;</w:t>
      </w:r>
    </w:p>
    <w:p w14:paraId="53072032" w14:textId="77777777" w:rsidR="00F66201" w:rsidRPr="00FC73C2" w:rsidRDefault="00DB09BB" w:rsidP="00E33225">
      <w:pPr>
        <w:pStyle w:val="SingleTxtG"/>
        <w:tabs>
          <w:tab w:val="left" w:pos="2552"/>
        </w:tabs>
        <w:ind w:left="2269" w:hanging="284"/>
      </w:pPr>
      <w:r>
        <w:rPr>
          <w:rFonts w:eastAsia="MS Mincho"/>
        </w:rPr>
        <w:t>–</w:t>
      </w:r>
      <w:r>
        <w:rPr>
          <w:rFonts w:eastAsia="MS Mincho"/>
        </w:rPr>
        <w:tab/>
      </w:r>
      <w:r>
        <w:rPr>
          <w:lang w:val="fr-FR"/>
        </w:rPr>
        <w:t>Il ne doit pas y avoir de logo au centre afin que l</w:t>
      </w:r>
      <w:r w:rsidR="0077692E">
        <w:rPr>
          <w:lang w:val="fr-FR"/>
        </w:rPr>
        <w:t>’</w:t>
      </w:r>
      <w:r>
        <w:rPr>
          <w:lang w:val="fr-FR"/>
        </w:rPr>
        <w:t>éclairage ne devienne pas une source de distractions.</w:t>
      </w:r>
    </w:p>
    <w:p w14:paraId="536AED83" w14:textId="77777777" w:rsidR="00F66201" w:rsidRPr="00FC73C2" w:rsidRDefault="00F66201" w:rsidP="00DB09BB">
      <w:pPr>
        <w:pStyle w:val="Bullet1G"/>
      </w:pPr>
      <w:r>
        <w:rPr>
          <w:lang w:val="fr-FR"/>
        </w:rPr>
        <w:t>La taille maximale de la surface de sortie de la lumière du logo ne devrait pas excéder 100 cm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afin d</w:t>
      </w:r>
      <w:r w:rsidR="0077692E">
        <w:rPr>
          <w:lang w:val="fr-FR"/>
        </w:rPr>
        <w:t>’</w:t>
      </w:r>
      <w:r>
        <w:rPr>
          <w:lang w:val="fr-FR"/>
        </w:rPr>
        <w:t>éviter que le feu ne soit considéré comme une publicité lumineuse (au regard des lois nationales en vigueur)</w:t>
      </w:r>
      <w:r w:rsidR="00E33225">
        <w:rPr>
          <w:lang w:val="fr-FR"/>
        </w:rPr>
        <w:t> ;</w:t>
      </w:r>
    </w:p>
    <w:p w14:paraId="4826A224" w14:textId="77777777" w:rsidR="00F66201" w:rsidRPr="00501826" w:rsidRDefault="00F66201" w:rsidP="00DB09BB">
      <w:pPr>
        <w:pStyle w:val="Bullet1G"/>
      </w:pPr>
      <w:r>
        <w:rPr>
          <w:lang w:val="fr-FR"/>
        </w:rPr>
        <w:t>S</w:t>
      </w:r>
      <w:r w:rsidR="0077692E">
        <w:rPr>
          <w:lang w:val="fr-FR"/>
        </w:rPr>
        <w:t>’</w:t>
      </w:r>
      <w:r>
        <w:rPr>
          <w:lang w:val="fr-FR"/>
        </w:rPr>
        <w:t>agissant de la symétrie, il n</w:t>
      </w:r>
      <w:r w:rsidR="0077692E">
        <w:rPr>
          <w:lang w:val="fr-FR"/>
        </w:rPr>
        <w:t>’</w:t>
      </w:r>
      <w:r>
        <w:rPr>
          <w:lang w:val="fr-FR"/>
        </w:rPr>
        <w:t>est pas nécessaire que la surface de sortie de la lumière du logo en tant que telle soit symétrique, pour autant que la taille maximale n</w:t>
      </w:r>
      <w:r w:rsidR="0077692E">
        <w:rPr>
          <w:lang w:val="fr-FR"/>
        </w:rPr>
        <w:t>’</w:t>
      </w:r>
      <w:r>
        <w:rPr>
          <w:lang w:val="fr-FR"/>
        </w:rPr>
        <w:t>excède pas 100 cm</w:t>
      </w:r>
      <w:r>
        <w:rPr>
          <w:vertAlign w:val="superscript"/>
          <w:lang w:val="fr-FR"/>
        </w:rPr>
        <w:t>2</w:t>
      </w:r>
      <w:r>
        <w:rPr>
          <w:lang w:val="fr-FR"/>
        </w:rPr>
        <w:t>.</w:t>
      </w:r>
    </w:p>
    <w:p w14:paraId="0D2719F8" w14:textId="77777777" w:rsidR="00F66201" w:rsidRPr="00A342F6" w:rsidRDefault="00F66201" w:rsidP="00DB09BB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Grâce aux prescriptions relatives au logo énoncées dans la présente proposition, l</w:t>
      </w:r>
      <w:r w:rsidR="0077692E">
        <w:rPr>
          <w:lang w:val="fr-FR"/>
        </w:rPr>
        <w:t>’</w:t>
      </w:r>
      <w:r>
        <w:rPr>
          <w:lang w:val="fr-FR"/>
        </w:rPr>
        <w:t>attention des usagers de la route, troublée par l</w:t>
      </w:r>
      <w:r w:rsidR="0077692E">
        <w:rPr>
          <w:lang w:val="fr-FR"/>
        </w:rPr>
        <w:t>’</w:t>
      </w:r>
      <w:r>
        <w:rPr>
          <w:lang w:val="fr-FR"/>
        </w:rPr>
        <w:t>utilisation intentionnelle de logos, devrait retrouver un niveau acceptable. Il faudrait, autant que faire se peut, éviter que les usagers soient soumis à des distractions. Aussi, pour des raisons de sécur</w:t>
      </w:r>
      <w:bookmarkStart w:id="0" w:name="_GoBack"/>
      <w:bookmarkEnd w:id="0"/>
      <w:r>
        <w:rPr>
          <w:lang w:val="fr-FR"/>
        </w:rPr>
        <w:t>ité évidentes (éviter les distractions), les feux-stop, y compris ceux des catégories S1 et S2, ne doivent arborer</w:t>
      </w:r>
      <w:r w:rsidRPr="00FD371A">
        <w:rPr>
          <w:lang w:val="fr-FR"/>
        </w:rPr>
        <w:t xml:space="preserve"> aucun logo</w:t>
      </w:r>
      <w:r>
        <w:rPr>
          <w:lang w:val="fr-FR"/>
        </w:rPr>
        <w:t>.</w:t>
      </w:r>
    </w:p>
    <w:p w14:paraId="301BFF3C" w14:textId="77777777" w:rsidR="00F66201" w:rsidRDefault="00F66201" w:rsidP="00DB09BB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La présente proposition, fondée sur les résultats de discussions antérieures sur ces questions, contient la version révisée du projet d</w:t>
      </w:r>
      <w:r w:rsidR="0077692E">
        <w:rPr>
          <w:lang w:val="fr-FR"/>
        </w:rPr>
        <w:t>’</w:t>
      </w:r>
      <w:r>
        <w:rPr>
          <w:lang w:val="fr-FR"/>
        </w:rPr>
        <w:t>amendements aux Règlements ONU n</w:t>
      </w:r>
      <w:r>
        <w:rPr>
          <w:vertAlign w:val="superscript"/>
          <w:lang w:val="fr-FR"/>
        </w:rPr>
        <w:t>os</w:t>
      </w:r>
      <w:r w:rsidR="00DB09BB">
        <w:rPr>
          <w:lang w:val="fr-FR"/>
        </w:rPr>
        <w:t> </w:t>
      </w:r>
      <w:r>
        <w:rPr>
          <w:lang w:val="fr-FR"/>
        </w:rPr>
        <w:t>[148] et 48.</w:t>
      </w:r>
    </w:p>
    <w:p w14:paraId="3D1B66DB" w14:textId="77777777" w:rsidR="00DB09BB" w:rsidRPr="00DB09BB" w:rsidRDefault="00DB09BB" w:rsidP="00DB09B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09BB" w:rsidRPr="00DB09BB" w:rsidSect="00F662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402B6" w14:textId="77777777" w:rsidR="00742842" w:rsidRDefault="00742842" w:rsidP="00F95C08">
      <w:pPr>
        <w:spacing w:line="240" w:lineRule="auto"/>
      </w:pPr>
    </w:p>
  </w:endnote>
  <w:endnote w:type="continuationSeparator" w:id="0">
    <w:p w14:paraId="31E975A9" w14:textId="77777777" w:rsidR="00742842" w:rsidRPr="00AC3823" w:rsidRDefault="00742842" w:rsidP="00AC3823">
      <w:pPr>
        <w:pStyle w:val="Pieddepage"/>
      </w:pPr>
    </w:p>
  </w:endnote>
  <w:endnote w:type="continuationNotice" w:id="1">
    <w:p w14:paraId="788F6E21" w14:textId="77777777" w:rsidR="00742842" w:rsidRDefault="007428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4918" w14:textId="77777777" w:rsidR="00F66201" w:rsidRPr="00F66201" w:rsidRDefault="00F66201" w:rsidP="00F66201">
    <w:pPr>
      <w:pStyle w:val="Pieddepage"/>
      <w:tabs>
        <w:tab w:val="right" w:pos="9638"/>
      </w:tabs>
    </w:pPr>
    <w:r w:rsidRPr="00F66201">
      <w:rPr>
        <w:b/>
        <w:sz w:val="18"/>
      </w:rPr>
      <w:fldChar w:fldCharType="begin"/>
    </w:r>
    <w:r w:rsidRPr="00F66201">
      <w:rPr>
        <w:b/>
        <w:sz w:val="18"/>
      </w:rPr>
      <w:instrText xml:space="preserve"> PAGE  \* MERGEFORMAT </w:instrText>
    </w:r>
    <w:r w:rsidRPr="00F66201">
      <w:rPr>
        <w:b/>
        <w:sz w:val="18"/>
      </w:rPr>
      <w:fldChar w:fldCharType="separate"/>
    </w:r>
    <w:r w:rsidRPr="00F66201">
      <w:rPr>
        <w:b/>
        <w:noProof/>
        <w:sz w:val="18"/>
      </w:rPr>
      <w:t>2</w:t>
    </w:r>
    <w:r w:rsidRPr="00F66201">
      <w:rPr>
        <w:b/>
        <w:sz w:val="18"/>
      </w:rPr>
      <w:fldChar w:fldCharType="end"/>
    </w:r>
    <w:r>
      <w:rPr>
        <w:b/>
        <w:sz w:val="18"/>
      </w:rPr>
      <w:tab/>
    </w:r>
    <w:r>
      <w:t>GE.19-13642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154A1" w14:textId="77777777" w:rsidR="00F66201" w:rsidRPr="00F66201" w:rsidRDefault="00F66201" w:rsidP="00F66201">
    <w:pPr>
      <w:pStyle w:val="Pieddepage"/>
      <w:tabs>
        <w:tab w:val="right" w:pos="9638"/>
      </w:tabs>
      <w:rPr>
        <w:b/>
        <w:sz w:val="18"/>
      </w:rPr>
    </w:pPr>
    <w:r>
      <w:t>GE.19-13642</w:t>
    </w:r>
    <w:r>
      <w:tab/>
    </w:r>
    <w:r w:rsidRPr="00F66201">
      <w:rPr>
        <w:b/>
        <w:sz w:val="18"/>
      </w:rPr>
      <w:fldChar w:fldCharType="begin"/>
    </w:r>
    <w:r w:rsidRPr="00F66201">
      <w:rPr>
        <w:b/>
        <w:sz w:val="18"/>
      </w:rPr>
      <w:instrText xml:space="preserve"> PAGE  \* MERGEFORMAT </w:instrText>
    </w:r>
    <w:r w:rsidRPr="00F66201">
      <w:rPr>
        <w:b/>
        <w:sz w:val="18"/>
      </w:rPr>
      <w:fldChar w:fldCharType="separate"/>
    </w:r>
    <w:r w:rsidRPr="00F66201">
      <w:rPr>
        <w:b/>
        <w:noProof/>
        <w:sz w:val="18"/>
      </w:rPr>
      <w:t>3</w:t>
    </w:r>
    <w:r w:rsidRPr="00F662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8BC58" w14:textId="77777777" w:rsidR="007F20FA" w:rsidRPr="00F66201" w:rsidRDefault="00F66201" w:rsidP="00F6620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565CD43" wp14:editId="5D807D1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19-13642  (F)    270819    060919</w:t>
    </w:r>
    <w:r>
      <w:rPr>
        <w:sz w:val="20"/>
      </w:rPr>
      <w:br/>
    </w:r>
    <w:r w:rsidRPr="00F66201">
      <w:rPr>
        <w:rFonts w:ascii="C39T30Lfz" w:hAnsi="C39T30Lfz"/>
        <w:sz w:val="56"/>
      </w:rPr>
      <w:t></w:t>
    </w:r>
    <w:r w:rsidRPr="00F66201">
      <w:rPr>
        <w:rFonts w:ascii="C39T30Lfz" w:hAnsi="C39T30Lfz"/>
        <w:sz w:val="56"/>
      </w:rPr>
      <w:t></w:t>
    </w:r>
    <w:r w:rsidRPr="00F66201">
      <w:rPr>
        <w:rFonts w:ascii="C39T30Lfz" w:hAnsi="C39T30Lfz"/>
        <w:sz w:val="56"/>
      </w:rPr>
      <w:t></w:t>
    </w:r>
    <w:r w:rsidRPr="00F66201">
      <w:rPr>
        <w:rFonts w:ascii="C39T30Lfz" w:hAnsi="C39T30Lfz"/>
        <w:sz w:val="56"/>
      </w:rPr>
      <w:t></w:t>
    </w:r>
    <w:r w:rsidRPr="00F66201">
      <w:rPr>
        <w:rFonts w:ascii="C39T30Lfz" w:hAnsi="C39T30Lfz"/>
        <w:sz w:val="56"/>
      </w:rPr>
      <w:t></w:t>
    </w:r>
    <w:r w:rsidRPr="00F66201">
      <w:rPr>
        <w:rFonts w:ascii="C39T30Lfz" w:hAnsi="C39T30Lfz"/>
        <w:sz w:val="56"/>
      </w:rPr>
      <w:t></w:t>
    </w:r>
    <w:r w:rsidRPr="00F66201">
      <w:rPr>
        <w:rFonts w:ascii="C39T30Lfz" w:hAnsi="C39T30Lfz"/>
        <w:sz w:val="56"/>
      </w:rPr>
      <w:t></w:t>
    </w:r>
    <w:r w:rsidRPr="00F66201">
      <w:rPr>
        <w:rFonts w:ascii="C39T30Lfz" w:hAnsi="C39T30Lfz"/>
        <w:sz w:val="56"/>
      </w:rPr>
      <w:t></w:t>
    </w:r>
    <w:r w:rsidRPr="00F6620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3DF9D0C" wp14:editId="6498D2A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9/2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2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9D115" w14:textId="77777777" w:rsidR="00742842" w:rsidRPr="00AC3823" w:rsidRDefault="0074284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899AEA" w14:textId="77777777" w:rsidR="00742842" w:rsidRPr="00AC3823" w:rsidRDefault="0074284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6AC6073" w14:textId="77777777" w:rsidR="00742842" w:rsidRPr="00AC3823" w:rsidRDefault="00742842">
      <w:pPr>
        <w:spacing w:line="240" w:lineRule="auto"/>
        <w:rPr>
          <w:sz w:val="2"/>
          <w:szCs w:val="2"/>
        </w:rPr>
      </w:pPr>
    </w:p>
  </w:footnote>
  <w:footnote w:id="2">
    <w:p w14:paraId="55D5AC07" w14:textId="77777777" w:rsidR="00F66201" w:rsidRPr="00F66201" w:rsidRDefault="00F66201">
      <w:pPr>
        <w:pStyle w:val="Notedebasdepage"/>
      </w:pPr>
      <w:r>
        <w:rPr>
          <w:rStyle w:val="Appelnotedebasdep"/>
        </w:rPr>
        <w:tab/>
      </w:r>
      <w:r w:rsidRPr="00F66201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</w:t>
      </w:r>
      <w:r>
        <w:rPr>
          <w:lang w:val="fr-FR"/>
        </w:rPr>
        <w:t xml:space="preserve"> </w:t>
      </w:r>
      <w:r>
        <w:rPr>
          <w:lang w:val="fr-FR"/>
        </w:rPr>
        <w:t>2018</w:t>
      </w:r>
      <w:r>
        <w:rPr>
          <w:lang w:val="fr-FR"/>
        </w:rPr>
        <w:noBreakHyphen/>
      </w:r>
      <w:r>
        <w:rPr>
          <w:lang w:val="fr-FR"/>
        </w:rPr>
        <w:t>2019 (ECE/TRANS/274, par. 123, et ECE/TRANS/2018/21/Add.1, module 3</w:t>
      </w:r>
      <w:r w:rsidR="008C770D">
        <w:rPr>
          <w:lang w:val="fr-FR"/>
        </w:rPr>
        <w:t>.</w:t>
      </w:r>
      <w:r>
        <w:rPr>
          <w:lang w:val="fr-FR"/>
        </w:rPr>
        <w:t>1), le Forum mondial a pour mission d</w:t>
      </w:r>
      <w:r w:rsidR="0077692E">
        <w:rPr>
          <w:lang w:val="fr-FR"/>
        </w:rPr>
        <w:t>’</w:t>
      </w:r>
      <w:r>
        <w:rPr>
          <w:lang w:val="fr-FR"/>
        </w:rPr>
        <w:t>élaborer, d</w:t>
      </w:r>
      <w:r w:rsidR="0077692E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77692E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98556" w14:textId="43420B88" w:rsidR="00F66201" w:rsidRPr="00F66201" w:rsidRDefault="00F66201">
    <w:pPr>
      <w:pStyle w:val="En-tte"/>
    </w:pPr>
    <w:fldSimple w:instr=" TITLE  \* MERGEFORMAT ">
      <w:r w:rsidR="00AB4AF6">
        <w:t>ECE/TRANS/WP.29/GRE/2019/28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9A39A" w14:textId="2B9C4C49" w:rsidR="00F66201" w:rsidRPr="00F66201" w:rsidRDefault="00F66201" w:rsidP="00F66201">
    <w:pPr>
      <w:pStyle w:val="En-tte"/>
      <w:jc w:val="right"/>
    </w:pPr>
    <w:fldSimple w:instr=" TITLE  \* MERGEFORMAT ">
      <w:r w:rsidR="00AB4AF6">
        <w:t>ECE/TRANS/WP.29/GRE/2019/28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2"/>
  </w:num>
  <w:num w:numId="19">
    <w:abstractNumId w:val="11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284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8652B"/>
    <w:rsid w:val="003916DE"/>
    <w:rsid w:val="003C518C"/>
    <w:rsid w:val="00421996"/>
    <w:rsid w:val="00441C3B"/>
    <w:rsid w:val="00446FE5"/>
    <w:rsid w:val="00452396"/>
    <w:rsid w:val="004739D5"/>
    <w:rsid w:val="004837D8"/>
    <w:rsid w:val="004E2EED"/>
    <w:rsid w:val="004E468C"/>
    <w:rsid w:val="004F2EFB"/>
    <w:rsid w:val="005505B7"/>
    <w:rsid w:val="00573BE5"/>
    <w:rsid w:val="00586ED3"/>
    <w:rsid w:val="00596AA9"/>
    <w:rsid w:val="006C5C7A"/>
    <w:rsid w:val="0071601D"/>
    <w:rsid w:val="00742842"/>
    <w:rsid w:val="0077692E"/>
    <w:rsid w:val="007A62E6"/>
    <w:rsid w:val="007F20FA"/>
    <w:rsid w:val="0080684C"/>
    <w:rsid w:val="00871C75"/>
    <w:rsid w:val="008776DC"/>
    <w:rsid w:val="008C770D"/>
    <w:rsid w:val="009446C0"/>
    <w:rsid w:val="009705C8"/>
    <w:rsid w:val="009C1CF4"/>
    <w:rsid w:val="009F6B74"/>
    <w:rsid w:val="00A3029F"/>
    <w:rsid w:val="00A30353"/>
    <w:rsid w:val="00AA7189"/>
    <w:rsid w:val="00AB4AF6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CD52CE"/>
    <w:rsid w:val="00D3439C"/>
    <w:rsid w:val="00DB09BB"/>
    <w:rsid w:val="00DB1831"/>
    <w:rsid w:val="00DD3BFD"/>
    <w:rsid w:val="00DE2F5E"/>
    <w:rsid w:val="00DF6678"/>
    <w:rsid w:val="00E0299A"/>
    <w:rsid w:val="00E33225"/>
    <w:rsid w:val="00E85C74"/>
    <w:rsid w:val="00EA6547"/>
    <w:rsid w:val="00EF2E22"/>
    <w:rsid w:val="00F35BAF"/>
    <w:rsid w:val="00F660DF"/>
    <w:rsid w:val="00F66201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5915FB"/>
  <w15:docId w15:val="{19305FE1-0B1D-43E3-A44B-3BB0AF8F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3</TotalTime>
  <Pages>3</Pages>
  <Words>833</Words>
  <Characters>5833</Characters>
  <Application>Microsoft Office Word</Application>
  <DocSecurity>0</DocSecurity>
  <Lines>486</Lines>
  <Paragraphs>266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ECE/TRANS/WP.29/GRE/2019/28</vt:lpstr>
    </vt:vector>
  </TitlesOfParts>
  <Company>DCM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ECE/TRANS/WP.29/GRE/2019/28</dc:title>
  <dc:subject/>
  <dc:creator>Julien OKRZESIK</dc:creator>
  <cp:keywords/>
  <cp:lastModifiedBy>Julien Okrzesik</cp:lastModifiedBy>
  <cp:revision>3</cp:revision>
  <cp:lastPrinted>2019-09-06T14:57:00Z</cp:lastPrinted>
  <dcterms:created xsi:type="dcterms:W3CDTF">2019-09-06T14:57:00Z</dcterms:created>
  <dcterms:modified xsi:type="dcterms:W3CDTF">2019-09-06T15:00:00Z</dcterms:modified>
</cp:coreProperties>
</file>