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4C25" w14:textId="77777777" w:rsidR="00A90013" w:rsidRPr="00A90013" w:rsidRDefault="00A90013" w:rsidP="00A90013">
      <w:pPr>
        <w:pStyle w:val="Header"/>
      </w:pPr>
      <w:r w:rsidRPr="00A90013">
        <w:rPr>
          <w:noProof/>
          <w:lang w:val="en-US"/>
        </w:rPr>
        <mc:AlternateContent>
          <mc:Choice Requires="wps">
            <w:drawing>
              <wp:anchor distT="0" distB="0" distL="114300" distR="114300" simplePos="0" relativeHeight="251668480" behindDoc="0" locked="0" layoutInCell="1" allowOverlap="1" wp14:anchorId="6F4EE7C4" wp14:editId="411E34DD">
                <wp:simplePos x="0" y="0"/>
                <wp:positionH relativeFrom="column">
                  <wp:posOffset>-434975</wp:posOffset>
                </wp:positionH>
                <wp:positionV relativeFrom="paragraph">
                  <wp:posOffset>-182880</wp:posOffset>
                </wp:positionV>
                <wp:extent cx="2592387" cy="276225"/>
                <wp:effectExtent l="0" t="0" r="0" b="8255"/>
                <wp:wrapNone/>
                <wp:docPr id="20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160B" w14:textId="7346FCEC"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D9347B">
                              <w:rPr>
                                <w:rFonts w:ascii="Calibri" w:eastAsia="SimSun" w:hAnsi="Calibri" w:cstheme="minorBidi"/>
                                <w:color w:val="000000" w:themeColor="text1"/>
                                <w:kern w:val="24"/>
                                <w:lang w:val="en-TT"/>
                              </w:rPr>
                              <w:t>the experts of OICA</w:t>
                            </w:r>
                          </w:p>
                        </w:txbxContent>
                      </wps:txbx>
                      <wps:bodyPr anchor="ctr">
                        <a:spAutoFit/>
                      </wps:bodyPr>
                    </wps:wsp>
                  </a:graphicData>
                </a:graphic>
              </wp:anchor>
            </w:drawing>
          </mc:Choice>
          <mc:Fallback>
            <w:pict>
              <v:rect w14:anchorId="6F4EE7C4" id="Rectangle 13" o:spid="_x0000_s1026" style="position:absolute;margin-left:-34.25pt;margin-top:-14.4pt;width:204.1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" filled="f" stroked="f">
                <v:textbox style="mso-fit-shape-to-text:t">
                  <w:txbxContent>
                    <w:p w14:paraId="1CDF160B" w14:textId="7346FCEC"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D9347B">
                        <w:rPr>
                          <w:rFonts w:ascii="Calibri" w:eastAsia="SimSun" w:hAnsi="Calibri" w:cstheme="minorBidi"/>
                          <w:color w:val="000000" w:themeColor="text1"/>
                          <w:kern w:val="24"/>
                          <w:lang w:val="en-TT"/>
                        </w:rPr>
                        <w:t>the experts of OICA</w:t>
                      </w:r>
                    </w:p>
                  </w:txbxContent>
                </v:textbox>
              </v:rect>
            </w:pict>
          </mc:Fallback>
        </mc:AlternateContent>
      </w:r>
      <w:r w:rsidRPr="00A90013">
        <w:rPr>
          <w:noProof/>
          <w:lang w:val="en-US"/>
        </w:rPr>
        <mc:AlternateContent>
          <mc:Choice Requires="wps">
            <w:drawing>
              <wp:anchor distT="0" distB="0" distL="114300" distR="114300" simplePos="0" relativeHeight="251667456" behindDoc="0" locked="0" layoutInCell="1" allowOverlap="1" wp14:anchorId="3EDEDEAC" wp14:editId="071144E7">
                <wp:simplePos x="0" y="0"/>
                <wp:positionH relativeFrom="column">
                  <wp:posOffset>3855085</wp:posOffset>
                </wp:positionH>
                <wp:positionV relativeFrom="paragraph">
                  <wp:posOffset>-297180</wp:posOffset>
                </wp:positionV>
                <wp:extent cx="2592387" cy="646113"/>
                <wp:effectExtent l="0" t="0" r="0" b="0"/>
                <wp:wrapNone/>
                <wp:docPr id="20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1451" w14:textId="084109D0"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w:t>
                            </w:r>
                            <w:r w:rsidR="00840E5B">
                              <w:rPr>
                                <w:rFonts w:ascii="Calibri" w:eastAsia="SimSun" w:hAnsi="Calibri" w:cstheme="minorBidi"/>
                                <w:color w:val="000000" w:themeColor="text1"/>
                                <w:kern w:val="24"/>
                                <w:lang w:val="en-TT"/>
                              </w:rPr>
                              <w:t>P</w:t>
                            </w:r>
                            <w:r>
                              <w:rPr>
                                <w:rFonts w:ascii="Calibri" w:eastAsia="SimSun" w:hAnsi="Calibri" w:cstheme="minorBidi"/>
                                <w:color w:val="000000" w:themeColor="text1"/>
                                <w:kern w:val="24"/>
                                <w:lang w:val="en-TT"/>
                              </w:rPr>
                              <w:t>-</w:t>
                            </w:r>
                            <w:r w:rsidR="0009733E">
                              <w:rPr>
                                <w:rFonts w:ascii="Calibri" w:eastAsia="SimSun" w:hAnsi="Calibri" w:cstheme="minorBidi"/>
                                <w:color w:val="000000" w:themeColor="text1"/>
                                <w:kern w:val="24"/>
                                <w:lang w:val="en-TT"/>
                              </w:rPr>
                              <w:t>70</w:t>
                            </w:r>
                            <w:r>
                              <w:rPr>
                                <w:rFonts w:ascii="Calibri" w:eastAsia="SimSun" w:hAnsi="Calibri" w:cstheme="minorBidi"/>
                                <w:color w:val="000000" w:themeColor="text1"/>
                                <w:kern w:val="24"/>
                                <w:lang w:val="en-TT"/>
                              </w:rPr>
                              <w:t>-</w:t>
                            </w:r>
                            <w:r w:rsidR="00840E5B">
                              <w:rPr>
                                <w:rFonts w:ascii="Calibri" w:eastAsia="SimSun" w:hAnsi="Calibri" w:cstheme="minorBidi"/>
                                <w:color w:val="000000" w:themeColor="text1"/>
                                <w:kern w:val="24"/>
                                <w:lang w:val="en-TT"/>
                              </w:rPr>
                              <w:t>06</w:t>
                            </w:r>
                          </w:p>
                          <w:p w14:paraId="51DF5CB0" w14:textId="428DFF5F"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w:t>
                            </w:r>
                            <w:r w:rsidR="0009733E">
                              <w:rPr>
                                <w:rFonts w:ascii="Calibri" w:eastAsia="SimSun" w:hAnsi="Calibri" w:cstheme="minorBidi"/>
                                <w:color w:val="000000" w:themeColor="text1"/>
                                <w:kern w:val="24"/>
                                <w:lang w:val="en-TT"/>
                              </w:rPr>
                              <w:t>70</w:t>
                            </w:r>
                            <w:r>
                              <w:rPr>
                                <w:rFonts w:ascii="Calibri" w:eastAsia="SimSun" w:hAnsi="Calibri" w:cstheme="minorBidi"/>
                                <w:color w:val="000000" w:themeColor="text1"/>
                                <w:kern w:val="24"/>
                                <w:lang w:val="en-TT"/>
                              </w:rPr>
                              <w:t>th GRB</w:t>
                            </w:r>
                            <w:r w:rsidR="00840E5B">
                              <w:rPr>
                                <w:rFonts w:ascii="Calibri" w:eastAsia="SimSun" w:hAnsi="Calibri" w:cstheme="minorBidi"/>
                                <w:color w:val="000000" w:themeColor="text1"/>
                                <w:kern w:val="24"/>
                                <w:lang w:val="en-TT"/>
                              </w:rPr>
                              <w:t>P</w:t>
                            </w:r>
                            <w:r>
                              <w:rPr>
                                <w:rFonts w:ascii="Calibri" w:eastAsia="SimSun" w:hAnsi="Calibri" w:cstheme="minorBidi"/>
                                <w:color w:val="000000" w:themeColor="text1"/>
                                <w:kern w:val="24"/>
                                <w:lang w:val="en-TT"/>
                              </w:rPr>
                              <w:t xml:space="preserve">, </w:t>
                            </w:r>
                            <w:r w:rsidR="0009733E">
                              <w:rPr>
                                <w:rFonts w:ascii="Calibri" w:eastAsia="SimSun" w:hAnsi="Calibri" w:cstheme="minorBidi"/>
                                <w:color w:val="000000" w:themeColor="text1"/>
                                <w:kern w:val="24"/>
                                <w:lang w:val="en-TT"/>
                              </w:rPr>
                              <w:t>11-13 September</w:t>
                            </w:r>
                            <w:r w:rsidR="0076534E">
                              <w:rPr>
                                <w:rFonts w:ascii="Calibri" w:eastAsia="SimSun" w:hAnsi="Calibri" w:cstheme="minorBidi"/>
                                <w:color w:val="000000" w:themeColor="text1"/>
                                <w:kern w:val="24"/>
                                <w:lang w:val="en-TT"/>
                              </w:rPr>
                              <w:t xml:space="preserve"> </w:t>
                            </w:r>
                            <w:r>
                              <w:rPr>
                                <w:rFonts w:ascii="Calibri" w:eastAsia="SimSun" w:hAnsi="Calibri" w:cstheme="minorBidi"/>
                                <w:color w:val="000000" w:themeColor="text1"/>
                                <w:kern w:val="24"/>
                                <w:lang w:val="en-TT"/>
                              </w:rPr>
                              <w:t>201</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w:t>
                            </w:r>
                          </w:p>
                          <w:p w14:paraId="00F3B00C" w14:textId="3B149B2E"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agenda item </w:t>
                            </w:r>
                            <w:r w:rsidR="0009733E">
                              <w:rPr>
                                <w:rFonts w:ascii="Calibri" w:eastAsia="SimSun" w:hAnsi="Calibri" w:cstheme="minorBidi"/>
                                <w:color w:val="000000" w:themeColor="text1"/>
                                <w:kern w:val="24"/>
                                <w:lang w:val="en-TT"/>
                              </w:rPr>
                              <w:t>4</w:t>
                            </w:r>
                            <w:r>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wps:txbx>
                      <wps:bodyPr anchor="ctr">
                        <a:spAutoFit/>
                      </wps:bodyPr>
                    </wps:wsp>
                  </a:graphicData>
                </a:graphic>
              </wp:anchor>
            </w:drawing>
          </mc:Choice>
          <mc:Fallback>
            <w:pict>
              <v:rect w14:anchorId="3EDEDEAC" id="_x0000_s1027" style="position:absolute;margin-left:303.55pt;margin-top:-23.4pt;width:204.1pt;height:5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" filled="f" stroked="f">
                <v:textbox style="mso-fit-shape-to-text:t">
                  <w:txbxContent>
                    <w:p w14:paraId="58731451" w14:textId="084109D0"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w:t>
                      </w:r>
                      <w:r w:rsidR="00840E5B">
                        <w:rPr>
                          <w:rFonts w:ascii="Calibri" w:eastAsia="SimSun" w:hAnsi="Calibri" w:cstheme="minorBidi"/>
                          <w:color w:val="000000" w:themeColor="text1"/>
                          <w:kern w:val="24"/>
                          <w:lang w:val="en-TT"/>
                        </w:rPr>
                        <w:t>P</w:t>
                      </w:r>
                      <w:r>
                        <w:rPr>
                          <w:rFonts w:ascii="Calibri" w:eastAsia="SimSun" w:hAnsi="Calibri" w:cstheme="minorBidi"/>
                          <w:color w:val="000000" w:themeColor="text1"/>
                          <w:kern w:val="24"/>
                          <w:lang w:val="en-TT"/>
                        </w:rPr>
                        <w:t>-</w:t>
                      </w:r>
                      <w:r w:rsidR="0009733E">
                        <w:rPr>
                          <w:rFonts w:ascii="Calibri" w:eastAsia="SimSun" w:hAnsi="Calibri" w:cstheme="minorBidi"/>
                          <w:color w:val="000000" w:themeColor="text1"/>
                          <w:kern w:val="24"/>
                          <w:lang w:val="en-TT"/>
                        </w:rPr>
                        <w:t>70</w:t>
                      </w:r>
                      <w:r>
                        <w:rPr>
                          <w:rFonts w:ascii="Calibri" w:eastAsia="SimSun" w:hAnsi="Calibri" w:cstheme="minorBidi"/>
                          <w:color w:val="000000" w:themeColor="text1"/>
                          <w:kern w:val="24"/>
                          <w:lang w:val="en-TT"/>
                        </w:rPr>
                        <w:t>-</w:t>
                      </w:r>
                      <w:r w:rsidR="00840E5B">
                        <w:rPr>
                          <w:rFonts w:ascii="Calibri" w:eastAsia="SimSun" w:hAnsi="Calibri" w:cstheme="minorBidi"/>
                          <w:color w:val="000000" w:themeColor="text1"/>
                          <w:kern w:val="24"/>
                          <w:lang w:val="en-TT"/>
                        </w:rPr>
                        <w:t>06</w:t>
                      </w:r>
                    </w:p>
                    <w:p w14:paraId="51DF5CB0" w14:textId="428DFF5F"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w:t>
                      </w:r>
                      <w:r w:rsidR="0009733E">
                        <w:rPr>
                          <w:rFonts w:ascii="Calibri" w:eastAsia="SimSun" w:hAnsi="Calibri" w:cstheme="minorBidi"/>
                          <w:color w:val="000000" w:themeColor="text1"/>
                          <w:kern w:val="24"/>
                          <w:lang w:val="en-TT"/>
                        </w:rPr>
                        <w:t>70</w:t>
                      </w:r>
                      <w:r>
                        <w:rPr>
                          <w:rFonts w:ascii="Calibri" w:eastAsia="SimSun" w:hAnsi="Calibri" w:cstheme="minorBidi"/>
                          <w:color w:val="000000" w:themeColor="text1"/>
                          <w:kern w:val="24"/>
                          <w:lang w:val="en-TT"/>
                        </w:rPr>
                        <w:t>th GRB</w:t>
                      </w:r>
                      <w:r w:rsidR="00840E5B">
                        <w:rPr>
                          <w:rFonts w:ascii="Calibri" w:eastAsia="SimSun" w:hAnsi="Calibri" w:cstheme="minorBidi"/>
                          <w:color w:val="000000" w:themeColor="text1"/>
                          <w:kern w:val="24"/>
                          <w:lang w:val="en-TT"/>
                        </w:rPr>
                        <w:t>P</w:t>
                      </w:r>
                      <w:r>
                        <w:rPr>
                          <w:rFonts w:ascii="Calibri" w:eastAsia="SimSun" w:hAnsi="Calibri" w:cstheme="minorBidi"/>
                          <w:color w:val="000000" w:themeColor="text1"/>
                          <w:kern w:val="24"/>
                          <w:lang w:val="en-TT"/>
                        </w:rPr>
                        <w:t xml:space="preserve">, </w:t>
                      </w:r>
                      <w:r w:rsidR="0009733E">
                        <w:rPr>
                          <w:rFonts w:ascii="Calibri" w:eastAsia="SimSun" w:hAnsi="Calibri" w:cstheme="minorBidi"/>
                          <w:color w:val="000000" w:themeColor="text1"/>
                          <w:kern w:val="24"/>
                          <w:lang w:val="en-TT"/>
                        </w:rPr>
                        <w:t>11-13 September</w:t>
                      </w:r>
                      <w:r w:rsidR="0076534E">
                        <w:rPr>
                          <w:rFonts w:ascii="Calibri" w:eastAsia="SimSun" w:hAnsi="Calibri" w:cstheme="minorBidi"/>
                          <w:color w:val="000000" w:themeColor="text1"/>
                          <w:kern w:val="24"/>
                          <w:lang w:val="en-TT"/>
                        </w:rPr>
                        <w:t xml:space="preserve"> </w:t>
                      </w:r>
                      <w:r>
                        <w:rPr>
                          <w:rFonts w:ascii="Calibri" w:eastAsia="SimSun" w:hAnsi="Calibri" w:cstheme="minorBidi"/>
                          <w:color w:val="000000" w:themeColor="text1"/>
                          <w:kern w:val="24"/>
                          <w:lang w:val="en-TT"/>
                        </w:rPr>
                        <w:t>201</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w:t>
                      </w:r>
                    </w:p>
                    <w:p w14:paraId="00F3B00C" w14:textId="3B149B2E"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agenda item </w:t>
                      </w:r>
                      <w:r w:rsidR="0009733E">
                        <w:rPr>
                          <w:rFonts w:ascii="Calibri" w:eastAsia="SimSun" w:hAnsi="Calibri" w:cstheme="minorBidi"/>
                          <w:color w:val="000000" w:themeColor="text1"/>
                          <w:kern w:val="24"/>
                          <w:lang w:val="en-TT"/>
                        </w:rPr>
                        <w:t>4</w:t>
                      </w:r>
                      <w:r>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v:textbox>
              </v:rect>
            </w:pict>
          </mc:Fallback>
        </mc:AlternateContent>
      </w:r>
    </w:p>
    <w:p w14:paraId="42EE96DA" w14:textId="77777777" w:rsidR="00A90013" w:rsidRDefault="00A90013" w:rsidP="00FB6639">
      <w:pPr>
        <w:spacing w:after="120" w:line="240" w:lineRule="auto"/>
        <w:jc w:val="center"/>
        <w:rPr>
          <w:b/>
          <w:sz w:val="28"/>
        </w:rPr>
      </w:pPr>
    </w:p>
    <w:p w14:paraId="597855A7" w14:textId="3A059750" w:rsidR="00A90013" w:rsidRDefault="00A90013" w:rsidP="00FB6639">
      <w:pPr>
        <w:spacing w:after="120" w:line="240" w:lineRule="auto"/>
        <w:jc w:val="center"/>
        <w:rPr>
          <w:b/>
          <w:sz w:val="28"/>
        </w:rPr>
      </w:pPr>
    </w:p>
    <w:p w14:paraId="038AB5F4" w14:textId="77777777" w:rsidR="00430176" w:rsidRDefault="00430176" w:rsidP="00FB6639">
      <w:pPr>
        <w:spacing w:after="120" w:line="240" w:lineRule="auto"/>
        <w:jc w:val="center"/>
        <w:rPr>
          <w:b/>
          <w:sz w:val="28"/>
        </w:rPr>
      </w:pPr>
    </w:p>
    <w:p w14:paraId="0B7FEDDD" w14:textId="77777777" w:rsidR="0009733E" w:rsidRDefault="00D9347B" w:rsidP="0009733E">
      <w:pPr>
        <w:pStyle w:val="HChG"/>
        <w:spacing w:before="0"/>
        <w:ind w:left="0" w:right="0" w:firstLine="0"/>
        <w:jc w:val="center"/>
        <w:rPr>
          <w:lang w:val="en-US"/>
        </w:rPr>
      </w:pPr>
      <w:r w:rsidRPr="009A03A7">
        <w:rPr>
          <w:lang w:val="en-US"/>
        </w:rPr>
        <w:t xml:space="preserve">Proposal for </w:t>
      </w:r>
      <w:r w:rsidR="0009733E">
        <w:rPr>
          <w:lang w:val="en-US"/>
        </w:rPr>
        <w:t xml:space="preserve">Amendment to GRBP/2019/13 </w:t>
      </w:r>
    </w:p>
    <w:p w14:paraId="07060E99" w14:textId="02D46F17" w:rsidR="0009733E" w:rsidRPr="0009733E" w:rsidRDefault="0009733E" w:rsidP="0009733E">
      <w:pPr>
        <w:pStyle w:val="HChG"/>
        <w:spacing w:before="0"/>
        <w:ind w:left="0" w:right="0" w:firstLine="0"/>
        <w:jc w:val="center"/>
        <w:rPr>
          <w:lang w:val="en-US"/>
        </w:rPr>
      </w:pPr>
      <w:r>
        <w:rPr>
          <w:lang w:val="en-US"/>
        </w:rPr>
        <w:t>on Supplement 6 to th</w:t>
      </w:r>
      <w:r w:rsidR="00840E5B">
        <w:rPr>
          <w:lang w:val="en-US"/>
        </w:rPr>
        <w:t>e</w:t>
      </w:r>
      <w:r>
        <w:rPr>
          <w:lang w:val="en-US"/>
        </w:rPr>
        <w:t xml:space="preserve"> 03 series of </w:t>
      </w:r>
      <w:r w:rsidR="00840E5B">
        <w:rPr>
          <w:lang w:val="en-US"/>
        </w:rPr>
        <w:t>a</w:t>
      </w:r>
      <w:bookmarkStart w:id="0" w:name="_GoBack"/>
      <w:bookmarkEnd w:id="0"/>
      <w:r>
        <w:rPr>
          <w:lang w:val="en-US"/>
        </w:rPr>
        <w:t>mendments of UN Regulation N°51</w:t>
      </w:r>
    </w:p>
    <w:p w14:paraId="4542D2B3" w14:textId="2F99F059" w:rsidR="00430176" w:rsidRDefault="00430176" w:rsidP="006902C6">
      <w:pPr>
        <w:pStyle w:val="SingleTxtG"/>
        <w:ind w:left="0"/>
        <w:rPr>
          <w:lang w:val="en-US"/>
        </w:rPr>
      </w:pPr>
    </w:p>
    <w:p w14:paraId="3FA65F92" w14:textId="77777777" w:rsidR="00430176" w:rsidRDefault="00430176" w:rsidP="006902C6">
      <w:pPr>
        <w:pStyle w:val="SingleTxtG"/>
        <w:ind w:left="0"/>
        <w:rPr>
          <w:lang w:val="en-US"/>
        </w:rPr>
      </w:pPr>
    </w:p>
    <w:p w14:paraId="6F0B7590" w14:textId="1073CB16" w:rsidR="006902C6" w:rsidRPr="009A03A7" w:rsidRDefault="006902C6" w:rsidP="006902C6">
      <w:pPr>
        <w:pStyle w:val="SingleTxtG"/>
        <w:ind w:left="0"/>
        <w:rPr>
          <w:lang w:val="en-US"/>
        </w:rPr>
      </w:pPr>
      <w:r w:rsidRPr="009A03A7">
        <w:rPr>
          <w:lang w:val="en-US"/>
        </w:rPr>
        <w:t>The proposed amendments</w:t>
      </w:r>
      <w:r w:rsidRPr="00ED0036">
        <w:rPr>
          <w:lang w:val="en-US"/>
        </w:rPr>
        <w:t xml:space="preserve"> are marked in bold for new or strikethrough for deleted characters.</w:t>
      </w:r>
    </w:p>
    <w:p w14:paraId="770DCC8F" w14:textId="4789D096" w:rsidR="00D9347B" w:rsidRPr="000825DE" w:rsidRDefault="00D9347B" w:rsidP="00D9347B">
      <w:pPr>
        <w:pStyle w:val="HChG"/>
        <w:rPr>
          <w:lang w:val="en-US"/>
        </w:rPr>
      </w:pPr>
      <w:r w:rsidRPr="000825DE">
        <w:rPr>
          <w:lang w:val="en-US"/>
        </w:rPr>
        <w:t xml:space="preserve">I. </w:t>
      </w:r>
      <w:r w:rsidRPr="000825DE">
        <w:rPr>
          <w:lang w:val="en-US"/>
        </w:rPr>
        <w:tab/>
        <w:t>Proposal</w:t>
      </w:r>
    </w:p>
    <w:p w14:paraId="2F4AD51E" w14:textId="77777777" w:rsidR="0009733E" w:rsidRDefault="0009733E" w:rsidP="0009733E">
      <w:pPr>
        <w:pStyle w:val="SingleTxtG"/>
        <w:ind w:right="567"/>
        <w:rPr>
          <w:i/>
        </w:rPr>
      </w:pPr>
      <w:r>
        <w:rPr>
          <w:i/>
        </w:rPr>
        <w:t>Main Body, paragraph 2.24. Table of symbols (Excerpt), amend to read</w:t>
      </w:r>
    </w:p>
    <w:p w14:paraId="64DEA55B" w14:textId="77777777" w:rsidR="0009733E" w:rsidRDefault="0009733E" w:rsidP="0009733E">
      <w:pPr>
        <w:pStyle w:val="ListParagraph"/>
        <w:spacing w:after="120"/>
        <w:ind w:left="2268" w:right="567" w:hanging="1134"/>
        <w:jc w:val="both"/>
        <w:rPr>
          <w:b/>
          <w:lang w:val="en-US"/>
        </w:rPr>
      </w:pPr>
      <w:r>
        <w:rPr>
          <w:b/>
          <w:lang w:val="en-US"/>
        </w:rPr>
        <w:t>"</w:t>
      </w:r>
      <w:r w:rsidRPr="00D94B32">
        <w:rPr>
          <w:lang w:val="en-US"/>
        </w:rPr>
        <w:t>2.24.</w:t>
      </w:r>
      <w:r w:rsidRPr="00D94B32">
        <w:rPr>
          <w:lang w:val="en-US"/>
        </w:rPr>
        <w:tab/>
        <w:t>Table of Symbols</w:t>
      </w:r>
      <w:r>
        <w:rPr>
          <w:lang w:val="en-US"/>
        </w:rPr>
        <w:t xml:space="preserve"> </w:t>
      </w:r>
    </w:p>
    <w:p w14:paraId="4C7A7C82" w14:textId="77777777" w:rsidR="0009733E" w:rsidRDefault="0009733E" w:rsidP="0009733E">
      <w:pPr>
        <w:pStyle w:val="ListParagraph"/>
        <w:spacing w:after="120"/>
        <w:ind w:left="2268" w:right="567" w:hanging="1134"/>
        <w:jc w:val="both"/>
        <w:rPr>
          <w:lang w:val="en-US"/>
        </w:rPr>
      </w:pPr>
      <w:r w:rsidRPr="00DD1368">
        <w:rPr>
          <w:lang w:val="en-US"/>
        </w:rPr>
        <w:tab/>
      </w:r>
      <w:r>
        <w:rPr>
          <w:lang w:val="en-US"/>
        </w:rPr>
        <w:t>…</w:t>
      </w:r>
    </w:p>
    <w:tbl>
      <w:tblPr>
        <w:tblStyle w:val="TableGrid"/>
        <w:tblW w:w="0" w:type="auto"/>
        <w:tblInd w:w="2268" w:type="dxa"/>
        <w:tblLook w:val="04A0" w:firstRow="1" w:lastRow="0" w:firstColumn="1" w:lastColumn="0" w:noHBand="0" w:noVBand="1"/>
      </w:tblPr>
      <w:tblGrid>
        <w:gridCol w:w="1662"/>
        <w:gridCol w:w="521"/>
        <w:gridCol w:w="934"/>
        <w:gridCol w:w="972"/>
        <w:gridCol w:w="2725"/>
      </w:tblGrid>
      <w:tr w:rsidR="0009733E" w14:paraId="5DD5E347" w14:textId="77777777" w:rsidTr="004D63A7">
        <w:tc>
          <w:tcPr>
            <w:tcW w:w="1838" w:type="dxa"/>
          </w:tcPr>
          <w:p w14:paraId="12076903" w14:textId="77777777" w:rsidR="0009733E" w:rsidRPr="00B01C61" w:rsidRDefault="0009733E" w:rsidP="004D63A7">
            <w:pPr>
              <w:suppressAutoHyphens w:val="0"/>
              <w:spacing w:after="120"/>
              <w:jc w:val="both"/>
              <w:rPr>
                <w:color w:val="000000"/>
                <w:sz w:val="18"/>
                <w:szCs w:val="18"/>
                <w:lang w:eastAsia="de-DE"/>
              </w:rPr>
            </w:pPr>
            <w:proofErr w:type="spellStart"/>
            <w:r w:rsidRPr="00B01C61">
              <w:rPr>
                <w:color w:val="000000"/>
                <w:sz w:val="18"/>
                <w:szCs w:val="18"/>
                <w:lang w:eastAsia="de-DE"/>
              </w:rPr>
              <w:t>gear</w:t>
            </w:r>
            <w:proofErr w:type="spellEnd"/>
            <w:r w:rsidRPr="00B01C61">
              <w:rPr>
                <w:color w:val="000000"/>
                <w:sz w:val="18"/>
                <w:szCs w:val="18"/>
                <w:lang w:eastAsia="de-DE"/>
              </w:rPr>
              <w:t xml:space="preserve"> </w:t>
            </w:r>
            <w:proofErr w:type="spellStart"/>
            <w:r w:rsidRPr="00B01C61">
              <w:rPr>
                <w:color w:val="000000"/>
                <w:sz w:val="18"/>
                <w:szCs w:val="18"/>
                <w:lang w:eastAsia="de-DE"/>
              </w:rPr>
              <w:t>ratio</w:t>
            </w:r>
            <w:proofErr w:type="spellEnd"/>
            <w:r w:rsidRPr="00B01C61">
              <w:rPr>
                <w:color w:val="000000"/>
                <w:sz w:val="18"/>
                <w:szCs w:val="18"/>
                <w:lang w:eastAsia="de-DE"/>
              </w:rPr>
              <w:t xml:space="preserve"> </w:t>
            </w:r>
            <w:r w:rsidRPr="00B01C61">
              <w:rPr>
                <w:iCs/>
                <w:color w:val="000000"/>
                <w:sz w:val="18"/>
                <w:szCs w:val="18"/>
                <w:lang w:eastAsia="de-DE"/>
              </w:rPr>
              <w:t>i</w:t>
            </w:r>
          </w:p>
        </w:tc>
        <w:tc>
          <w:tcPr>
            <w:tcW w:w="567" w:type="dxa"/>
          </w:tcPr>
          <w:p w14:paraId="41544D24"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w:t>
            </w:r>
          </w:p>
        </w:tc>
        <w:tc>
          <w:tcPr>
            <w:tcW w:w="992" w:type="dxa"/>
          </w:tcPr>
          <w:p w14:paraId="5A2028A1"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Annex 3</w:t>
            </w:r>
          </w:p>
        </w:tc>
        <w:tc>
          <w:tcPr>
            <w:tcW w:w="993" w:type="dxa"/>
          </w:tcPr>
          <w:p w14:paraId="1EC39E6E"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3.1.2.1.4.1.</w:t>
            </w:r>
          </w:p>
        </w:tc>
        <w:tc>
          <w:tcPr>
            <w:tcW w:w="2971" w:type="dxa"/>
            <w:vAlign w:val="bottom"/>
          </w:tcPr>
          <w:p w14:paraId="51A191B1" w14:textId="77777777" w:rsidR="0009733E" w:rsidRPr="0009733E" w:rsidRDefault="0009733E" w:rsidP="004D63A7">
            <w:pPr>
              <w:suppressAutoHyphens w:val="0"/>
              <w:spacing w:after="120"/>
              <w:jc w:val="both"/>
              <w:rPr>
                <w:b/>
                <w:strike/>
                <w:sz w:val="18"/>
                <w:szCs w:val="18"/>
                <w:lang w:val="en-GB" w:eastAsia="de-DE"/>
              </w:rPr>
            </w:pPr>
            <w:r w:rsidRPr="0009733E">
              <w:rPr>
                <w:b/>
                <w:strike/>
                <w:sz w:val="18"/>
                <w:szCs w:val="18"/>
                <w:lang w:val="en-GB" w:eastAsia="de-DE"/>
              </w:rPr>
              <w:t>first of two gear ratios for use in the vehicle test</w:t>
            </w:r>
          </w:p>
          <w:p w14:paraId="3E5F01D3" w14:textId="77777777" w:rsidR="0009733E" w:rsidRPr="0009733E" w:rsidRDefault="0009733E" w:rsidP="004D63A7">
            <w:pPr>
              <w:suppressAutoHyphens w:val="0"/>
              <w:spacing w:after="120"/>
              <w:jc w:val="both"/>
              <w:rPr>
                <w:b/>
                <w:sz w:val="18"/>
                <w:szCs w:val="18"/>
                <w:lang w:val="en-GB" w:eastAsia="de-DE"/>
              </w:rPr>
            </w:pPr>
            <w:r w:rsidRPr="0009733E">
              <w:rPr>
                <w:b/>
                <w:sz w:val="18"/>
                <w:szCs w:val="18"/>
                <w:lang w:val="en-GB" w:eastAsia="de-DE"/>
              </w:rPr>
              <w:t xml:space="preserve">gear ratio which provides an acceleration within the 5 per cent tolerance of the reference acceleration </w:t>
            </w:r>
            <w:proofErr w:type="spellStart"/>
            <w:r w:rsidRPr="0009733E">
              <w:rPr>
                <w:b/>
                <w:sz w:val="18"/>
                <w:szCs w:val="18"/>
                <w:lang w:val="en-GB" w:eastAsia="de-DE"/>
              </w:rPr>
              <w:t>a</w:t>
            </w:r>
            <w:r w:rsidRPr="0009733E">
              <w:rPr>
                <w:b/>
                <w:sz w:val="18"/>
                <w:szCs w:val="18"/>
                <w:vertAlign w:val="subscript"/>
                <w:lang w:val="en-GB" w:eastAsia="de-DE"/>
              </w:rPr>
              <w:t>wot_ref</w:t>
            </w:r>
            <w:proofErr w:type="spellEnd"/>
            <w:r w:rsidRPr="0009733E">
              <w:rPr>
                <w:b/>
                <w:sz w:val="18"/>
                <w:szCs w:val="18"/>
                <w:lang w:val="en-GB" w:eastAsia="de-DE"/>
              </w:rPr>
              <w:t xml:space="preserve"> or greater than the reference acceleration </w:t>
            </w:r>
            <w:proofErr w:type="spellStart"/>
            <w:r w:rsidRPr="0009733E">
              <w:rPr>
                <w:b/>
                <w:sz w:val="18"/>
                <w:szCs w:val="18"/>
                <w:lang w:val="en-GB" w:eastAsia="de-DE"/>
              </w:rPr>
              <w:t>a</w:t>
            </w:r>
            <w:r w:rsidRPr="0009733E">
              <w:rPr>
                <w:b/>
                <w:sz w:val="18"/>
                <w:szCs w:val="18"/>
                <w:vertAlign w:val="subscript"/>
                <w:lang w:val="en-GB" w:eastAsia="de-DE"/>
              </w:rPr>
              <w:t>wot_ref</w:t>
            </w:r>
            <w:proofErr w:type="spellEnd"/>
          </w:p>
        </w:tc>
      </w:tr>
      <w:tr w:rsidR="0009733E" w14:paraId="5FD7AE2C" w14:textId="77777777" w:rsidTr="004D63A7">
        <w:tc>
          <w:tcPr>
            <w:tcW w:w="1838" w:type="dxa"/>
          </w:tcPr>
          <w:p w14:paraId="717CFCA6" w14:textId="77777777" w:rsidR="0009733E" w:rsidRPr="00B01C61" w:rsidRDefault="0009733E" w:rsidP="004D63A7">
            <w:pPr>
              <w:suppressAutoHyphens w:val="0"/>
              <w:spacing w:after="120"/>
              <w:jc w:val="both"/>
              <w:rPr>
                <w:color w:val="000000"/>
                <w:sz w:val="18"/>
                <w:szCs w:val="18"/>
                <w:lang w:eastAsia="de-DE"/>
              </w:rPr>
            </w:pPr>
            <w:proofErr w:type="spellStart"/>
            <w:r w:rsidRPr="00B01C61">
              <w:rPr>
                <w:color w:val="000000"/>
                <w:sz w:val="18"/>
                <w:szCs w:val="18"/>
                <w:lang w:eastAsia="de-DE"/>
              </w:rPr>
              <w:t>gear</w:t>
            </w:r>
            <w:proofErr w:type="spellEnd"/>
            <w:r w:rsidRPr="00B01C61">
              <w:rPr>
                <w:color w:val="000000"/>
                <w:sz w:val="18"/>
                <w:szCs w:val="18"/>
                <w:lang w:eastAsia="de-DE"/>
              </w:rPr>
              <w:t xml:space="preserve"> </w:t>
            </w:r>
            <w:proofErr w:type="spellStart"/>
            <w:r w:rsidRPr="00B01C61">
              <w:rPr>
                <w:color w:val="000000"/>
                <w:sz w:val="18"/>
                <w:szCs w:val="18"/>
                <w:lang w:eastAsia="de-DE"/>
              </w:rPr>
              <w:t>ratio</w:t>
            </w:r>
            <w:proofErr w:type="spellEnd"/>
            <w:r w:rsidRPr="00B01C61">
              <w:rPr>
                <w:color w:val="000000"/>
                <w:sz w:val="18"/>
                <w:szCs w:val="18"/>
                <w:lang w:eastAsia="de-DE"/>
              </w:rPr>
              <w:t xml:space="preserve"> </w:t>
            </w:r>
            <w:r w:rsidRPr="00B01C61">
              <w:rPr>
                <w:iCs/>
                <w:color w:val="000000"/>
                <w:sz w:val="18"/>
                <w:szCs w:val="18"/>
                <w:lang w:eastAsia="de-DE"/>
              </w:rPr>
              <w:t>i+1</w:t>
            </w:r>
          </w:p>
        </w:tc>
        <w:tc>
          <w:tcPr>
            <w:tcW w:w="567" w:type="dxa"/>
          </w:tcPr>
          <w:p w14:paraId="62F54EAF"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w:t>
            </w:r>
          </w:p>
        </w:tc>
        <w:tc>
          <w:tcPr>
            <w:tcW w:w="992" w:type="dxa"/>
          </w:tcPr>
          <w:p w14:paraId="77D87C71"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Annex 3</w:t>
            </w:r>
          </w:p>
        </w:tc>
        <w:tc>
          <w:tcPr>
            <w:tcW w:w="993" w:type="dxa"/>
          </w:tcPr>
          <w:p w14:paraId="472AF855"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3.1.2.1.4.1.</w:t>
            </w:r>
          </w:p>
        </w:tc>
        <w:tc>
          <w:tcPr>
            <w:tcW w:w="2971" w:type="dxa"/>
            <w:vAlign w:val="bottom"/>
          </w:tcPr>
          <w:p w14:paraId="5685A354" w14:textId="77777777" w:rsidR="0009733E" w:rsidRPr="0009733E" w:rsidRDefault="0009733E" w:rsidP="004D63A7">
            <w:pPr>
              <w:suppressAutoHyphens w:val="0"/>
              <w:spacing w:after="120"/>
              <w:jc w:val="both"/>
              <w:rPr>
                <w:sz w:val="18"/>
                <w:szCs w:val="18"/>
                <w:lang w:val="en-GB" w:eastAsia="de-DE"/>
              </w:rPr>
            </w:pPr>
            <w:r w:rsidRPr="0009733E">
              <w:rPr>
                <w:sz w:val="18"/>
                <w:szCs w:val="18"/>
                <w:lang w:val="en-GB" w:eastAsia="de-DE"/>
              </w:rPr>
              <w:t xml:space="preserve">second of two gear ratios, with an </w:t>
            </w:r>
            <w:r w:rsidRPr="0009733E">
              <w:rPr>
                <w:b/>
                <w:strike/>
                <w:sz w:val="18"/>
                <w:szCs w:val="18"/>
                <w:lang w:val="en-GB" w:eastAsia="de-DE"/>
              </w:rPr>
              <w:t>engine speed</w:t>
            </w:r>
            <w:r w:rsidRPr="0009733E">
              <w:rPr>
                <w:b/>
                <w:sz w:val="18"/>
                <w:szCs w:val="18"/>
                <w:lang w:val="en-GB" w:eastAsia="de-DE"/>
              </w:rPr>
              <w:t xml:space="preserve"> acceleration</w:t>
            </w:r>
            <w:r w:rsidRPr="0009733E">
              <w:rPr>
                <w:sz w:val="18"/>
                <w:szCs w:val="18"/>
                <w:lang w:val="en-GB" w:eastAsia="de-DE"/>
              </w:rPr>
              <w:t xml:space="preserve"> lower than gear ratio </w:t>
            </w:r>
            <w:proofErr w:type="spellStart"/>
            <w:r w:rsidRPr="0009733E">
              <w:rPr>
                <w:iCs/>
                <w:sz w:val="18"/>
                <w:szCs w:val="18"/>
                <w:lang w:val="en-GB" w:eastAsia="de-DE"/>
              </w:rPr>
              <w:t>i</w:t>
            </w:r>
            <w:proofErr w:type="spellEnd"/>
            <w:r w:rsidRPr="0009733E">
              <w:rPr>
                <w:b/>
                <w:iCs/>
                <w:strike/>
                <w:sz w:val="18"/>
                <w:szCs w:val="18"/>
                <w:lang w:val="en-GB" w:eastAsia="de-DE"/>
              </w:rPr>
              <w:t xml:space="preserve"> </w:t>
            </w:r>
          </w:p>
        </w:tc>
      </w:tr>
      <w:tr w:rsidR="0009733E" w14:paraId="76839E2F" w14:textId="77777777" w:rsidTr="004D63A7">
        <w:tc>
          <w:tcPr>
            <w:tcW w:w="1838" w:type="dxa"/>
          </w:tcPr>
          <w:p w14:paraId="7041B3F6" w14:textId="77777777" w:rsidR="0009733E" w:rsidRPr="00D94B32" w:rsidRDefault="0009733E" w:rsidP="004D63A7">
            <w:pPr>
              <w:suppressAutoHyphens w:val="0"/>
              <w:spacing w:after="120"/>
              <w:jc w:val="both"/>
              <w:rPr>
                <w:b/>
                <w:iCs/>
                <w:color w:val="000000"/>
                <w:sz w:val="18"/>
                <w:szCs w:val="18"/>
                <w:lang w:eastAsia="de-DE"/>
              </w:rPr>
            </w:pPr>
            <w:proofErr w:type="spellStart"/>
            <w:r>
              <w:rPr>
                <w:b/>
                <w:iCs/>
                <w:color w:val="000000"/>
                <w:sz w:val="18"/>
                <w:szCs w:val="18"/>
                <w:lang w:eastAsia="de-DE"/>
              </w:rPr>
              <w:t>g</w:t>
            </w:r>
            <w:r w:rsidRPr="00D94B32">
              <w:rPr>
                <w:b/>
                <w:iCs/>
                <w:color w:val="000000"/>
                <w:sz w:val="18"/>
                <w:szCs w:val="18"/>
                <w:lang w:eastAsia="de-DE"/>
              </w:rPr>
              <w:t>ear</w:t>
            </w:r>
            <w:proofErr w:type="spellEnd"/>
            <w:r w:rsidRPr="00D94B32">
              <w:rPr>
                <w:b/>
                <w:iCs/>
                <w:color w:val="000000"/>
                <w:sz w:val="18"/>
                <w:szCs w:val="18"/>
                <w:lang w:eastAsia="de-DE"/>
              </w:rPr>
              <w:t xml:space="preserve"> </w:t>
            </w:r>
            <w:proofErr w:type="spellStart"/>
            <w:r w:rsidRPr="00D94B32">
              <w:rPr>
                <w:b/>
                <w:iCs/>
                <w:color w:val="000000"/>
                <w:sz w:val="18"/>
                <w:szCs w:val="18"/>
                <w:lang w:eastAsia="de-DE"/>
              </w:rPr>
              <w:t>ratio</w:t>
            </w:r>
            <w:proofErr w:type="spellEnd"/>
            <w:r w:rsidRPr="00D94B32">
              <w:rPr>
                <w:b/>
                <w:iCs/>
                <w:color w:val="000000"/>
                <w:sz w:val="18"/>
                <w:szCs w:val="18"/>
                <w:lang w:eastAsia="de-DE"/>
              </w:rPr>
              <w:t xml:space="preserve"> i+2, i+3, …</w:t>
            </w:r>
          </w:p>
        </w:tc>
        <w:tc>
          <w:tcPr>
            <w:tcW w:w="567" w:type="dxa"/>
          </w:tcPr>
          <w:p w14:paraId="23A1C660" w14:textId="77777777" w:rsidR="0009733E" w:rsidRPr="00D94B32" w:rsidRDefault="0009733E" w:rsidP="004D63A7">
            <w:pPr>
              <w:suppressAutoHyphens w:val="0"/>
              <w:spacing w:after="120"/>
              <w:jc w:val="both"/>
              <w:rPr>
                <w:b/>
                <w:color w:val="000000"/>
                <w:sz w:val="18"/>
                <w:szCs w:val="18"/>
                <w:lang w:eastAsia="de-DE"/>
              </w:rPr>
            </w:pPr>
            <w:r w:rsidRPr="00D94B32">
              <w:rPr>
                <w:b/>
                <w:color w:val="000000"/>
                <w:sz w:val="18"/>
                <w:szCs w:val="18"/>
                <w:lang w:eastAsia="de-DE"/>
              </w:rPr>
              <w:t>—</w:t>
            </w:r>
          </w:p>
        </w:tc>
        <w:tc>
          <w:tcPr>
            <w:tcW w:w="992" w:type="dxa"/>
          </w:tcPr>
          <w:p w14:paraId="10441AD5" w14:textId="77777777" w:rsidR="0009733E" w:rsidRPr="00D94B32" w:rsidRDefault="0009733E" w:rsidP="004D63A7">
            <w:pPr>
              <w:suppressAutoHyphens w:val="0"/>
              <w:spacing w:after="120"/>
              <w:jc w:val="both"/>
              <w:rPr>
                <w:b/>
                <w:color w:val="000000"/>
                <w:sz w:val="18"/>
                <w:szCs w:val="18"/>
                <w:lang w:eastAsia="de-DE"/>
              </w:rPr>
            </w:pPr>
            <w:r w:rsidRPr="00D94B32">
              <w:rPr>
                <w:b/>
                <w:color w:val="000000"/>
                <w:sz w:val="18"/>
                <w:szCs w:val="18"/>
                <w:lang w:eastAsia="de-DE"/>
              </w:rPr>
              <w:t>Annex 3</w:t>
            </w:r>
          </w:p>
        </w:tc>
        <w:tc>
          <w:tcPr>
            <w:tcW w:w="993" w:type="dxa"/>
          </w:tcPr>
          <w:p w14:paraId="1FC61B92" w14:textId="77777777" w:rsidR="0009733E" w:rsidRPr="00D94B32" w:rsidRDefault="0009733E" w:rsidP="004D63A7">
            <w:pPr>
              <w:suppressAutoHyphens w:val="0"/>
              <w:spacing w:after="120"/>
              <w:jc w:val="both"/>
              <w:rPr>
                <w:b/>
                <w:color w:val="000000"/>
                <w:sz w:val="18"/>
                <w:szCs w:val="18"/>
                <w:lang w:eastAsia="de-DE"/>
              </w:rPr>
            </w:pPr>
            <w:r w:rsidRPr="00D94B32">
              <w:rPr>
                <w:b/>
                <w:color w:val="000000"/>
                <w:sz w:val="18"/>
                <w:szCs w:val="18"/>
                <w:lang w:eastAsia="de-DE"/>
              </w:rPr>
              <w:t>3.1.2.1.4.1.</w:t>
            </w:r>
          </w:p>
        </w:tc>
        <w:tc>
          <w:tcPr>
            <w:tcW w:w="2971" w:type="dxa"/>
            <w:vAlign w:val="bottom"/>
          </w:tcPr>
          <w:p w14:paraId="0E1C80BD" w14:textId="77777777" w:rsidR="0009733E" w:rsidRPr="0009733E" w:rsidRDefault="0009733E" w:rsidP="004D63A7">
            <w:pPr>
              <w:suppressAutoHyphens w:val="0"/>
              <w:spacing w:after="120"/>
              <w:jc w:val="both"/>
              <w:rPr>
                <w:b/>
                <w:sz w:val="18"/>
                <w:szCs w:val="18"/>
                <w:lang w:val="en-GB" w:eastAsia="de-DE"/>
              </w:rPr>
            </w:pPr>
            <w:r w:rsidRPr="0009733E">
              <w:rPr>
                <w:b/>
                <w:sz w:val="18"/>
                <w:szCs w:val="18"/>
                <w:lang w:val="en-GB" w:eastAsia="de-DE"/>
              </w:rPr>
              <w:t xml:space="preserve">gear ratios selectable for the pass-by test of Annex 3, if gear ratio </w:t>
            </w:r>
            <w:proofErr w:type="spellStart"/>
            <w:r w:rsidRPr="0009733E">
              <w:rPr>
                <w:b/>
                <w:sz w:val="18"/>
                <w:szCs w:val="18"/>
                <w:lang w:val="en-GB" w:eastAsia="de-DE"/>
              </w:rPr>
              <w:t>i</w:t>
            </w:r>
            <w:proofErr w:type="spellEnd"/>
            <w:r w:rsidRPr="0009733E">
              <w:rPr>
                <w:b/>
                <w:sz w:val="18"/>
                <w:szCs w:val="18"/>
                <w:lang w:val="en-GB" w:eastAsia="de-DE"/>
              </w:rPr>
              <w:t xml:space="preserve"> and gear ratio i+1 exceed an acceleration of 2.0 m/s²</w:t>
            </w:r>
          </w:p>
        </w:tc>
      </w:tr>
      <w:tr w:rsidR="0009733E" w14:paraId="0B7C5A9E" w14:textId="77777777" w:rsidTr="004D63A7">
        <w:tc>
          <w:tcPr>
            <w:tcW w:w="1838" w:type="dxa"/>
          </w:tcPr>
          <w:p w14:paraId="325874E0" w14:textId="77777777" w:rsidR="0009733E" w:rsidRPr="00B01C61" w:rsidRDefault="0009733E" w:rsidP="004D63A7">
            <w:pPr>
              <w:suppressAutoHyphens w:val="0"/>
              <w:spacing w:after="120"/>
              <w:jc w:val="both"/>
              <w:rPr>
                <w:iCs/>
                <w:color w:val="000000"/>
                <w:sz w:val="18"/>
                <w:szCs w:val="18"/>
                <w:lang w:eastAsia="de-DE"/>
              </w:rPr>
            </w:pPr>
            <w:r w:rsidRPr="00B01C61">
              <w:rPr>
                <w:iCs/>
                <w:color w:val="000000"/>
                <w:sz w:val="18"/>
                <w:szCs w:val="18"/>
                <w:lang w:eastAsia="de-DE"/>
              </w:rPr>
              <w:t>k</w:t>
            </w:r>
          </w:p>
        </w:tc>
        <w:tc>
          <w:tcPr>
            <w:tcW w:w="567" w:type="dxa"/>
          </w:tcPr>
          <w:p w14:paraId="06887C56"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w:t>
            </w:r>
          </w:p>
        </w:tc>
        <w:tc>
          <w:tcPr>
            <w:tcW w:w="992" w:type="dxa"/>
          </w:tcPr>
          <w:p w14:paraId="3D16A33E"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Annex 3</w:t>
            </w:r>
          </w:p>
        </w:tc>
        <w:tc>
          <w:tcPr>
            <w:tcW w:w="993" w:type="dxa"/>
          </w:tcPr>
          <w:p w14:paraId="28815D9D" w14:textId="77777777" w:rsidR="0009733E" w:rsidRPr="00B01C61" w:rsidRDefault="0009733E" w:rsidP="004D63A7">
            <w:pPr>
              <w:suppressAutoHyphens w:val="0"/>
              <w:spacing w:after="120"/>
              <w:jc w:val="both"/>
              <w:rPr>
                <w:color w:val="000000"/>
                <w:sz w:val="18"/>
                <w:szCs w:val="18"/>
                <w:lang w:eastAsia="de-DE"/>
              </w:rPr>
            </w:pPr>
            <w:r w:rsidRPr="00B01C61">
              <w:rPr>
                <w:color w:val="000000"/>
                <w:sz w:val="18"/>
                <w:szCs w:val="18"/>
                <w:lang w:eastAsia="de-DE"/>
              </w:rPr>
              <w:t>3.1.2.1.4.1.</w:t>
            </w:r>
          </w:p>
        </w:tc>
        <w:tc>
          <w:tcPr>
            <w:tcW w:w="2971" w:type="dxa"/>
            <w:vAlign w:val="bottom"/>
          </w:tcPr>
          <w:p w14:paraId="05F10C95" w14:textId="77777777" w:rsidR="0009733E" w:rsidRPr="0009733E" w:rsidRDefault="0009733E" w:rsidP="004D63A7">
            <w:pPr>
              <w:suppressAutoHyphens w:val="0"/>
              <w:spacing w:after="120"/>
              <w:jc w:val="both"/>
              <w:rPr>
                <w:sz w:val="18"/>
                <w:szCs w:val="18"/>
                <w:lang w:val="en-GB" w:eastAsia="de-DE"/>
              </w:rPr>
            </w:pPr>
            <w:r w:rsidRPr="0009733E">
              <w:rPr>
                <w:sz w:val="18"/>
                <w:szCs w:val="18"/>
                <w:lang w:val="en-GB" w:eastAsia="de-DE"/>
              </w:rPr>
              <w:t>gear ratio weighting factor; value to be reported and used for calculations to the second decimal place</w:t>
            </w:r>
          </w:p>
        </w:tc>
      </w:tr>
    </w:tbl>
    <w:p w14:paraId="3CAD1280" w14:textId="77777777" w:rsidR="0009733E" w:rsidRPr="00D94B32" w:rsidRDefault="0009733E" w:rsidP="0009733E">
      <w:pPr>
        <w:pStyle w:val="ListParagraph"/>
        <w:spacing w:after="120"/>
        <w:ind w:left="2268" w:right="567"/>
        <w:jc w:val="both"/>
        <w:rPr>
          <w:lang w:val="en-US"/>
        </w:rPr>
      </w:pPr>
      <w:r>
        <w:rPr>
          <w:lang w:val="en-US"/>
        </w:rPr>
        <w:t>…</w:t>
      </w:r>
      <w:r w:rsidRPr="00D94B32">
        <w:rPr>
          <w:lang w:val="en-US"/>
        </w:rPr>
        <w:t>”</w:t>
      </w:r>
    </w:p>
    <w:p w14:paraId="56AB8DB1" w14:textId="77777777" w:rsidR="0009733E" w:rsidRDefault="0009733E" w:rsidP="0009733E">
      <w:pPr>
        <w:pStyle w:val="SingleTxtG"/>
        <w:ind w:right="567"/>
        <w:rPr>
          <w:lang w:val="en-US"/>
        </w:rPr>
      </w:pPr>
    </w:p>
    <w:p w14:paraId="0E67AD4D" w14:textId="77777777" w:rsidR="0009733E" w:rsidRPr="00A63D6C" w:rsidRDefault="0009733E" w:rsidP="0009733E">
      <w:pPr>
        <w:pStyle w:val="SingleTxtG"/>
        <w:ind w:right="567"/>
      </w:pPr>
      <w:r>
        <w:rPr>
          <w:i/>
        </w:rPr>
        <w:t>Annex 3, p</w:t>
      </w:r>
      <w:r w:rsidRPr="00A63D6C">
        <w:rPr>
          <w:i/>
        </w:rPr>
        <w:t xml:space="preserve">aragraph </w:t>
      </w:r>
      <w:r>
        <w:rPr>
          <w:i/>
        </w:rPr>
        <w:t>3.</w:t>
      </w:r>
      <w:r w:rsidRPr="00A63D6C">
        <w:rPr>
          <w:i/>
        </w:rPr>
        <w:t>1</w:t>
      </w:r>
      <w:r>
        <w:rPr>
          <w:i/>
        </w:rPr>
        <w:t>.2.</w:t>
      </w:r>
      <w:r w:rsidRPr="00A63D6C">
        <w:rPr>
          <w:i/>
        </w:rPr>
        <w:t>1.1</w:t>
      </w:r>
      <w:r>
        <w:rPr>
          <w:i/>
        </w:rPr>
        <w:t>.,</w:t>
      </w:r>
      <w:r>
        <w:t xml:space="preserve"> amend to read</w:t>
      </w:r>
      <w:r w:rsidRPr="00A63D6C">
        <w:t>:</w:t>
      </w:r>
    </w:p>
    <w:p w14:paraId="3A7008F6" w14:textId="77777777" w:rsidR="0009733E" w:rsidRPr="00DD1368" w:rsidRDefault="0009733E" w:rsidP="0009733E">
      <w:pPr>
        <w:pStyle w:val="ListParagraph"/>
        <w:spacing w:after="120"/>
        <w:ind w:left="2268" w:right="567" w:hanging="1134"/>
        <w:jc w:val="both"/>
        <w:rPr>
          <w:lang w:val="en-US"/>
        </w:rPr>
      </w:pPr>
      <w:r>
        <w:rPr>
          <w:b/>
          <w:lang w:val="en-US"/>
        </w:rPr>
        <w:t>"</w:t>
      </w:r>
      <w:r w:rsidRPr="00DD1368">
        <w:rPr>
          <w:lang w:val="en-US"/>
        </w:rPr>
        <w:t>3.1.2.1.1.</w:t>
      </w:r>
      <w:r w:rsidRPr="00DD1368">
        <w:rPr>
          <w:lang w:val="en-US"/>
        </w:rPr>
        <w:tab/>
        <w:t>Power to mass ratio index (PMR)</w:t>
      </w:r>
    </w:p>
    <w:p w14:paraId="7714A2BA" w14:textId="77777777" w:rsidR="0009733E" w:rsidRPr="00DD1368" w:rsidRDefault="0009733E" w:rsidP="0009733E">
      <w:pPr>
        <w:pStyle w:val="ListParagraph"/>
        <w:spacing w:after="120"/>
        <w:ind w:left="2268" w:right="567" w:hanging="1134"/>
        <w:jc w:val="both"/>
        <w:rPr>
          <w:lang w:val="en-US"/>
        </w:rPr>
      </w:pPr>
      <w:r w:rsidRPr="00DD1368">
        <w:rPr>
          <w:lang w:val="en-US"/>
        </w:rPr>
        <w:tab/>
        <w:t>PMR is defined as follows:</w:t>
      </w:r>
    </w:p>
    <w:p w14:paraId="6DB39FD8" w14:textId="77777777" w:rsidR="0009733E" w:rsidRPr="00DD1368" w:rsidRDefault="0009733E" w:rsidP="0009733E">
      <w:pPr>
        <w:pStyle w:val="ListParagraph"/>
        <w:spacing w:after="120"/>
        <w:ind w:left="2268" w:right="567" w:hanging="1134"/>
        <w:jc w:val="both"/>
        <w:rPr>
          <w:lang w:val="en-US"/>
        </w:rPr>
      </w:pPr>
      <w:r w:rsidRPr="00DD1368">
        <w:rPr>
          <w:lang w:val="en-US"/>
        </w:rPr>
        <w:tab/>
        <w:t>PMR = (</w:t>
      </w:r>
      <w:proofErr w:type="spellStart"/>
      <w:r w:rsidRPr="00DD1368">
        <w:rPr>
          <w:lang w:val="en-US"/>
        </w:rPr>
        <w:t>P</w:t>
      </w:r>
      <w:r w:rsidRPr="00DD1368">
        <w:rPr>
          <w:vertAlign w:val="subscript"/>
          <w:lang w:val="en-US"/>
        </w:rPr>
        <w:t>n</w:t>
      </w:r>
      <w:proofErr w:type="spellEnd"/>
      <w:r w:rsidRPr="00DD1368">
        <w:rPr>
          <w:lang w:val="en-US"/>
        </w:rPr>
        <w:t xml:space="preserve"> / </w:t>
      </w:r>
      <w:proofErr w:type="spellStart"/>
      <w:r w:rsidRPr="00DD1368">
        <w:rPr>
          <w:lang w:val="en-US"/>
        </w:rPr>
        <w:t>m</w:t>
      </w:r>
      <w:r w:rsidRPr="00DD1368">
        <w:rPr>
          <w:vertAlign w:val="subscript"/>
          <w:lang w:val="en-US"/>
        </w:rPr>
        <w:t>ro</w:t>
      </w:r>
      <w:proofErr w:type="spellEnd"/>
      <w:r w:rsidRPr="00DD1368">
        <w:rPr>
          <w:lang w:val="en-US"/>
        </w:rPr>
        <w:t xml:space="preserve">) * 1000 kg/kW, where </w:t>
      </w:r>
      <w:proofErr w:type="spellStart"/>
      <w:r w:rsidRPr="00DD1368">
        <w:rPr>
          <w:lang w:val="en-US"/>
        </w:rPr>
        <w:t>P</w:t>
      </w:r>
      <w:r w:rsidRPr="00DD1368">
        <w:rPr>
          <w:vertAlign w:val="subscript"/>
          <w:lang w:val="en-US"/>
        </w:rPr>
        <w:t>n</w:t>
      </w:r>
      <w:proofErr w:type="spellEnd"/>
      <w:r w:rsidRPr="00DD1368">
        <w:rPr>
          <w:lang w:val="en-US"/>
        </w:rPr>
        <w:t xml:space="preserve"> is measured in kW and </w:t>
      </w:r>
      <w:proofErr w:type="spellStart"/>
      <w:r w:rsidRPr="00DD1368">
        <w:rPr>
          <w:lang w:val="en-US"/>
        </w:rPr>
        <w:t>m</w:t>
      </w:r>
      <w:r w:rsidRPr="00DD1368">
        <w:rPr>
          <w:vertAlign w:val="subscript"/>
          <w:lang w:val="en-US"/>
        </w:rPr>
        <w:t>ro</w:t>
      </w:r>
      <w:proofErr w:type="spellEnd"/>
      <w:r w:rsidRPr="00DD1368">
        <w:rPr>
          <w:lang w:val="en-US"/>
        </w:rPr>
        <w:t xml:space="preserve"> is measured in kg </w:t>
      </w:r>
      <w:r w:rsidRPr="00DD1368">
        <w:rPr>
          <w:b/>
          <w:lang w:val="en-US"/>
        </w:rPr>
        <w:t xml:space="preserve">and </w:t>
      </w:r>
      <w:r w:rsidRPr="002925A7">
        <w:rPr>
          <w:b/>
          <w:strike/>
          <w:lang w:val="en-US"/>
        </w:rPr>
        <w:t>determined</w:t>
      </w:r>
      <w:r>
        <w:rPr>
          <w:lang w:val="en-US"/>
        </w:rPr>
        <w:t xml:space="preserve"> </w:t>
      </w:r>
      <w:r w:rsidRPr="002925A7">
        <w:rPr>
          <w:b/>
          <w:lang w:val="en-US"/>
        </w:rPr>
        <w:t>defined</w:t>
      </w:r>
      <w:r>
        <w:rPr>
          <w:lang w:val="en-US"/>
        </w:rPr>
        <w:t xml:space="preserve"> </w:t>
      </w:r>
      <w:r w:rsidRPr="00DD1368">
        <w:rPr>
          <w:lang w:val="en-US"/>
        </w:rPr>
        <w:t xml:space="preserve">according to </w:t>
      </w:r>
      <w:r w:rsidRPr="00DD1368">
        <w:rPr>
          <w:b/>
          <w:strike/>
          <w:lang w:val="en-US"/>
        </w:rPr>
        <w:t>paragraph 2.2.1. of this Annex</w:t>
      </w:r>
      <w:r>
        <w:rPr>
          <w:lang w:val="en-US"/>
        </w:rPr>
        <w:t xml:space="preserve"> </w:t>
      </w:r>
      <w:r w:rsidRPr="00DD1368">
        <w:rPr>
          <w:b/>
          <w:lang w:val="en-US"/>
        </w:rPr>
        <w:t>paragraph 2.4 of the main body</w:t>
      </w:r>
      <w:r w:rsidRPr="00DD1368">
        <w:rPr>
          <w:lang w:val="en-US"/>
        </w:rPr>
        <w:t>.</w:t>
      </w:r>
    </w:p>
    <w:p w14:paraId="1F081F6D" w14:textId="77777777" w:rsidR="0009733E" w:rsidRPr="00DD1368" w:rsidRDefault="0009733E" w:rsidP="0009733E">
      <w:pPr>
        <w:pStyle w:val="ListParagraph"/>
        <w:spacing w:after="120"/>
        <w:ind w:left="2268" w:right="567" w:hanging="1134"/>
        <w:jc w:val="both"/>
        <w:rPr>
          <w:lang w:val="en-US"/>
        </w:rPr>
      </w:pPr>
      <w:r w:rsidRPr="00DD1368">
        <w:rPr>
          <w:lang w:val="en-US"/>
        </w:rPr>
        <w:tab/>
        <w:t xml:space="preserve">If two or more sources of propulsive power operate at the conditions of test specified in paragraph 3.1.2.1 of Annex 3 to this Regulation, the total engine net power, </w:t>
      </w:r>
      <w:proofErr w:type="spellStart"/>
      <w:r w:rsidRPr="00DD1368">
        <w:rPr>
          <w:lang w:val="en-US"/>
        </w:rPr>
        <w:t>P</w:t>
      </w:r>
      <w:r w:rsidRPr="00DD1368">
        <w:rPr>
          <w:vertAlign w:val="subscript"/>
          <w:lang w:val="en-US"/>
        </w:rPr>
        <w:t>n</w:t>
      </w:r>
      <w:proofErr w:type="spellEnd"/>
      <w:r w:rsidRPr="00DD1368">
        <w:rPr>
          <w:lang w:val="en-US"/>
        </w:rPr>
        <w:t xml:space="preserve">, shall be the arithmetic sum of parallel propulsive engines on the vehicle. Applicable parallel propulsive engines are those power sources which provide forward motion to the vehicle in combination at the conditions of test specified in </w:t>
      </w:r>
      <w:r w:rsidRPr="00DD1368">
        <w:rPr>
          <w:lang w:val="en-US"/>
        </w:rPr>
        <w:lastRenderedPageBreak/>
        <w:t>paragraph 3.1.2.1. of Annex 3 to this Regulation. Specified power for non-combustion engines shall be the power stated by the manufacturer.</w:t>
      </w:r>
    </w:p>
    <w:p w14:paraId="15AA591D" w14:textId="77777777" w:rsidR="0009733E" w:rsidRDefault="0009733E" w:rsidP="0009733E">
      <w:pPr>
        <w:pStyle w:val="ListParagraph"/>
        <w:spacing w:after="120"/>
        <w:ind w:left="2268" w:right="567" w:hanging="1134"/>
        <w:jc w:val="both"/>
        <w:rPr>
          <w:b/>
          <w:lang w:val="en-US"/>
        </w:rPr>
      </w:pPr>
      <w:r w:rsidRPr="00DD1368">
        <w:rPr>
          <w:lang w:val="en-US"/>
        </w:rPr>
        <w:tab/>
        <w:t>The PMR with no dimension is used for the calculation of acceleration."</w:t>
      </w:r>
    </w:p>
    <w:p w14:paraId="43297012" w14:textId="77777777" w:rsidR="0009733E" w:rsidRPr="00A63D6C" w:rsidRDefault="0009733E" w:rsidP="0009733E">
      <w:pPr>
        <w:pStyle w:val="ListParagraph"/>
        <w:spacing w:after="120"/>
        <w:ind w:left="2268" w:right="567" w:hanging="1134"/>
        <w:jc w:val="both"/>
        <w:rPr>
          <w:b/>
          <w:lang w:val="en-US"/>
        </w:rPr>
      </w:pPr>
    </w:p>
    <w:p w14:paraId="27BD47C5" w14:textId="77777777" w:rsidR="0009733E" w:rsidRPr="00907534" w:rsidRDefault="0009733E" w:rsidP="0009733E">
      <w:pPr>
        <w:pStyle w:val="HChG"/>
        <w:ind w:right="567" w:hanging="567"/>
      </w:pPr>
      <w:r w:rsidRPr="00907534">
        <w:t>II.</w:t>
      </w:r>
      <w:r w:rsidRPr="00907534">
        <w:tab/>
        <w:t>Justification</w:t>
      </w:r>
    </w:p>
    <w:p w14:paraId="23771341" w14:textId="56C9DEC2" w:rsidR="0009733E" w:rsidRDefault="0009733E" w:rsidP="00430176">
      <w:pPr>
        <w:autoSpaceDE w:val="0"/>
        <w:autoSpaceDN w:val="0"/>
        <w:adjustRightInd w:val="0"/>
        <w:spacing w:line="240" w:lineRule="auto"/>
        <w:ind w:left="1134" w:right="567"/>
        <w:jc w:val="both"/>
        <w:rPr>
          <w:lang w:val="en-US"/>
        </w:rPr>
      </w:pPr>
      <w:r>
        <w:rPr>
          <w:lang w:val="en-US"/>
        </w:rPr>
        <w:t>2.24</w:t>
      </w:r>
      <w:r w:rsidR="00430176">
        <w:rPr>
          <w:lang w:val="en-US"/>
        </w:rPr>
        <w:t>.:</w:t>
      </w:r>
      <w:r w:rsidR="00430176">
        <w:rPr>
          <w:lang w:val="en-US"/>
        </w:rPr>
        <w:tab/>
      </w:r>
      <w:r>
        <w:rPr>
          <w:lang w:val="en-US"/>
        </w:rPr>
        <w:t xml:space="preserve">gear ratio i+1 has per definition an acceleration and not an engine speed lower than gear ratio </w:t>
      </w:r>
      <w:proofErr w:type="spellStart"/>
      <w:r>
        <w:rPr>
          <w:lang w:val="en-US"/>
        </w:rPr>
        <w:t>i</w:t>
      </w:r>
      <w:proofErr w:type="spellEnd"/>
      <w:r>
        <w:rPr>
          <w:lang w:val="en-US"/>
        </w:rPr>
        <w:t xml:space="preserve">. </w:t>
      </w:r>
    </w:p>
    <w:p w14:paraId="2A2A716B" w14:textId="0E7C80C7" w:rsidR="0009733E" w:rsidRDefault="0009733E" w:rsidP="00430176">
      <w:pPr>
        <w:autoSpaceDE w:val="0"/>
        <w:autoSpaceDN w:val="0"/>
        <w:adjustRightInd w:val="0"/>
        <w:spacing w:line="240" w:lineRule="auto"/>
        <w:ind w:left="1134" w:right="567"/>
        <w:jc w:val="both"/>
        <w:rPr>
          <w:lang w:val="en-US"/>
        </w:rPr>
      </w:pPr>
      <w:r>
        <w:rPr>
          <w:lang w:val="en-US"/>
        </w:rPr>
        <w:t>Missing symbols coming with supplement 3, have been added.</w:t>
      </w:r>
    </w:p>
    <w:p w14:paraId="394DD051" w14:textId="77777777" w:rsidR="0009733E" w:rsidRDefault="0009733E" w:rsidP="0009733E">
      <w:pPr>
        <w:tabs>
          <w:tab w:val="left" w:pos="1134"/>
        </w:tabs>
        <w:autoSpaceDE w:val="0"/>
        <w:autoSpaceDN w:val="0"/>
        <w:adjustRightInd w:val="0"/>
        <w:spacing w:line="240" w:lineRule="auto"/>
        <w:ind w:left="1134" w:right="567"/>
        <w:jc w:val="both"/>
        <w:rPr>
          <w:lang w:val="en-US"/>
        </w:rPr>
      </w:pPr>
    </w:p>
    <w:p w14:paraId="793D80F9" w14:textId="05AC31F7" w:rsidR="0009733E" w:rsidRPr="001347E8" w:rsidRDefault="0009733E" w:rsidP="00430176">
      <w:pPr>
        <w:autoSpaceDE w:val="0"/>
        <w:autoSpaceDN w:val="0"/>
        <w:adjustRightInd w:val="0"/>
        <w:spacing w:line="240" w:lineRule="auto"/>
        <w:ind w:left="1134" w:right="567"/>
        <w:jc w:val="both"/>
      </w:pPr>
      <w:r>
        <w:rPr>
          <w:lang w:val="en-US"/>
        </w:rPr>
        <w:t>3.1.2.1.1.</w:t>
      </w:r>
      <w:r w:rsidR="00430176">
        <w:rPr>
          <w:lang w:val="en-US"/>
        </w:rPr>
        <w:t>:</w:t>
      </w:r>
      <w:r w:rsidR="00430176">
        <w:rPr>
          <w:lang w:val="en-US"/>
        </w:rPr>
        <w:tab/>
      </w:r>
      <w:r w:rsidRPr="00DD1368">
        <w:rPr>
          <w:lang w:val="en-US"/>
        </w:rPr>
        <w:t xml:space="preserve">The actual wording causes ambiguities as it is not clear, what is intended with the reference to paragraph 2.2.1. of Annex 3. It is proposed to </w:t>
      </w:r>
      <w:proofErr w:type="gramStart"/>
      <w:r w:rsidRPr="00DD1368">
        <w:rPr>
          <w:lang w:val="en-US"/>
        </w:rPr>
        <w:t>make reference</w:t>
      </w:r>
      <w:proofErr w:type="gramEnd"/>
      <w:r w:rsidRPr="00DD1368">
        <w:rPr>
          <w:lang w:val="en-US"/>
        </w:rPr>
        <w:t xml:space="preserve"> to paragraph 2.4, the definition of the mass in running order </w:t>
      </w:r>
      <w:proofErr w:type="spellStart"/>
      <w:r w:rsidRPr="00DD1368">
        <w:rPr>
          <w:lang w:val="en-US"/>
        </w:rPr>
        <w:t>m</w:t>
      </w:r>
      <w:r w:rsidRPr="00DD1368">
        <w:rPr>
          <w:vertAlign w:val="subscript"/>
          <w:lang w:val="en-US"/>
        </w:rPr>
        <w:t>ro</w:t>
      </w:r>
      <w:proofErr w:type="spellEnd"/>
      <w:r w:rsidRPr="00DD1368">
        <w:rPr>
          <w:lang w:val="en-US"/>
        </w:rPr>
        <w:t>.</w:t>
      </w:r>
    </w:p>
    <w:p w14:paraId="26F9FCA4" w14:textId="364D2679" w:rsidR="00D9347B" w:rsidRDefault="00D9347B" w:rsidP="0001083C">
      <w:pPr>
        <w:jc w:val="center"/>
        <w:rPr>
          <w:lang w:val="de-DE"/>
        </w:rPr>
      </w:pPr>
      <w:r>
        <w:t>________________________</w:t>
      </w:r>
    </w:p>
    <w:p w14:paraId="5A1A39CB" w14:textId="77777777" w:rsidR="00D9347B" w:rsidRPr="00553DC3" w:rsidRDefault="00D9347B">
      <w:pPr>
        <w:rPr>
          <w:lang w:val="de-DE"/>
        </w:rPr>
      </w:pPr>
    </w:p>
    <w:sectPr w:rsidR="00D9347B" w:rsidRPr="00553DC3" w:rsidSect="00A90013">
      <w:pgSz w:w="11906" w:h="16838"/>
      <w:pgMar w:top="96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AB2B8" w14:textId="77777777" w:rsidR="0077597B" w:rsidRDefault="0077597B" w:rsidP="008C4B21">
      <w:pPr>
        <w:spacing w:after="0" w:line="240" w:lineRule="auto"/>
      </w:pPr>
      <w:r>
        <w:separator/>
      </w:r>
    </w:p>
  </w:endnote>
  <w:endnote w:type="continuationSeparator" w:id="0">
    <w:p w14:paraId="0596A2B6" w14:textId="77777777" w:rsidR="0077597B" w:rsidRDefault="0077597B" w:rsidP="008C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5B0D" w14:textId="77777777" w:rsidR="0077597B" w:rsidRDefault="0077597B" w:rsidP="008C4B21">
      <w:pPr>
        <w:spacing w:after="0" w:line="240" w:lineRule="auto"/>
      </w:pPr>
      <w:r>
        <w:separator/>
      </w:r>
    </w:p>
  </w:footnote>
  <w:footnote w:type="continuationSeparator" w:id="0">
    <w:p w14:paraId="2F245551" w14:textId="77777777" w:rsidR="0077597B" w:rsidRDefault="0077597B" w:rsidP="008C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87"/>
    <w:multiLevelType w:val="hybridMultilevel"/>
    <w:tmpl w:val="E7C4E784"/>
    <w:lvl w:ilvl="0" w:tplc="800E399E">
      <w:numFmt w:val="bullet"/>
      <w:lvlText w:val="-"/>
      <w:lvlJc w:val="left"/>
      <w:pPr>
        <w:ind w:left="-4999" w:hanging="360"/>
      </w:pPr>
      <w:rPr>
        <w:rFonts w:ascii="Calibri" w:eastAsiaTheme="minorHAnsi" w:hAnsi="Calibri" w:cs="Calibri" w:hint="default"/>
      </w:rPr>
    </w:lvl>
    <w:lvl w:ilvl="1" w:tplc="08090003" w:tentative="1">
      <w:start w:val="1"/>
      <w:numFmt w:val="bullet"/>
      <w:lvlText w:val="o"/>
      <w:lvlJc w:val="left"/>
      <w:pPr>
        <w:ind w:left="-4279" w:hanging="360"/>
      </w:pPr>
      <w:rPr>
        <w:rFonts w:ascii="Courier New" w:hAnsi="Courier New" w:cs="Courier New" w:hint="default"/>
      </w:rPr>
    </w:lvl>
    <w:lvl w:ilvl="2" w:tplc="08090005" w:tentative="1">
      <w:start w:val="1"/>
      <w:numFmt w:val="bullet"/>
      <w:lvlText w:val=""/>
      <w:lvlJc w:val="left"/>
      <w:pPr>
        <w:ind w:left="-355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2119" w:hanging="360"/>
      </w:pPr>
      <w:rPr>
        <w:rFonts w:ascii="Courier New" w:hAnsi="Courier New" w:cs="Courier New" w:hint="default"/>
      </w:rPr>
    </w:lvl>
    <w:lvl w:ilvl="5" w:tplc="08090005" w:tentative="1">
      <w:start w:val="1"/>
      <w:numFmt w:val="bullet"/>
      <w:lvlText w:val=""/>
      <w:lvlJc w:val="left"/>
      <w:pPr>
        <w:ind w:left="-1399" w:hanging="360"/>
      </w:pPr>
      <w:rPr>
        <w:rFonts w:ascii="Wingdings" w:hAnsi="Wingdings" w:hint="default"/>
      </w:rPr>
    </w:lvl>
    <w:lvl w:ilvl="6" w:tplc="08090001" w:tentative="1">
      <w:start w:val="1"/>
      <w:numFmt w:val="bullet"/>
      <w:lvlText w:val=""/>
      <w:lvlJc w:val="left"/>
      <w:pPr>
        <w:ind w:left="-679" w:hanging="360"/>
      </w:pPr>
      <w:rPr>
        <w:rFonts w:ascii="Symbol" w:hAnsi="Symbol" w:hint="default"/>
      </w:rPr>
    </w:lvl>
    <w:lvl w:ilvl="7" w:tplc="08090003" w:tentative="1">
      <w:start w:val="1"/>
      <w:numFmt w:val="bullet"/>
      <w:lvlText w:val="o"/>
      <w:lvlJc w:val="left"/>
      <w:pPr>
        <w:ind w:left="41" w:hanging="360"/>
      </w:pPr>
      <w:rPr>
        <w:rFonts w:ascii="Courier New" w:hAnsi="Courier New" w:cs="Courier New" w:hint="default"/>
      </w:rPr>
    </w:lvl>
    <w:lvl w:ilvl="8" w:tplc="08090005" w:tentative="1">
      <w:start w:val="1"/>
      <w:numFmt w:val="bullet"/>
      <w:lvlText w:val=""/>
      <w:lvlJc w:val="left"/>
      <w:pPr>
        <w:ind w:left="761" w:hanging="360"/>
      </w:pPr>
      <w:rPr>
        <w:rFonts w:ascii="Wingdings" w:hAnsi="Wingdings" w:hint="default"/>
      </w:rPr>
    </w:lvl>
  </w:abstractNum>
  <w:abstractNum w:abstractNumId="1" w15:restartNumberingAfterBreak="0">
    <w:nsid w:val="10431D61"/>
    <w:multiLevelType w:val="multilevel"/>
    <w:tmpl w:val="9F28582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D406E6"/>
    <w:multiLevelType w:val="hybridMultilevel"/>
    <w:tmpl w:val="8C86796C"/>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00CF8"/>
    <w:multiLevelType w:val="hybridMultilevel"/>
    <w:tmpl w:val="785AAA02"/>
    <w:lvl w:ilvl="0" w:tplc="00F05D8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64CCF"/>
    <w:multiLevelType w:val="hybridMultilevel"/>
    <w:tmpl w:val="9CC6DB78"/>
    <w:lvl w:ilvl="0" w:tplc="0809000F">
      <w:start w:val="1"/>
      <w:numFmt w:val="decimal"/>
      <w:lvlText w:val="%1."/>
      <w:lvlJc w:val="left"/>
      <w:pPr>
        <w:ind w:left="720" w:hanging="360"/>
      </w:pPr>
      <w:rPr>
        <w:rFonts w:hint="default"/>
      </w:rPr>
    </w:lvl>
    <w:lvl w:ilvl="1" w:tplc="12A459BA">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B5E84"/>
    <w:multiLevelType w:val="hybridMultilevel"/>
    <w:tmpl w:val="E604E6B6"/>
    <w:lvl w:ilvl="0" w:tplc="A14E96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00B61E3"/>
    <w:multiLevelType w:val="multilevel"/>
    <w:tmpl w:val="27065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38"/>
    <w:rsid w:val="000010B2"/>
    <w:rsid w:val="0001083C"/>
    <w:rsid w:val="000449B8"/>
    <w:rsid w:val="000545C9"/>
    <w:rsid w:val="000578BB"/>
    <w:rsid w:val="00080CA9"/>
    <w:rsid w:val="000825DE"/>
    <w:rsid w:val="0009733E"/>
    <w:rsid w:val="000A7573"/>
    <w:rsid w:val="000B1CC9"/>
    <w:rsid w:val="000D174A"/>
    <w:rsid w:val="000E7AD8"/>
    <w:rsid w:val="00112C53"/>
    <w:rsid w:val="0011729C"/>
    <w:rsid w:val="001416AB"/>
    <w:rsid w:val="0015524F"/>
    <w:rsid w:val="00193548"/>
    <w:rsid w:val="001962F4"/>
    <w:rsid w:val="001A7C15"/>
    <w:rsid w:val="001F7DBE"/>
    <w:rsid w:val="00216ECE"/>
    <w:rsid w:val="002325BA"/>
    <w:rsid w:val="002339D8"/>
    <w:rsid w:val="00262F5F"/>
    <w:rsid w:val="00276765"/>
    <w:rsid w:val="002A146B"/>
    <w:rsid w:val="002B1DC3"/>
    <w:rsid w:val="002C3117"/>
    <w:rsid w:val="002D0128"/>
    <w:rsid w:val="002D225A"/>
    <w:rsid w:val="00301921"/>
    <w:rsid w:val="00323C3E"/>
    <w:rsid w:val="00350A15"/>
    <w:rsid w:val="00351BC7"/>
    <w:rsid w:val="0037123D"/>
    <w:rsid w:val="00383591"/>
    <w:rsid w:val="003854A5"/>
    <w:rsid w:val="003868E3"/>
    <w:rsid w:val="003B64DD"/>
    <w:rsid w:val="003C2D24"/>
    <w:rsid w:val="003D3F5D"/>
    <w:rsid w:val="003E422C"/>
    <w:rsid w:val="003F57A0"/>
    <w:rsid w:val="00430176"/>
    <w:rsid w:val="004500A3"/>
    <w:rsid w:val="0045631B"/>
    <w:rsid w:val="00476052"/>
    <w:rsid w:val="004A026B"/>
    <w:rsid w:val="004A2CF5"/>
    <w:rsid w:val="004E21AC"/>
    <w:rsid w:val="004E4E57"/>
    <w:rsid w:val="004E66A7"/>
    <w:rsid w:val="004E7DFF"/>
    <w:rsid w:val="0055040F"/>
    <w:rsid w:val="00553C3A"/>
    <w:rsid w:val="00553DC3"/>
    <w:rsid w:val="005551F6"/>
    <w:rsid w:val="00563F7A"/>
    <w:rsid w:val="00563F96"/>
    <w:rsid w:val="00577B75"/>
    <w:rsid w:val="00583764"/>
    <w:rsid w:val="00595A1A"/>
    <w:rsid w:val="005B57C5"/>
    <w:rsid w:val="005E7F0F"/>
    <w:rsid w:val="0061753B"/>
    <w:rsid w:val="0064008A"/>
    <w:rsid w:val="0064363B"/>
    <w:rsid w:val="00645904"/>
    <w:rsid w:val="00650568"/>
    <w:rsid w:val="0065134D"/>
    <w:rsid w:val="00656B5E"/>
    <w:rsid w:val="00664C65"/>
    <w:rsid w:val="00680499"/>
    <w:rsid w:val="006902C6"/>
    <w:rsid w:val="006908C0"/>
    <w:rsid w:val="00690AB4"/>
    <w:rsid w:val="00692372"/>
    <w:rsid w:val="006A6437"/>
    <w:rsid w:val="006E28AB"/>
    <w:rsid w:val="006E5C0E"/>
    <w:rsid w:val="006F1827"/>
    <w:rsid w:val="00714EE4"/>
    <w:rsid w:val="00720C87"/>
    <w:rsid w:val="007268FC"/>
    <w:rsid w:val="00732247"/>
    <w:rsid w:val="00733A86"/>
    <w:rsid w:val="007356BD"/>
    <w:rsid w:val="0074162E"/>
    <w:rsid w:val="007421B1"/>
    <w:rsid w:val="00760538"/>
    <w:rsid w:val="0076534E"/>
    <w:rsid w:val="0077070D"/>
    <w:rsid w:val="0077597B"/>
    <w:rsid w:val="0079004D"/>
    <w:rsid w:val="00794E4F"/>
    <w:rsid w:val="0079682C"/>
    <w:rsid w:val="007A0306"/>
    <w:rsid w:val="007B0591"/>
    <w:rsid w:val="007C0920"/>
    <w:rsid w:val="007C7CA7"/>
    <w:rsid w:val="007D06E4"/>
    <w:rsid w:val="007E31CA"/>
    <w:rsid w:val="007F5D52"/>
    <w:rsid w:val="008153B4"/>
    <w:rsid w:val="00815709"/>
    <w:rsid w:val="00840E5B"/>
    <w:rsid w:val="0084617A"/>
    <w:rsid w:val="008832CF"/>
    <w:rsid w:val="0088571B"/>
    <w:rsid w:val="00893B9D"/>
    <w:rsid w:val="008A1C65"/>
    <w:rsid w:val="008A3FBF"/>
    <w:rsid w:val="008A5889"/>
    <w:rsid w:val="008B0AB0"/>
    <w:rsid w:val="008B3EBD"/>
    <w:rsid w:val="008B535E"/>
    <w:rsid w:val="008C309E"/>
    <w:rsid w:val="008C4B21"/>
    <w:rsid w:val="008C7B38"/>
    <w:rsid w:val="008D4D64"/>
    <w:rsid w:val="008D5214"/>
    <w:rsid w:val="008E77C7"/>
    <w:rsid w:val="008E7EBF"/>
    <w:rsid w:val="008F12BD"/>
    <w:rsid w:val="0090111C"/>
    <w:rsid w:val="00916096"/>
    <w:rsid w:val="00972850"/>
    <w:rsid w:val="00987ECC"/>
    <w:rsid w:val="009C75C4"/>
    <w:rsid w:val="009D2B6B"/>
    <w:rsid w:val="009D3787"/>
    <w:rsid w:val="009F3579"/>
    <w:rsid w:val="00A049C5"/>
    <w:rsid w:val="00A42446"/>
    <w:rsid w:val="00A6366C"/>
    <w:rsid w:val="00A65904"/>
    <w:rsid w:val="00A65BE5"/>
    <w:rsid w:val="00A84BFE"/>
    <w:rsid w:val="00A90013"/>
    <w:rsid w:val="00A90C56"/>
    <w:rsid w:val="00AA5EDF"/>
    <w:rsid w:val="00AB2C25"/>
    <w:rsid w:val="00AC7945"/>
    <w:rsid w:val="00AD0A55"/>
    <w:rsid w:val="00AD4D06"/>
    <w:rsid w:val="00AE2BB7"/>
    <w:rsid w:val="00AF1E00"/>
    <w:rsid w:val="00AF27BB"/>
    <w:rsid w:val="00AF51D6"/>
    <w:rsid w:val="00AF58D5"/>
    <w:rsid w:val="00B3184F"/>
    <w:rsid w:val="00B3716F"/>
    <w:rsid w:val="00B63907"/>
    <w:rsid w:val="00BD130F"/>
    <w:rsid w:val="00BD4A6E"/>
    <w:rsid w:val="00BE42BF"/>
    <w:rsid w:val="00BF2D91"/>
    <w:rsid w:val="00C06F95"/>
    <w:rsid w:val="00C3641C"/>
    <w:rsid w:val="00C61B26"/>
    <w:rsid w:val="00C72F4F"/>
    <w:rsid w:val="00C83A50"/>
    <w:rsid w:val="00C84C39"/>
    <w:rsid w:val="00CB11BB"/>
    <w:rsid w:val="00CC020E"/>
    <w:rsid w:val="00CD5E5A"/>
    <w:rsid w:val="00D23264"/>
    <w:rsid w:val="00D37A94"/>
    <w:rsid w:val="00D4211E"/>
    <w:rsid w:val="00D564CE"/>
    <w:rsid w:val="00D63A71"/>
    <w:rsid w:val="00D63FF7"/>
    <w:rsid w:val="00D70F71"/>
    <w:rsid w:val="00D7307B"/>
    <w:rsid w:val="00D74CCC"/>
    <w:rsid w:val="00D91211"/>
    <w:rsid w:val="00D9347B"/>
    <w:rsid w:val="00DA1D48"/>
    <w:rsid w:val="00DC0B7C"/>
    <w:rsid w:val="00DC7976"/>
    <w:rsid w:val="00DD269E"/>
    <w:rsid w:val="00DF24AE"/>
    <w:rsid w:val="00DF6C67"/>
    <w:rsid w:val="00E07839"/>
    <w:rsid w:val="00E415C8"/>
    <w:rsid w:val="00E46E87"/>
    <w:rsid w:val="00E646D9"/>
    <w:rsid w:val="00EB2EF6"/>
    <w:rsid w:val="00EB5FCA"/>
    <w:rsid w:val="00EC0BFC"/>
    <w:rsid w:val="00ED616B"/>
    <w:rsid w:val="00EE46E4"/>
    <w:rsid w:val="00EF2AC6"/>
    <w:rsid w:val="00F07E6A"/>
    <w:rsid w:val="00F219E6"/>
    <w:rsid w:val="00F469D1"/>
    <w:rsid w:val="00F653CF"/>
    <w:rsid w:val="00F81AEC"/>
    <w:rsid w:val="00F83834"/>
    <w:rsid w:val="00FA112D"/>
    <w:rsid w:val="00FA4404"/>
    <w:rsid w:val="00FB6639"/>
    <w:rsid w:val="00FE02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4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8"/>
    <w:pPr>
      <w:ind w:left="720"/>
      <w:contextualSpacing/>
    </w:pPr>
  </w:style>
  <w:style w:type="paragraph" w:styleId="BalloonText">
    <w:name w:val="Balloon Text"/>
    <w:basedOn w:val="Normal"/>
    <w:link w:val="BalloonTextChar"/>
    <w:uiPriority w:val="99"/>
    <w:semiHidden/>
    <w:unhideWhenUsed/>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96"/>
    <w:rPr>
      <w:rFonts w:ascii="Tahoma" w:hAnsi="Tahoma" w:cs="Tahoma"/>
      <w:sz w:val="16"/>
      <w:szCs w:val="16"/>
    </w:rPr>
  </w:style>
  <w:style w:type="character" w:styleId="CommentReference">
    <w:name w:val="annotation reference"/>
    <w:basedOn w:val="DefaultParagraphFont"/>
    <w:uiPriority w:val="99"/>
    <w:semiHidden/>
    <w:unhideWhenUsed/>
    <w:rsid w:val="0015524F"/>
    <w:rPr>
      <w:sz w:val="16"/>
      <w:szCs w:val="16"/>
    </w:rPr>
  </w:style>
  <w:style w:type="paragraph" w:styleId="CommentText">
    <w:name w:val="annotation text"/>
    <w:basedOn w:val="Normal"/>
    <w:link w:val="CommentTextChar"/>
    <w:uiPriority w:val="99"/>
    <w:semiHidden/>
    <w:unhideWhenUsed/>
    <w:rsid w:val="0015524F"/>
    <w:pPr>
      <w:spacing w:line="240" w:lineRule="auto"/>
    </w:pPr>
    <w:rPr>
      <w:sz w:val="20"/>
      <w:szCs w:val="20"/>
    </w:rPr>
  </w:style>
  <w:style w:type="character" w:customStyle="1" w:styleId="CommentTextChar">
    <w:name w:val="Comment Text Char"/>
    <w:basedOn w:val="DefaultParagraphFont"/>
    <w:link w:val="CommentText"/>
    <w:uiPriority w:val="99"/>
    <w:semiHidden/>
    <w:rsid w:val="0015524F"/>
    <w:rPr>
      <w:sz w:val="20"/>
      <w:szCs w:val="20"/>
    </w:rPr>
  </w:style>
  <w:style w:type="paragraph" w:styleId="CommentSubject">
    <w:name w:val="annotation subject"/>
    <w:basedOn w:val="CommentText"/>
    <w:next w:val="CommentText"/>
    <w:link w:val="CommentSubjectChar"/>
    <w:uiPriority w:val="99"/>
    <w:semiHidden/>
    <w:unhideWhenUsed/>
    <w:rsid w:val="0015524F"/>
    <w:rPr>
      <w:b/>
      <w:bCs/>
    </w:rPr>
  </w:style>
  <w:style w:type="character" w:customStyle="1" w:styleId="CommentSubjectChar">
    <w:name w:val="Comment Subject Char"/>
    <w:basedOn w:val="CommentTextChar"/>
    <w:link w:val="CommentSubject"/>
    <w:uiPriority w:val="99"/>
    <w:semiHidden/>
    <w:rsid w:val="0015524F"/>
    <w:rPr>
      <w:b/>
      <w:bCs/>
      <w:sz w:val="20"/>
      <w:szCs w:val="20"/>
    </w:rPr>
  </w:style>
  <w:style w:type="paragraph" w:styleId="Header">
    <w:name w:val="header"/>
    <w:basedOn w:val="Normal"/>
    <w:link w:val="HeaderChar"/>
    <w:uiPriority w:val="99"/>
    <w:unhideWhenUsed/>
    <w:rsid w:val="008C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1"/>
  </w:style>
  <w:style w:type="paragraph" w:styleId="Footer">
    <w:name w:val="footer"/>
    <w:basedOn w:val="Normal"/>
    <w:link w:val="FooterChar"/>
    <w:uiPriority w:val="99"/>
    <w:unhideWhenUsed/>
    <w:rsid w:val="008C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1"/>
  </w:style>
  <w:style w:type="paragraph" w:styleId="FootnoteText">
    <w:name w:val="footnote text"/>
    <w:basedOn w:val="Normal"/>
    <w:link w:val="FootnoteTextChar"/>
    <w:uiPriority w:val="99"/>
    <w:semiHidden/>
    <w:unhideWhenUsed/>
    <w:rsid w:val="003F5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A0"/>
    <w:rPr>
      <w:sz w:val="20"/>
      <w:szCs w:val="20"/>
    </w:rPr>
  </w:style>
  <w:style w:type="character" w:styleId="FootnoteReference">
    <w:name w:val="footnote reference"/>
    <w:basedOn w:val="DefaultParagraphFont"/>
    <w:uiPriority w:val="99"/>
    <w:semiHidden/>
    <w:unhideWhenUsed/>
    <w:rsid w:val="003F57A0"/>
    <w:rPr>
      <w:vertAlign w:val="superscript"/>
    </w:rPr>
  </w:style>
  <w:style w:type="paragraph" w:styleId="Revision">
    <w:name w:val="Revision"/>
    <w:hidden/>
    <w:uiPriority w:val="99"/>
    <w:semiHidden/>
    <w:rsid w:val="00690AB4"/>
    <w:pPr>
      <w:spacing w:after="0" w:line="240" w:lineRule="auto"/>
    </w:pPr>
  </w:style>
  <w:style w:type="character" w:styleId="Hyperlink">
    <w:name w:val="Hyperlink"/>
    <w:basedOn w:val="DefaultParagraphFont"/>
    <w:uiPriority w:val="99"/>
    <w:unhideWhenUsed/>
    <w:rsid w:val="0077070D"/>
    <w:rPr>
      <w:color w:val="0563C1" w:themeColor="hyperlink"/>
      <w:u w:val="single"/>
    </w:rPr>
  </w:style>
  <w:style w:type="paragraph" w:styleId="NormalWeb">
    <w:name w:val="Normal (Web)"/>
    <w:basedOn w:val="Normal"/>
    <w:uiPriority w:val="99"/>
    <w:unhideWhenUsed/>
    <w:rsid w:val="00A900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ingleTxtG">
    <w:name w:val="_ Single Txt_G"/>
    <w:basedOn w:val="Normal"/>
    <w:link w:val="SingleTxtGChar"/>
    <w:qFormat/>
    <w:rsid w:val="00D9347B"/>
    <w:pPr>
      <w:suppressAutoHyphens/>
      <w:spacing w:after="120" w:line="240" w:lineRule="atLeast"/>
      <w:ind w:left="1134" w:right="1134"/>
      <w:jc w:val="both"/>
    </w:pPr>
    <w:rPr>
      <w:rFonts w:ascii="Times New Roman" w:eastAsia="MS Mincho" w:hAnsi="Times New Roman" w:cs="Times New Roman"/>
      <w:sz w:val="20"/>
      <w:szCs w:val="20"/>
    </w:rPr>
  </w:style>
  <w:style w:type="paragraph" w:customStyle="1" w:styleId="HChG">
    <w:name w:val="_ H _Ch_G"/>
    <w:basedOn w:val="Normal"/>
    <w:next w:val="Normal"/>
    <w:link w:val="HChGChar"/>
    <w:qFormat/>
    <w:rsid w:val="00D9347B"/>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rPr>
  </w:style>
  <w:style w:type="paragraph" w:customStyle="1" w:styleId="H1G">
    <w:name w:val="_ H_1_G"/>
    <w:basedOn w:val="Normal"/>
    <w:next w:val="Normal"/>
    <w:link w:val="H1GChar"/>
    <w:rsid w:val="00D9347B"/>
    <w:pPr>
      <w:keepNext/>
      <w:keepLines/>
      <w:tabs>
        <w:tab w:val="right" w:pos="851"/>
      </w:tabs>
      <w:suppressAutoHyphens/>
      <w:spacing w:before="360" w:after="240" w:line="270" w:lineRule="exact"/>
      <w:ind w:left="1134" w:right="1134" w:hanging="1134"/>
    </w:pPr>
    <w:rPr>
      <w:rFonts w:ascii="Times New Roman" w:eastAsia="MS Mincho" w:hAnsi="Times New Roman" w:cs="Times New Roman"/>
      <w:b/>
      <w:sz w:val="24"/>
      <w:szCs w:val="20"/>
    </w:rPr>
  </w:style>
  <w:style w:type="character" w:customStyle="1" w:styleId="H1GChar">
    <w:name w:val="_ H_1_G Char"/>
    <w:link w:val="H1G"/>
    <w:rsid w:val="00D9347B"/>
    <w:rPr>
      <w:rFonts w:ascii="Times New Roman" w:eastAsia="MS Mincho" w:hAnsi="Times New Roman" w:cs="Times New Roman"/>
      <w:b/>
      <w:sz w:val="24"/>
      <w:szCs w:val="20"/>
    </w:rPr>
  </w:style>
  <w:style w:type="character" w:customStyle="1" w:styleId="SingleTxtGChar">
    <w:name w:val="_ Single Txt_G Char"/>
    <w:link w:val="SingleTxtG"/>
    <w:qFormat/>
    <w:rsid w:val="00D9347B"/>
    <w:rPr>
      <w:rFonts w:ascii="Times New Roman" w:eastAsia="MS Mincho" w:hAnsi="Times New Roman" w:cs="Times New Roman"/>
      <w:sz w:val="20"/>
      <w:szCs w:val="20"/>
    </w:rPr>
  </w:style>
  <w:style w:type="character" w:customStyle="1" w:styleId="HChGChar">
    <w:name w:val="_ H _Ch_G Char"/>
    <w:link w:val="HChG"/>
    <w:rsid w:val="00D9347B"/>
    <w:rPr>
      <w:rFonts w:ascii="Times New Roman" w:eastAsia="MS Mincho" w:hAnsi="Times New Roman" w:cs="Times New Roman"/>
      <w:b/>
      <w:sz w:val="28"/>
      <w:szCs w:val="20"/>
    </w:rPr>
  </w:style>
  <w:style w:type="paragraph" w:customStyle="1" w:styleId="para">
    <w:name w:val="para"/>
    <w:basedOn w:val="Normal"/>
    <w:link w:val="paraChar"/>
    <w:qFormat/>
    <w:rsid w:val="00D9347B"/>
    <w:pPr>
      <w:suppressAutoHyphens/>
      <w:spacing w:after="120" w:line="240" w:lineRule="atLeast"/>
      <w:ind w:left="2268" w:right="1134" w:hanging="1134"/>
      <w:jc w:val="both"/>
    </w:pPr>
    <w:rPr>
      <w:rFonts w:ascii="Times New Roman" w:eastAsia="MS Mincho" w:hAnsi="Times New Roman" w:cs="Times New Roman"/>
      <w:sz w:val="20"/>
      <w:szCs w:val="20"/>
    </w:rPr>
  </w:style>
  <w:style w:type="character" w:customStyle="1" w:styleId="paraChar">
    <w:name w:val="para Char"/>
    <w:link w:val="para"/>
    <w:rsid w:val="00D9347B"/>
    <w:rPr>
      <w:rFonts w:ascii="Times New Roman" w:eastAsia="MS Mincho" w:hAnsi="Times New Roman" w:cs="Times New Roman"/>
      <w:sz w:val="20"/>
      <w:szCs w:val="20"/>
    </w:rPr>
  </w:style>
  <w:style w:type="table" w:styleId="TableGrid">
    <w:name w:val="Table Grid"/>
    <w:basedOn w:val="TableNormal"/>
    <w:semiHidden/>
    <w:rsid w:val="0009733E"/>
    <w:pPr>
      <w:suppressAutoHyphens/>
      <w:spacing w:after="0" w:line="240" w:lineRule="atLeast"/>
    </w:pPr>
    <w:rPr>
      <w:rFonts w:ascii="Times New Roman" w:eastAsia="MS Mincho" w:hAnsi="Times New Roman" w:cs="Times New Roman"/>
      <w:sz w:val="20"/>
      <w:szCs w:val="20"/>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5852-B6D8-439D-AC60-EF5A334F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1974</Characters>
  <Application>Microsoft Office Word</Application>
  <DocSecurity>4</DocSecurity>
  <Lines>61</Lines>
  <Paragraphs>56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2019-08-13T07:22:00Z</dcterms:created>
  <dcterms:modified xsi:type="dcterms:W3CDTF">2019-08-13T07:22:00Z</dcterms:modified>
</cp:coreProperties>
</file>