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BD2EE3" w:rsidTr="00C97039">
        <w:trPr>
          <w:trHeight w:hRule="exact" w:val="851"/>
        </w:trPr>
        <w:tc>
          <w:tcPr>
            <w:tcW w:w="1276" w:type="dxa"/>
            <w:tcBorders>
              <w:bottom w:val="single" w:sz="4" w:space="0" w:color="auto"/>
            </w:tcBorders>
          </w:tcPr>
          <w:p w:rsidR="00F35BAF" w:rsidRPr="00BD2EE3" w:rsidRDefault="00F35BAF" w:rsidP="00D316FD">
            <w:bookmarkStart w:id="0" w:name="_GoBack"/>
            <w:bookmarkEnd w:id="0"/>
          </w:p>
        </w:tc>
        <w:tc>
          <w:tcPr>
            <w:tcW w:w="2268" w:type="dxa"/>
            <w:tcBorders>
              <w:bottom w:val="single" w:sz="4" w:space="0" w:color="auto"/>
            </w:tcBorders>
            <w:vAlign w:val="bottom"/>
          </w:tcPr>
          <w:p w:rsidR="00F35BAF" w:rsidRPr="00BD2EE3" w:rsidRDefault="00F35BAF" w:rsidP="00C97039">
            <w:pPr>
              <w:spacing w:after="80" w:line="300" w:lineRule="exact"/>
              <w:rPr>
                <w:sz w:val="28"/>
              </w:rPr>
            </w:pPr>
            <w:r w:rsidRPr="00BD2EE3">
              <w:rPr>
                <w:sz w:val="28"/>
              </w:rPr>
              <w:t>Nations Unies</w:t>
            </w:r>
          </w:p>
        </w:tc>
        <w:tc>
          <w:tcPr>
            <w:tcW w:w="6095" w:type="dxa"/>
            <w:gridSpan w:val="2"/>
            <w:tcBorders>
              <w:bottom w:val="single" w:sz="4" w:space="0" w:color="auto"/>
            </w:tcBorders>
            <w:vAlign w:val="bottom"/>
          </w:tcPr>
          <w:p w:rsidR="00F35BAF" w:rsidRPr="00BD2EE3" w:rsidRDefault="00D316FD" w:rsidP="00D316FD">
            <w:pPr>
              <w:jc w:val="right"/>
            </w:pPr>
            <w:r w:rsidRPr="00BD2EE3">
              <w:rPr>
                <w:sz w:val="40"/>
              </w:rPr>
              <w:t>ECE</w:t>
            </w:r>
            <w:r w:rsidRPr="00BD2EE3">
              <w:t>/TRANS/WP.29/GRB/2019/5</w:t>
            </w:r>
          </w:p>
        </w:tc>
      </w:tr>
      <w:tr w:rsidR="00F35BAF" w:rsidRPr="00BD2EE3" w:rsidTr="00C97039">
        <w:trPr>
          <w:trHeight w:hRule="exact" w:val="2835"/>
        </w:trPr>
        <w:tc>
          <w:tcPr>
            <w:tcW w:w="1276" w:type="dxa"/>
            <w:tcBorders>
              <w:top w:val="single" w:sz="4" w:space="0" w:color="auto"/>
              <w:bottom w:val="single" w:sz="12" w:space="0" w:color="auto"/>
            </w:tcBorders>
          </w:tcPr>
          <w:p w:rsidR="00F35BAF" w:rsidRPr="00BD2EE3" w:rsidRDefault="00F35BAF" w:rsidP="00C97039">
            <w:pPr>
              <w:spacing w:before="120"/>
              <w:jc w:val="center"/>
            </w:pPr>
            <w:r w:rsidRPr="00BD2EE3">
              <w:rPr>
                <w:noProof/>
                <w:lang w:eastAsia="ja-JP"/>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BD2EE3" w:rsidRDefault="00F35BAF" w:rsidP="00C97039">
            <w:pPr>
              <w:spacing w:before="120" w:line="420" w:lineRule="exact"/>
              <w:rPr>
                <w:b/>
                <w:sz w:val="40"/>
                <w:szCs w:val="40"/>
              </w:rPr>
            </w:pPr>
            <w:r w:rsidRPr="00BD2EE3">
              <w:rPr>
                <w:b/>
                <w:sz w:val="40"/>
                <w:szCs w:val="40"/>
              </w:rPr>
              <w:t>Conseil économique et social</w:t>
            </w:r>
          </w:p>
        </w:tc>
        <w:tc>
          <w:tcPr>
            <w:tcW w:w="2835" w:type="dxa"/>
            <w:tcBorders>
              <w:top w:val="single" w:sz="4" w:space="0" w:color="auto"/>
              <w:bottom w:val="single" w:sz="12" w:space="0" w:color="auto"/>
            </w:tcBorders>
          </w:tcPr>
          <w:p w:rsidR="00F35BAF" w:rsidRPr="00BD2EE3" w:rsidRDefault="00D316FD" w:rsidP="00C97039">
            <w:pPr>
              <w:spacing w:before="240"/>
            </w:pPr>
            <w:r w:rsidRPr="00BD2EE3">
              <w:t>Distr. générale</w:t>
            </w:r>
          </w:p>
          <w:p w:rsidR="00D316FD" w:rsidRPr="00BD2EE3" w:rsidRDefault="00D316FD" w:rsidP="00D316FD">
            <w:pPr>
              <w:spacing w:line="240" w:lineRule="exact"/>
            </w:pPr>
            <w:r w:rsidRPr="00BD2EE3">
              <w:t>8 novembre 2018</w:t>
            </w:r>
          </w:p>
          <w:p w:rsidR="00D316FD" w:rsidRPr="00BD2EE3" w:rsidRDefault="00D316FD" w:rsidP="00D316FD">
            <w:pPr>
              <w:spacing w:line="240" w:lineRule="exact"/>
            </w:pPr>
            <w:r w:rsidRPr="00BD2EE3">
              <w:t>Français</w:t>
            </w:r>
          </w:p>
          <w:p w:rsidR="00D316FD" w:rsidRPr="00BD2EE3" w:rsidRDefault="00D316FD" w:rsidP="00D316FD">
            <w:pPr>
              <w:spacing w:line="240" w:lineRule="exact"/>
            </w:pPr>
            <w:r w:rsidRPr="00BD2EE3">
              <w:t>Original</w:t>
            </w:r>
            <w:r w:rsidR="00333ACA" w:rsidRPr="00BD2EE3">
              <w:t> :</w:t>
            </w:r>
            <w:r w:rsidRPr="00BD2EE3">
              <w:t xml:space="preserve"> anglais</w:t>
            </w:r>
          </w:p>
        </w:tc>
      </w:tr>
    </w:tbl>
    <w:p w:rsidR="007F20FA" w:rsidRPr="00BD2EE3" w:rsidRDefault="007F20FA" w:rsidP="007F20FA">
      <w:pPr>
        <w:spacing w:before="120"/>
        <w:rPr>
          <w:b/>
          <w:sz w:val="28"/>
          <w:szCs w:val="28"/>
        </w:rPr>
      </w:pPr>
      <w:r w:rsidRPr="00BD2EE3">
        <w:rPr>
          <w:b/>
          <w:sz w:val="28"/>
          <w:szCs w:val="28"/>
        </w:rPr>
        <w:t>Commission économique pour l’Europe</w:t>
      </w:r>
    </w:p>
    <w:p w:rsidR="007F20FA" w:rsidRPr="00BD2EE3" w:rsidRDefault="007F20FA" w:rsidP="007F20FA">
      <w:pPr>
        <w:spacing w:before="120"/>
        <w:rPr>
          <w:sz w:val="28"/>
          <w:szCs w:val="28"/>
        </w:rPr>
      </w:pPr>
      <w:r w:rsidRPr="00BD2EE3">
        <w:rPr>
          <w:sz w:val="28"/>
          <w:szCs w:val="28"/>
        </w:rPr>
        <w:t>Comité des transports intérieurs</w:t>
      </w:r>
    </w:p>
    <w:p w:rsidR="00D316FD" w:rsidRPr="00BD2EE3" w:rsidRDefault="00D316FD" w:rsidP="00AF0CB5">
      <w:pPr>
        <w:spacing w:before="120"/>
        <w:rPr>
          <w:b/>
          <w:sz w:val="24"/>
          <w:szCs w:val="24"/>
        </w:rPr>
      </w:pPr>
      <w:r w:rsidRPr="00BD2EE3">
        <w:rPr>
          <w:b/>
          <w:sz w:val="24"/>
          <w:szCs w:val="24"/>
        </w:rPr>
        <w:t>Forum mondial de l’harmonisation</w:t>
      </w:r>
      <w:r w:rsidR="00BD2EE3" w:rsidRPr="00BD2EE3">
        <w:rPr>
          <w:b/>
          <w:sz w:val="24"/>
          <w:szCs w:val="24"/>
        </w:rPr>
        <w:t xml:space="preserve"> </w:t>
      </w:r>
      <w:r w:rsidRPr="00BD2EE3">
        <w:rPr>
          <w:b/>
          <w:sz w:val="24"/>
          <w:szCs w:val="24"/>
        </w:rPr>
        <w:br/>
        <w:t>des Règlements concernant les véhicules</w:t>
      </w:r>
    </w:p>
    <w:p w:rsidR="00D316FD" w:rsidRPr="00BD2EE3" w:rsidRDefault="00D316FD" w:rsidP="00F9573C">
      <w:pPr>
        <w:spacing w:before="120" w:after="120" w:line="240" w:lineRule="exact"/>
        <w:rPr>
          <w:b/>
        </w:rPr>
      </w:pPr>
      <w:r w:rsidRPr="00BD2EE3">
        <w:rPr>
          <w:b/>
        </w:rPr>
        <w:t>Groupe de travail du bruit</w:t>
      </w:r>
    </w:p>
    <w:p w:rsidR="00D316FD" w:rsidRPr="00BD2EE3" w:rsidRDefault="00AA1C50" w:rsidP="00F9573C">
      <w:pPr>
        <w:spacing w:before="120" w:line="240" w:lineRule="exact"/>
        <w:rPr>
          <w:b/>
        </w:rPr>
      </w:pPr>
      <w:r w:rsidRPr="00BD2EE3">
        <w:rPr>
          <w:b/>
        </w:rPr>
        <w:t>Soixante-neuvième</w:t>
      </w:r>
      <w:r w:rsidR="00D316FD" w:rsidRPr="00BD2EE3">
        <w:rPr>
          <w:b/>
        </w:rPr>
        <w:t xml:space="preserve"> session</w:t>
      </w:r>
    </w:p>
    <w:p w:rsidR="00D316FD" w:rsidRPr="00BD2EE3" w:rsidRDefault="00D316FD" w:rsidP="00F9573C">
      <w:pPr>
        <w:spacing w:line="240" w:lineRule="exact"/>
      </w:pPr>
      <w:r w:rsidRPr="00BD2EE3">
        <w:t xml:space="preserve">Genève, </w:t>
      </w:r>
      <w:r w:rsidR="00AA1C50" w:rsidRPr="00BD2EE3">
        <w:t>22-25 janvier 2019</w:t>
      </w:r>
    </w:p>
    <w:p w:rsidR="00D316FD" w:rsidRPr="00BD2EE3" w:rsidRDefault="00FC3C4F" w:rsidP="00F9573C">
      <w:pPr>
        <w:spacing w:line="240" w:lineRule="exact"/>
      </w:pPr>
      <w:r>
        <w:t xml:space="preserve">Point </w:t>
      </w:r>
      <w:r w:rsidR="00AA1C50" w:rsidRPr="00BD2EE3">
        <w:t>7 a) de l’ordre du jour provisoire</w:t>
      </w:r>
    </w:p>
    <w:p w:rsidR="000468BF" w:rsidRPr="00BD2EE3" w:rsidRDefault="00AA1C50" w:rsidP="004F1B1C">
      <w:pPr>
        <w:rPr>
          <w:b/>
        </w:rPr>
      </w:pPr>
      <w:r w:rsidRPr="00BD2EE3">
        <w:rPr>
          <w:b/>
        </w:rPr>
        <w:t>Pneumatiques</w:t>
      </w:r>
      <w:r w:rsidR="00333ACA" w:rsidRPr="00BD2EE3">
        <w:rPr>
          <w:b/>
        </w:rPr>
        <w:t> </w:t>
      </w:r>
      <w:r w:rsidRPr="00BD2EE3">
        <w:rPr>
          <w:b/>
        </w:rPr>
        <w:t xml:space="preserve">: Règlement ONU </w:t>
      </w:r>
      <w:r w:rsidR="00333ACA" w:rsidRPr="00BD2EE3">
        <w:rPr>
          <w:rFonts w:eastAsia="MS Mincho"/>
          <w:b/>
          <w:szCs w:val="22"/>
        </w:rPr>
        <w:t>n</w:t>
      </w:r>
      <w:r w:rsidR="00333ACA" w:rsidRPr="00BD2EE3">
        <w:rPr>
          <w:rFonts w:eastAsia="MS Mincho"/>
          <w:b/>
          <w:szCs w:val="22"/>
          <w:vertAlign w:val="superscript"/>
        </w:rPr>
        <w:t>o</w:t>
      </w:r>
      <w:r w:rsidR="00333ACA" w:rsidRPr="00BD2EE3">
        <w:rPr>
          <w:b/>
        </w:rPr>
        <w:t> </w:t>
      </w:r>
      <w:r w:rsidRPr="00BD2EE3">
        <w:rPr>
          <w:b/>
        </w:rPr>
        <w:t xml:space="preserve">30 (Pneumatiques </w:t>
      </w:r>
      <w:r w:rsidR="004F1B1C" w:rsidRPr="00BD2EE3">
        <w:rPr>
          <w:b/>
        </w:rPr>
        <w:br/>
      </w:r>
      <w:r w:rsidRPr="00BD2EE3">
        <w:rPr>
          <w:b/>
        </w:rPr>
        <w:t>pour voitures particulières et leurs remorques)</w:t>
      </w:r>
    </w:p>
    <w:p w:rsidR="000468BF" w:rsidRPr="00BD2EE3" w:rsidRDefault="00AA1C50" w:rsidP="004F1B1C">
      <w:pPr>
        <w:pStyle w:val="HChG"/>
      </w:pPr>
      <w:r w:rsidRPr="00BD2EE3">
        <w:tab/>
      </w:r>
      <w:r w:rsidRPr="00BD2EE3">
        <w:tab/>
        <w:t xml:space="preserve">Proposition d’amendements au Règlement ONU </w:t>
      </w:r>
      <w:r w:rsidR="00333ACA" w:rsidRPr="00BD2EE3">
        <w:rPr>
          <w:rFonts w:eastAsia="MS Mincho"/>
          <w:szCs w:val="22"/>
        </w:rPr>
        <w:t>n</w:t>
      </w:r>
      <w:r w:rsidR="00333ACA" w:rsidRPr="00BD2EE3">
        <w:rPr>
          <w:rFonts w:eastAsia="MS Mincho"/>
          <w:szCs w:val="22"/>
          <w:vertAlign w:val="superscript"/>
        </w:rPr>
        <w:t>o</w:t>
      </w:r>
      <w:r w:rsidR="00333ACA" w:rsidRPr="00BD2EE3">
        <w:t> </w:t>
      </w:r>
      <w:r w:rsidRPr="00BD2EE3">
        <w:t>30</w:t>
      </w:r>
    </w:p>
    <w:p w:rsidR="000468BF" w:rsidRPr="00BD2EE3" w:rsidRDefault="00AA1C50" w:rsidP="00FC3C4F">
      <w:pPr>
        <w:pStyle w:val="H1G"/>
      </w:pPr>
      <w:r w:rsidRPr="00BD2EE3">
        <w:tab/>
      </w:r>
      <w:r w:rsidRPr="00BD2EE3">
        <w:tab/>
        <w:t xml:space="preserve">Communication des experts de l’Organisation technique européenne </w:t>
      </w:r>
      <w:r w:rsidR="007C3E99">
        <w:br/>
      </w:r>
      <w:r w:rsidRPr="00BD2EE3">
        <w:t>du pneumatique et de la jante</w:t>
      </w:r>
      <w:r w:rsidRPr="00DF7EEC">
        <w:rPr>
          <w:b w:val="0"/>
          <w:sz w:val="20"/>
        </w:rPr>
        <w:footnoteReference w:customMarkFollows="1" w:id="2"/>
        <w:t>*</w:t>
      </w:r>
    </w:p>
    <w:p w:rsidR="000468BF" w:rsidRPr="00BD2EE3" w:rsidRDefault="00AA1C50" w:rsidP="004F1B1C">
      <w:pPr>
        <w:pStyle w:val="SingleTxtG"/>
        <w:ind w:firstLine="567"/>
      </w:pPr>
      <w:r w:rsidRPr="00BD2EE3">
        <w:t>Le texte ci-après a été établi par les experts de l’Organisation technique européenne du pneumatique et de la jante (ETRTO). Les modifications qu’il est proposé d’apporter au texte actuel du Règlement ONU figurent en caractères gras pour les ajouts ou biffés pour les suppressions.</w:t>
      </w:r>
    </w:p>
    <w:p w:rsidR="000468BF" w:rsidRPr="00BD2EE3" w:rsidRDefault="004F1B1C" w:rsidP="004F1B1C">
      <w:pPr>
        <w:pStyle w:val="HChG"/>
      </w:pPr>
      <w:r w:rsidRPr="00BD2EE3">
        <w:br w:type="page"/>
      </w:r>
      <w:r w:rsidRPr="00BD2EE3">
        <w:lastRenderedPageBreak/>
        <w:tab/>
      </w:r>
      <w:r w:rsidR="00FC3C4F">
        <w:t>I.</w:t>
      </w:r>
      <w:r w:rsidRPr="00BD2EE3">
        <w:tab/>
      </w:r>
      <w:r w:rsidR="00AA1C50" w:rsidRPr="00BD2EE3">
        <w:t>Proposition</w:t>
      </w:r>
    </w:p>
    <w:p w:rsidR="000468BF" w:rsidRPr="00BD2EE3" w:rsidRDefault="00AA1C50" w:rsidP="008E45BF">
      <w:pPr>
        <w:pStyle w:val="SingleTxtG"/>
        <w:spacing w:after="100"/>
      </w:pPr>
      <w:r w:rsidRPr="00BD2EE3">
        <w:rPr>
          <w:i/>
          <w:iCs/>
        </w:rPr>
        <w:t>Les paragraphes 2.8 à 2.8.3</w:t>
      </w:r>
      <w:r w:rsidRPr="00BD2EE3">
        <w:t xml:space="preserve"> deviennent respectivement les paragraphes 2.9 à 2.9.3.</w:t>
      </w:r>
    </w:p>
    <w:p w:rsidR="000468BF" w:rsidRPr="00BD2EE3" w:rsidRDefault="00AA1C50" w:rsidP="008E45BF">
      <w:pPr>
        <w:pStyle w:val="SingleTxtG"/>
        <w:spacing w:after="100"/>
      </w:pPr>
      <w:r w:rsidRPr="00BD2EE3">
        <w:rPr>
          <w:i/>
        </w:rPr>
        <w:t>Le paragraphe 2.8.4</w:t>
      </w:r>
      <w:r w:rsidRPr="00BD2EE3">
        <w:t xml:space="preserve"> devient le paragraphe 2.10.</w:t>
      </w:r>
    </w:p>
    <w:p w:rsidR="000468BF" w:rsidRPr="00BD2EE3" w:rsidRDefault="00AA1C50" w:rsidP="008E45BF">
      <w:pPr>
        <w:pStyle w:val="SingleTxtG"/>
        <w:spacing w:after="100"/>
        <w:rPr>
          <w:i/>
        </w:rPr>
      </w:pPr>
      <w:r w:rsidRPr="00BD2EE3">
        <w:rPr>
          <w:i/>
        </w:rPr>
        <w:t>Le paragraphe 2.8.5</w:t>
      </w:r>
      <w:r w:rsidRPr="00BD2EE3">
        <w:t xml:space="preserve"> devient le paragraphe 2.8. </w:t>
      </w:r>
    </w:p>
    <w:p w:rsidR="000468BF" w:rsidRPr="00BD2EE3" w:rsidRDefault="00AA1C50" w:rsidP="008E45BF">
      <w:pPr>
        <w:pStyle w:val="SingleTxtG"/>
        <w:spacing w:after="100"/>
      </w:pPr>
      <w:r w:rsidRPr="00BD2EE3">
        <w:rPr>
          <w:i/>
        </w:rPr>
        <w:t>Le paragraphe 2.8.6</w:t>
      </w:r>
      <w:r w:rsidRPr="00BD2EE3">
        <w:t xml:space="preserve"> devient le paragraphe 2.8.1.</w:t>
      </w:r>
    </w:p>
    <w:p w:rsidR="000468BF" w:rsidRPr="00BD2EE3" w:rsidRDefault="00AA1C50" w:rsidP="008E45BF">
      <w:pPr>
        <w:pStyle w:val="SingleTxtG"/>
        <w:spacing w:after="100"/>
      </w:pPr>
      <w:r w:rsidRPr="00BD2EE3">
        <w:rPr>
          <w:i/>
        </w:rPr>
        <w:t>Le paragraphe 2.8.7</w:t>
      </w:r>
      <w:r w:rsidRPr="00BD2EE3">
        <w:t xml:space="preserve"> devient le paragraphe 2.9.4.</w:t>
      </w:r>
    </w:p>
    <w:p w:rsidR="000468BF" w:rsidRPr="00BD2EE3" w:rsidRDefault="00AA1C50" w:rsidP="008E45BF">
      <w:pPr>
        <w:pStyle w:val="SingleTxtG"/>
        <w:spacing w:after="100"/>
      </w:pPr>
      <w:r w:rsidRPr="00BD2EE3">
        <w:rPr>
          <w:i/>
        </w:rPr>
        <w:t>Ajouter le nouveau paragraphe 2.11</w:t>
      </w:r>
      <w:r w:rsidRPr="00BD2EE3">
        <w:t>, ainsi libellé</w:t>
      </w:r>
      <w:r w:rsidR="00333ACA" w:rsidRPr="00BD2EE3">
        <w:t> :</w:t>
      </w:r>
    </w:p>
    <w:p w:rsidR="000468BF" w:rsidRPr="007E4345" w:rsidRDefault="00AC34C9" w:rsidP="008E45BF">
      <w:pPr>
        <w:pStyle w:val="SingleTxtG"/>
        <w:spacing w:after="100"/>
        <w:ind w:left="2268" w:hanging="1134"/>
        <w:rPr>
          <w:spacing w:val="-2"/>
        </w:rPr>
      </w:pPr>
      <w:r w:rsidRPr="007E4345">
        <w:rPr>
          <w:spacing w:val="-2"/>
        </w:rPr>
        <w:t>« </w:t>
      </w:r>
      <w:r w:rsidR="00AA1C50" w:rsidRPr="007E4345">
        <w:rPr>
          <w:spacing w:val="-2"/>
        </w:rPr>
        <w:t>2.11</w:t>
      </w:r>
      <w:r w:rsidR="00AA1C50" w:rsidRPr="007E4345">
        <w:rPr>
          <w:spacing w:val="-2"/>
        </w:rPr>
        <w:tab/>
      </w:r>
      <w:r w:rsidR="00AA1C50" w:rsidRPr="007E4345">
        <w:rPr>
          <w:spacing w:val="-2"/>
        </w:rPr>
        <w:tab/>
      </w:r>
      <w:r w:rsidRPr="007E4345">
        <w:rPr>
          <w:spacing w:val="-2"/>
        </w:rPr>
        <w:t>“</w:t>
      </w:r>
      <w:r w:rsidR="00FC3C4F" w:rsidRPr="007E4345">
        <w:rPr>
          <w:spacing w:val="-2"/>
          <w:u w:val="single"/>
        </w:rPr>
        <w:t xml:space="preserve">Pneumatiques </w:t>
      </w:r>
      <w:r w:rsidR="00AA1C50" w:rsidRPr="007E4345">
        <w:rPr>
          <w:spacing w:val="-2"/>
          <w:u w:val="single"/>
        </w:rPr>
        <w:t>de type P</w:t>
      </w:r>
      <w:r w:rsidRPr="007E4345">
        <w:rPr>
          <w:spacing w:val="-2"/>
        </w:rPr>
        <w:t>”</w:t>
      </w:r>
      <w:r w:rsidR="00AA1C50" w:rsidRPr="007E4345">
        <w:rPr>
          <w:spacing w:val="-2"/>
        </w:rPr>
        <w:t xml:space="preserve">, un type de pneumatiques pour voitures </w:t>
      </w:r>
      <w:r w:rsidR="00AA1C50" w:rsidRPr="007E4345">
        <w:rPr>
          <w:rFonts w:eastAsia="Times New Roman"/>
          <w:spacing w:val="-2"/>
        </w:rPr>
        <w:t>particulières</w:t>
      </w:r>
      <w:r w:rsidR="00AA1C50" w:rsidRPr="007E4345">
        <w:rPr>
          <w:spacing w:val="-2"/>
        </w:rPr>
        <w:t xml:space="preserve"> conformes aux règles de conception de la Tyre &amp; Rim Association</w:t>
      </w:r>
      <w:r w:rsidR="00333ACA" w:rsidRPr="007E4345">
        <w:rPr>
          <w:spacing w:val="-2"/>
        </w:rPr>
        <w:t> ;</w:t>
      </w:r>
      <w:r w:rsidRPr="007E4345">
        <w:rPr>
          <w:spacing w:val="-2"/>
        </w:rPr>
        <w:t> </w:t>
      </w:r>
      <w:r w:rsidR="00AA1C50" w:rsidRPr="007E4345">
        <w:rPr>
          <w:spacing w:val="-2"/>
        </w:rPr>
        <w:t>».</w:t>
      </w:r>
    </w:p>
    <w:p w:rsidR="000468BF" w:rsidRPr="00BD2EE3" w:rsidRDefault="00AA1C50" w:rsidP="008E45BF">
      <w:pPr>
        <w:pStyle w:val="SingleTxtG"/>
        <w:spacing w:after="100"/>
      </w:pPr>
      <w:r w:rsidRPr="00BD2EE3">
        <w:rPr>
          <w:i/>
        </w:rPr>
        <w:t>Les paragraphes 2.9 à 2.21</w:t>
      </w:r>
      <w:r w:rsidRPr="00BD2EE3">
        <w:t xml:space="preserve"> deviennent respectivement les paragraphes 2.12 à 2.24. </w:t>
      </w:r>
    </w:p>
    <w:p w:rsidR="000468BF" w:rsidRPr="00BD2EE3" w:rsidRDefault="00AA1C50" w:rsidP="008E45BF">
      <w:pPr>
        <w:pStyle w:val="SingleTxtG"/>
        <w:spacing w:after="100"/>
      </w:pPr>
      <w:r w:rsidRPr="00BD2EE3">
        <w:rPr>
          <w:i/>
        </w:rPr>
        <w:t>Le paragraphe 2.22</w:t>
      </w:r>
      <w:r w:rsidRPr="00BD2EE3">
        <w:t xml:space="preserve"> devient le paragraphe 2.25, modifié comme suit</w:t>
      </w:r>
      <w:r w:rsidR="00333ACA" w:rsidRPr="00BD2EE3">
        <w:t> </w:t>
      </w:r>
      <w:r w:rsidRPr="00BD2EE3">
        <w:t>:</w:t>
      </w:r>
    </w:p>
    <w:p w:rsidR="000468BF" w:rsidRPr="00BD2EE3" w:rsidRDefault="00AC34C9" w:rsidP="008E45BF">
      <w:pPr>
        <w:pStyle w:val="SingleTxtG"/>
        <w:spacing w:after="100"/>
        <w:ind w:left="2268" w:hanging="1134"/>
      </w:pPr>
      <w:r w:rsidRPr="00BD2EE3">
        <w:t>« </w:t>
      </w:r>
      <w:r w:rsidR="00AA1C50" w:rsidRPr="00BD2EE3">
        <w:t>2.25</w:t>
      </w:r>
      <w:r w:rsidR="00AA1C50" w:rsidRPr="00BD2EE3">
        <w:tab/>
      </w:r>
      <w:r w:rsidR="00AA1C50" w:rsidRPr="00BD2EE3">
        <w:tab/>
      </w:r>
      <w:r w:rsidRPr="00BD2EE3">
        <w:t>“</w:t>
      </w:r>
      <w:r w:rsidR="00FC3C4F" w:rsidRPr="00BD2EE3">
        <w:rPr>
          <w:u w:val="single"/>
        </w:rPr>
        <w:t xml:space="preserve">Désignation </w:t>
      </w:r>
      <w:r w:rsidR="00AA1C50" w:rsidRPr="00BD2EE3">
        <w:rPr>
          <w:u w:val="single"/>
        </w:rPr>
        <w:t>de la dimension du pneumatique</w:t>
      </w:r>
      <w:r w:rsidRPr="00BD2EE3">
        <w:t>”</w:t>
      </w:r>
      <w:r w:rsidR="00AA1C50" w:rsidRPr="00BD2EE3">
        <w:t>, une désignation faisant apparaître</w:t>
      </w:r>
      <w:r w:rsidR="00333ACA" w:rsidRPr="00BD2EE3">
        <w:t> </w:t>
      </w:r>
      <w:r w:rsidR="00AA1C50" w:rsidRPr="00BD2EE3">
        <w:t>: ».</w:t>
      </w:r>
    </w:p>
    <w:p w:rsidR="000468BF" w:rsidRPr="00BD2EE3" w:rsidRDefault="00AA1C50" w:rsidP="008E45BF">
      <w:pPr>
        <w:pStyle w:val="SingleTxtG"/>
        <w:spacing w:after="100"/>
        <w:rPr>
          <w:i/>
        </w:rPr>
      </w:pPr>
      <w:r w:rsidRPr="00BD2EE3">
        <w:rPr>
          <w:i/>
          <w:iCs/>
        </w:rPr>
        <w:t>Paragraphe 2.22.1</w:t>
      </w:r>
      <w:r w:rsidR="00FC3C4F" w:rsidRPr="00FC3C4F">
        <w:rPr>
          <w:iCs/>
        </w:rPr>
        <w:t>,</w:t>
      </w:r>
      <w:r w:rsidRPr="00BD2EE3">
        <w:rPr>
          <w:i/>
          <w:iCs/>
        </w:rPr>
        <w:t xml:space="preserve"> </w:t>
      </w:r>
      <w:r w:rsidRPr="00BD2EE3">
        <w:rPr>
          <w:iCs/>
        </w:rPr>
        <w:t>supprimer.</w:t>
      </w:r>
    </w:p>
    <w:p w:rsidR="000468BF" w:rsidRPr="00BD2EE3" w:rsidRDefault="00AA1C50" w:rsidP="008E45BF">
      <w:pPr>
        <w:pStyle w:val="SingleTxtG"/>
        <w:spacing w:after="100"/>
      </w:pPr>
      <w:r w:rsidRPr="00FC3C4F">
        <w:rPr>
          <w:i/>
        </w:rPr>
        <w:t>Les paragraphes 2.22.1.1 et 2.22.1.2</w:t>
      </w:r>
      <w:r w:rsidRPr="00BD2EE3">
        <w:t xml:space="preserve"> deviennent les paragraphes 2.25.1 et 2.25.2.</w:t>
      </w:r>
    </w:p>
    <w:p w:rsidR="000468BF" w:rsidRPr="00BD2EE3" w:rsidRDefault="00AA1C50" w:rsidP="008E45BF">
      <w:pPr>
        <w:pStyle w:val="SingleTxtG"/>
        <w:spacing w:after="100"/>
      </w:pPr>
      <w:r w:rsidRPr="00BD2EE3">
        <w:rPr>
          <w:i/>
        </w:rPr>
        <w:t>Ajouter les nouveaux paragraphes 2.25.3 à 2.25.3.5</w:t>
      </w:r>
      <w:r w:rsidRPr="00BD2EE3">
        <w:t>, ainsi conçus</w:t>
      </w:r>
      <w:r w:rsidR="00333ACA" w:rsidRPr="00BD2EE3">
        <w:t> </w:t>
      </w:r>
      <w:r w:rsidRPr="00BD2EE3">
        <w:t>:</w:t>
      </w:r>
    </w:p>
    <w:p w:rsidR="000468BF" w:rsidRPr="00BD2EE3" w:rsidRDefault="00AC34C9" w:rsidP="008E45BF">
      <w:pPr>
        <w:pStyle w:val="SingleTxtG"/>
        <w:spacing w:after="100"/>
      </w:pPr>
      <w:r w:rsidRPr="00BD2EE3">
        <w:t>« </w:t>
      </w:r>
      <w:r w:rsidR="00AA1C50" w:rsidRPr="00BD2EE3">
        <w:t>2.25.3</w:t>
      </w:r>
      <w:r w:rsidR="00AA1C50" w:rsidRPr="00BD2EE3">
        <w:tab/>
      </w:r>
      <w:r w:rsidR="00FC3C4F">
        <w:t>L</w:t>
      </w:r>
      <w:r w:rsidR="00AA1C50" w:rsidRPr="00BD2EE3">
        <w:t>’indication de la structure</w:t>
      </w:r>
      <w:r w:rsidR="00333ACA" w:rsidRPr="00BD2EE3">
        <w:t> </w:t>
      </w:r>
      <w:r w:rsidR="00AA1C50" w:rsidRPr="00BD2EE3">
        <w:t>:</w:t>
      </w:r>
    </w:p>
    <w:p w:rsidR="000468BF" w:rsidRPr="00BD2EE3" w:rsidRDefault="00AA1C50" w:rsidP="008E45BF">
      <w:pPr>
        <w:pStyle w:val="SingleTxtG"/>
        <w:spacing w:after="100"/>
        <w:ind w:left="2268" w:hanging="1134"/>
      </w:pPr>
      <w:r w:rsidRPr="00BD2EE3">
        <w:t>2.25.3.1</w:t>
      </w:r>
      <w:r w:rsidRPr="00BD2EE3">
        <w:tab/>
        <w:t>pour les pneumatiques à structure diagonale, pas d</w:t>
      </w:r>
      <w:r w:rsidR="00333ACA" w:rsidRPr="00BD2EE3">
        <w:t>’</w:t>
      </w:r>
      <w:r w:rsidRPr="00BD2EE3">
        <w:t xml:space="preserve">indication ou la lettre </w:t>
      </w:r>
      <w:r w:rsidR="00AC34C9" w:rsidRPr="00BD2EE3">
        <w:t>“</w:t>
      </w:r>
      <w:r w:rsidRPr="00BD2EE3">
        <w:t>D</w:t>
      </w:r>
      <w:r w:rsidR="00AC34C9" w:rsidRPr="00BD2EE3">
        <w:t>”</w:t>
      </w:r>
      <w:r w:rsidRPr="00BD2EE3">
        <w:t xml:space="preserve"> située avant </w:t>
      </w:r>
      <w:r w:rsidRPr="00BD2EE3">
        <w:rPr>
          <w:rFonts w:eastAsia="Times New Roman"/>
        </w:rPr>
        <w:t>l</w:t>
      </w:r>
      <w:r w:rsidR="00333ACA" w:rsidRPr="00BD2EE3">
        <w:rPr>
          <w:rFonts w:eastAsia="Times New Roman"/>
        </w:rPr>
        <w:t>’</w:t>
      </w:r>
      <w:r w:rsidRPr="00BD2EE3">
        <w:rPr>
          <w:rFonts w:eastAsia="Times New Roman"/>
        </w:rPr>
        <w:t>indication</w:t>
      </w:r>
      <w:r w:rsidRPr="00BD2EE3">
        <w:t xml:space="preserve"> du diamètre de la jante</w:t>
      </w:r>
      <w:r w:rsidR="00333ACA" w:rsidRPr="00BD2EE3">
        <w:t> </w:t>
      </w:r>
      <w:r w:rsidRPr="00BD2EE3">
        <w:t>;</w:t>
      </w:r>
    </w:p>
    <w:p w:rsidR="000468BF" w:rsidRPr="00BD2EE3" w:rsidRDefault="00AA1C50" w:rsidP="008E45BF">
      <w:pPr>
        <w:pStyle w:val="SingleTxtG"/>
        <w:spacing w:after="100"/>
        <w:ind w:left="2268" w:hanging="1134"/>
      </w:pPr>
      <w:r w:rsidRPr="00BD2EE3">
        <w:t>2.25.3.2</w:t>
      </w:r>
      <w:r w:rsidRPr="00BD2EE3">
        <w:tab/>
        <w:t xml:space="preserve">pour les pneumatiques à structure radiale, la lettre </w:t>
      </w:r>
      <w:r w:rsidR="00AC34C9" w:rsidRPr="00BD2EE3">
        <w:t>“</w:t>
      </w:r>
      <w:r w:rsidRPr="00BD2EE3">
        <w:t>R</w:t>
      </w:r>
      <w:r w:rsidR="00AC34C9" w:rsidRPr="00BD2EE3">
        <w:t>”</w:t>
      </w:r>
      <w:r w:rsidRPr="00BD2EE3">
        <w:t xml:space="preserve"> située avant l’indication du </w:t>
      </w:r>
      <w:r w:rsidRPr="00BD2EE3">
        <w:rPr>
          <w:rFonts w:eastAsia="Times New Roman"/>
        </w:rPr>
        <w:t>diamètre</w:t>
      </w:r>
      <w:r w:rsidRPr="00BD2EE3">
        <w:t xml:space="preserve"> de la jante et, éventuellement, le mot </w:t>
      </w:r>
      <w:r w:rsidR="00AC34C9" w:rsidRPr="00BD2EE3">
        <w:t>“</w:t>
      </w:r>
      <w:r w:rsidRPr="00BD2EE3">
        <w:t>RADIAL</w:t>
      </w:r>
      <w:r w:rsidR="00BD2EE3" w:rsidRPr="00BD2EE3">
        <w:t>” ;</w:t>
      </w:r>
    </w:p>
    <w:p w:rsidR="000468BF" w:rsidRPr="00BD2EE3" w:rsidRDefault="00AA1C50" w:rsidP="008E45BF">
      <w:pPr>
        <w:pStyle w:val="SingleTxtG"/>
        <w:spacing w:after="100"/>
        <w:ind w:left="2268" w:hanging="1134"/>
      </w:pPr>
      <w:r w:rsidRPr="00BD2EE3">
        <w:t>2.25.3.3</w:t>
      </w:r>
      <w:r w:rsidRPr="00BD2EE3">
        <w:tab/>
        <w:t xml:space="preserve">pour les pneumatiques à structure ceinturée croisée, la lettre </w:t>
      </w:r>
      <w:r w:rsidR="00AC34C9" w:rsidRPr="00BD2EE3">
        <w:t>“</w:t>
      </w:r>
      <w:r w:rsidRPr="00BD2EE3">
        <w:t>B</w:t>
      </w:r>
      <w:r w:rsidR="00AC34C9" w:rsidRPr="00BD2EE3">
        <w:t>”</w:t>
      </w:r>
      <w:r w:rsidRPr="00BD2EE3">
        <w:t xml:space="preserve"> située avant l’indication du </w:t>
      </w:r>
      <w:r w:rsidRPr="00BD2EE3">
        <w:rPr>
          <w:rFonts w:eastAsia="Times New Roman"/>
        </w:rPr>
        <w:t>diamètre</w:t>
      </w:r>
      <w:r w:rsidRPr="00BD2EE3">
        <w:t xml:space="preserve"> de la jante et, en outre, les mots </w:t>
      </w:r>
      <w:r w:rsidR="00AC34C9" w:rsidRPr="00BD2EE3">
        <w:t>“</w:t>
      </w:r>
      <w:r w:rsidRPr="00BD2EE3">
        <w:t>BIAS-BELTED</w:t>
      </w:r>
      <w:r w:rsidR="00AC34C9" w:rsidRPr="00BD2EE3">
        <w:t>”</w:t>
      </w:r>
      <w:r w:rsidR="00BD2EE3" w:rsidRPr="00BD2EE3">
        <w:t> ;</w:t>
      </w:r>
    </w:p>
    <w:p w:rsidR="000468BF" w:rsidRPr="00BD2EE3" w:rsidRDefault="00AA1C50" w:rsidP="008E45BF">
      <w:pPr>
        <w:pStyle w:val="SingleTxtG"/>
        <w:spacing w:after="100"/>
        <w:ind w:left="2268" w:hanging="1134"/>
      </w:pPr>
      <w:r w:rsidRPr="00BD2EE3">
        <w:t>2.25.3.4</w:t>
      </w:r>
      <w:r w:rsidRPr="00BD2EE3">
        <w:tab/>
        <w:t xml:space="preserve">pour les pneumatiques à structure radiale conçus pour des vitesses dépassant 240 km/h mais </w:t>
      </w:r>
      <w:r w:rsidRPr="00BD2EE3">
        <w:rPr>
          <w:rFonts w:eastAsia="Times New Roman"/>
        </w:rPr>
        <w:t>pas</w:t>
      </w:r>
      <w:r w:rsidRPr="00BD2EE3">
        <w:t xml:space="preserve"> 300 km/h (pneus portant un code de service composé du symbole de catégorie de vitesse </w:t>
      </w:r>
      <w:r w:rsidR="00AC34C9" w:rsidRPr="00BD2EE3">
        <w:t>“</w:t>
      </w:r>
      <w:r w:rsidRPr="00BD2EE3">
        <w:t>W</w:t>
      </w:r>
      <w:r w:rsidR="00AC34C9" w:rsidRPr="00BD2EE3">
        <w:t>”</w:t>
      </w:r>
      <w:r w:rsidRPr="00BD2EE3">
        <w:t xml:space="preserve"> ou </w:t>
      </w:r>
      <w:r w:rsidR="00AC34C9" w:rsidRPr="00BD2EE3">
        <w:t>“</w:t>
      </w:r>
      <w:r w:rsidRPr="00BD2EE3">
        <w:t>Y</w:t>
      </w:r>
      <w:r w:rsidR="00AC34C9" w:rsidRPr="00BD2EE3">
        <w:t>”</w:t>
      </w:r>
      <w:r w:rsidRPr="00BD2EE3">
        <w:t xml:space="preserve">), la lettre </w:t>
      </w:r>
      <w:r w:rsidR="00AC34C9" w:rsidRPr="00BD2EE3">
        <w:t>“</w:t>
      </w:r>
      <w:r w:rsidRPr="00BD2EE3">
        <w:t>R</w:t>
      </w:r>
      <w:r w:rsidR="00AC34C9" w:rsidRPr="00BD2EE3">
        <w:t>”</w:t>
      </w:r>
      <w:r w:rsidRPr="00BD2EE3">
        <w:t xml:space="preserve"> placée avant l</w:t>
      </w:r>
      <w:r w:rsidR="00333ACA" w:rsidRPr="00BD2EE3">
        <w:t>’</w:t>
      </w:r>
      <w:r w:rsidRPr="00BD2EE3">
        <w:t>indication du diamètre de la jante peut être remplacée par l</w:t>
      </w:r>
      <w:r w:rsidR="00333ACA" w:rsidRPr="00BD2EE3">
        <w:t>’</w:t>
      </w:r>
      <w:r w:rsidRPr="00BD2EE3">
        <w:t xml:space="preserve">inscription </w:t>
      </w:r>
      <w:r w:rsidR="00AC34C9" w:rsidRPr="00BD2EE3">
        <w:t>“</w:t>
      </w:r>
      <w:r w:rsidRPr="00BD2EE3">
        <w:t>ZR</w:t>
      </w:r>
      <w:r w:rsidR="00AC34C9" w:rsidRPr="00BD2EE3">
        <w:t>”</w:t>
      </w:r>
      <w:r w:rsidR="00333ACA" w:rsidRPr="00BD2EE3">
        <w:t> ;</w:t>
      </w:r>
      <w:r w:rsidRPr="00BD2EE3">
        <w:t xml:space="preserve"> pour les pneumatiques conçus pour des vitesses supérieures à 300</w:t>
      </w:r>
      <w:r w:rsidR="00AC34C9" w:rsidRPr="00BD2EE3">
        <w:t> </w:t>
      </w:r>
      <w:r w:rsidRPr="00BD2EE3">
        <w:t xml:space="preserve">km/h, la lettre </w:t>
      </w:r>
      <w:r w:rsidR="00AC34C9" w:rsidRPr="00BD2EE3">
        <w:t>“</w:t>
      </w:r>
      <w:r w:rsidRPr="00BD2EE3">
        <w:t>R</w:t>
      </w:r>
      <w:r w:rsidR="00AC34C9" w:rsidRPr="00BD2EE3">
        <w:t>”</w:t>
      </w:r>
      <w:r w:rsidRPr="00BD2EE3">
        <w:t xml:space="preserve"> placée avant l</w:t>
      </w:r>
      <w:r w:rsidR="00333ACA" w:rsidRPr="00BD2EE3">
        <w:t>’</w:t>
      </w:r>
      <w:r w:rsidRPr="00BD2EE3">
        <w:t>indication du diamètre de la jante doit être remplacée par l</w:t>
      </w:r>
      <w:r w:rsidR="00333ACA" w:rsidRPr="00BD2EE3">
        <w:t>’</w:t>
      </w:r>
      <w:r w:rsidRPr="00BD2EE3">
        <w:t xml:space="preserve">inscription </w:t>
      </w:r>
      <w:r w:rsidR="00AC34C9" w:rsidRPr="00BD2EE3">
        <w:t>“</w:t>
      </w:r>
      <w:r w:rsidRPr="00BD2EE3">
        <w:t>ZR</w:t>
      </w:r>
      <w:r w:rsidR="00AC34C9" w:rsidRPr="00BD2EE3">
        <w:t>”</w:t>
      </w:r>
      <w:r w:rsidR="00333ACA" w:rsidRPr="00BD2EE3">
        <w:t> ;</w:t>
      </w:r>
    </w:p>
    <w:p w:rsidR="000468BF" w:rsidRPr="00BD2EE3" w:rsidRDefault="00AA1C50" w:rsidP="008E45BF">
      <w:pPr>
        <w:pStyle w:val="SingleTxtG"/>
        <w:spacing w:after="100"/>
        <w:ind w:left="2268" w:hanging="1134"/>
      </w:pPr>
      <w:r w:rsidRPr="00BD2EE3">
        <w:t>2.25.3.5</w:t>
      </w:r>
      <w:r w:rsidRPr="00BD2EE3">
        <w:tab/>
        <w:t xml:space="preserve">sur les pneumatiques </w:t>
      </w:r>
      <w:r w:rsidR="00AC34C9" w:rsidRPr="00BD2EE3">
        <w:t>“</w:t>
      </w:r>
      <w:r w:rsidRPr="00BD2EE3">
        <w:rPr>
          <w:u w:val="single"/>
        </w:rPr>
        <w:t>capables de rouler à plat</w:t>
      </w:r>
      <w:r w:rsidR="00AC34C9" w:rsidRPr="00BD2EE3">
        <w:t>”</w:t>
      </w:r>
      <w:r w:rsidRPr="00BD2EE3">
        <w:t xml:space="preserve"> ou les pneumatiques </w:t>
      </w:r>
      <w:r w:rsidR="00AC34C9" w:rsidRPr="00BD2EE3">
        <w:t>“</w:t>
      </w:r>
      <w:r w:rsidRPr="00BD2EE3">
        <w:rPr>
          <w:u w:val="single"/>
        </w:rPr>
        <w:t>autoportants</w:t>
      </w:r>
      <w:r w:rsidR="00AC34C9" w:rsidRPr="00BD2EE3">
        <w:t>”</w:t>
      </w:r>
      <w:r w:rsidRPr="00BD2EE3">
        <w:t xml:space="preserve">, la lettre </w:t>
      </w:r>
      <w:r w:rsidR="00910AA6" w:rsidRPr="00BD2EE3">
        <w:t>“</w:t>
      </w:r>
      <w:r w:rsidRPr="00BD2EE3">
        <w:t>F</w:t>
      </w:r>
      <w:r w:rsidR="00AC34C9" w:rsidRPr="00BD2EE3">
        <w:t>”</w:t>
      </w:r>
      <w:r w:rsidRPr="00BD2EE3">
        <w:t xml:space="preserve"> placée devant l</w:t>
      </w:r>
      <w:r w:rsidR="00333ACA" w:rsidRPr="00BD2EE3">
        <w:t>’</w:t>
      </w:r>
      <w:r w:rsidRPr="00BD2EE3">
        <w:t>indication du diamètre de la jante. ».</w:t>
      </w:r>
    </w:p>
    <w:p w:rsidR="000468BF" w:rsidRPr="00BD2EE3" w:rsidRDefault="00AA1C50" w:rsidP="008E45BF">
      <w:pPr>
        <w:pStyle w:val="SingleTxtG"/>
        <w:spacing w:after="100"/>
      </w:pPr>
      <w:bookmarkStart w:id="1" w:name="_Hlk506794094"/>
      <w:r w:rsidRPr="00BD2EE3">
        <w:rPr>
          <w:i/>
        </w:rPr>
        <w:t>Les paragraphes 2.22.1.3 et 2.22.1.4</w:t>
      </w:r>
      <w:r w:rsidRPr="00BD2EE3">
        <w:t xml:space="preserve"> deviennent les paragraphes 2.25.4 et 2.25.5.</w:t>
      </w:r>
    </w:p>
    <w:bookmarkEnd w:id="1"/>
    <w:p w:rsidR="000468BF" w:rsidRPr="00BD2EE3" w:rsidRDefault="00AA1C50" w:rsidP="008E45BF">
      <w:pPr>
        <w:pStyle w:val="SingleTxtG"/>
        <w:spacing w:after="100"/>
      </w:pPr>
      <w:r w:rsidRPr="00BD2EE3">
        <w:rPr>
          <w:i/>
        </w:rPr>
        <w:t>Ajouter le nouveau paragraphe 2.25.6</w:t>
      </w:r>
      <w:r w:rsidRPr="00BD2EE3">
        <w:t>, ainsi libellé</w:t>
      </w:r>
      <w:r w:rsidR="00333ACA" w:rsidRPr="00BD2EE3">
        <w:t> :</w:t>
      </w:r>
    </w:p>
    <w:p w:rsidR="000468BF" w:rsidRPr="00BD2EE3" w:rsidRDefault="00910AA6" w:rsidP="008E45BF">
      <w:pPr>
        <w:pStyle w:val="SingleTxtG"/>
        <w:spacing w:after="100"/>
        <w:ind w:left="2268" w:hanging="1134"/>
      </w:pPr>
      <w:r w:rsidRPr="00BD2EE3">
        <w:t>« </w:t>
      </w:r>
      <w:r w:rsidR="00AA1C50" w:rsidRPr="00BD2EE3">
        <w:t>2.25.6</w:t>
      </w:r>
      <w:r w:rsidR="00AA1C50" w:rsidRPr="00BD2EE3">
        <w:tab/>
        <w:t xml:space="preserve">la </w:t>
      </w:r>
      <w:r w:rsidR="00AA1C50" w:rsidRPr="00BD2EE3">
        <w:rPr>
          <w:rFonts w:eastAsia="Times New Roman"/>
        </w:rPr>
        <w:t>lettre</w:t>
      </w:r>
      <w:r w:rsidR="00AA1C50" w:rsidRPr="00BD2EE3">
        <w:t xml:space="preserve"> </w:t>
      </w:r>
      <w:r w:rsidRPr="00BD2EE3">
        <w:t>“</w:t>
      </w:r>
      <w:r w:rsidR="00AA1C50" w:rsidRPr="00BD2EE3">
        <w:t>P</w:t>
      </w:r>
      <w:r w:rsidRPr="00BD2EE3">
        <w:t>”</w:t>
      </w:r>
      <w:r w:rsidR="00AA1C50" w:rsidRPr="00BD2EE3">
        <w:t xml:space="preserve"> devant la grosseur nominale du boudin dans le cas des pneumatiques de type P</w:t>
      </w:r>
      <w:r w:rsidR="00333ACA" w:rsidRPr="00BD2EE3">
        <w:t> ;</w:t>
      </w:r>
      <w:r w:rsidRPr="00BD2EE3">
        <w:t> »</w:t>
      </w:r>
      <w:r w:rsidR="00AA1C50" w:rsidRPr="00BD2EE3">
        <w:t>.</w:t>
      </w:r>
    </w:p>
    <w:p w:rsidR="000468BF" w:rsidRPr="00BD2EE3" w:rsidRDefault="00AA1C50" w:rsidP="008E45BF">
      <w:pPr>
        <w:pStyle w:val="SingleTxtG"/>
        <w:spacing w:after="100"/>
      </w:pPr>
      <w:r w:rsidRPr="00BD2EE3">
        <w:rPr>
          <w:i/>
        </w:rPr>
        <w:t>Le paragraphe 2.22.1.5</w:t>
      </w:r>
      <w:r w:rsidRPr="00BD2EE3">
        <w:t xml:space="preserve"> devient le paragraphe 2.25.7.</w:t>
      </w:r>
    </w:p>
    <w:p w:rsidR="000468BF" w:rsidRPr="00BD2EE3" w:rsidRDefault="00AA1C50" w:rsidP="008E45BF">
      <w:pPr>
        <w:pStyle w:val="SingleTxtG"/>
        <w:spacing w:after="100"/>
        <w:rPr>
          <w:i/>
        </w:rPr>
      </w:pPr>
      <w:r w:rsidRPr="00BD2EE3">
        <w:rPr>
          <w:i/>
        </w:rPr>
        <w:t>Les paragraphes 2.23 à 2.40</w:t>
      </w:r>
      <w:r w:rsidRPr="00BD2EE3">
        <w:t xml:space="preserve"> deviennent les paragraphes 2.26 à 2.43 respectivement. </w:t>
      </w:r>
    </w:p>
    <w:p w:rsidR="000468BF" w:rsidRPr="00BD2EE3" w:rsidRDefault="00AA1C50" w:rsidP="008E45BF">
      <w:pPr>
        <w:pStyle w:val="SingleTxtG"/>
        <w:spacing w:after="100"/>
      </w:pPr>
      <w:r w:rsidRPr="00BD2EE3">
        <w:rPr>
          <w:i/>
        </w:rPr>
        <w:t>Le paragraphe 2.41</w:t>
      </w:r>
      <w:r w:rsidRPr="00BD2EE3">
        <w:t xml:space="preserve"> devient le paragraphe 2.44, modifié comme suit</w:t>
      </w:r>
      <w:r w:rsidR="00333ACA" w:rsidRPr="00BD2EE3">
        <w:t> </w:t>
      </w:r>
      <w:r w:rsidRPr="00BD2EE3">
        <w:t>:</w:t>
      </w:r>
    </w:p>
    <w:p w:rsidR="000468BF" w:rsidRPr="00BD2EE3" w:rsidRDefault="00910AA6" w:rsidP="008E45BF">
      <w:pPr>
        <w:pStyle w:val="SingleTxtG"/>
        <w:spacing w:after="100"/>
        <w:ind w:left="2268" w:hanging="1134"/>
      </w:pPr>
      <w:r w:rsidRPr="00BD2EE3">
        <w:t>« </w:t>
      </w:r>
      <w:r w:rsidR="00AA1C50" w:rsidRPr="00BD2EE3">
        <w:t>2.44</w:t>
      </w:r>
      <w:r w:rsidR="00AA1C50" w:rsidRPr="00BD2EE3">
        <w:tab/>
      </w:r>
      <w:r w:rsidRPr="00BD2EE3">
        <w:t>“</w:t>
      </w:r>
      <w:r w:rsidR="00AA1C50" w:rsidRPr="00BD2EE3">
        <w:rPr>
          <w:u w:val="single"/>
        </w:rPr>
        <w:t>Hauteur de la partie comprimée du boudin</w:t>
      </w:r>
      <w:r w:rsidRPr="00BD2EE3">
        <w:t>”</w:t>
      </w:r>
      <w:r w:rsidR="00AA1C50" w:rsidRPr="00BD2EE3">
        <w:t xml:space="preserve">, la </w:t>
      </w:r>
      <w:r w:rsidR="00AA1C50" w:rsidRPr="00BD2EE3">
        <w:rPr>
          <w:rFonts w:eastAsia="Times New Roman"/>
        </w:rPr>
        <w:t>différence</w:t>
      </w:r>
      <w:r w:rsidR="00AA1C50" w:rsidRPr="00BD2EE3">
        <w:t xml:space="preserve"> entre le rayon du boudin comprimé, mesuré à partir du centre de la jante jusqu’à la surface du boudin, et la moitié du diamètre nominal de la jante, tel qu’il est défini </w:t>
      </w:r>
      <w:r w:rsidR="00AA1C50" w:rsidRPr="00BD2EE3">
        <w:rPr>
          <w:b/>
        </w:rPr>
        <w:t>au paragraphe 2.23 du présent Règlement</w:t>
      </w:r>
      <w:r w:rsidR="00AA1C50" w:rsidRPr="00BD2EE3">
        <w:rPr>
          <w:strike/>
        </w:rPr>
        <w:t xml:space="preserve"> dans la norme ISO 4000-1:2010</w:t>
      </w:r>
      <w:r w:rsidR="00AA1C50" w:rsidRPr="00BD2EE3">
        <w:t>.</w:t>
      </w:r>
      <w:r w:rsidRPr="00BD2EE3">
        <w:t> »</w:t>
      </w:r>
      <w:r w:rsidR="00AA1C50" w:rsidRPr="00BD2EE3">
        <w:t>.</w:t>
      </w:r>
    </w:p>
    <w:p w:rsidR="000468BF" w:rsidRPr="00BD2EE3" w:rsidRDefault="00AA1C50" w:rsidP="00D316FD">
      <w:pPr>
        <w:pStyle w:val="SingleTxtG"/>
        <w:rPr>
          <w:i/>
        </w:rPr>
      </w:pPr>
      <w:r w:rsidRPr="00BD2EE3">
        <w:rPr>
          <w:i/>
        </w:rPr>
        <w:t>Paragraphes 3.1.4 à 3.1.4.5</w:t>
      </w:r>
      <w:r w:rsidRPr="00BD2EE3">
        <w:t>, supprimer.</w:t>
      </w:r>
    </w:p>
    <w:p w:rsidR="000468BF" w:rsidRPr="00BD2EE3" w:rsidRDefault="00AA1C50" w:rsidP="008E45BF">
      <w:pPr>
        <w:pStyle w:val="SingleTxtG"/>
        <w:spacing w:after="100"/>
      </w:pPr>
      <w:r w:rsidRPr="00BD2EE3">
        <w:rPr>
          <w:i/>
        </w:rPr>
        <w:lastRenderedPageBreak/>
        <w:t>Le paragraphe 3.1.8</w:t>
      </w:r>
      <w:r w:rsidRPr="00BD2EE3">
        <w:t xml:space="preserve"> devient le paragraphe 3.1.4.</w:t>
      </w:r>
    </w:p>
    <w:p w:rsidR="000468BF" w:rsidRPr="00BD2EE3" w:rsidRDefault="00AA1C50" w:rsidP="008E45BF">
      <w:pPr>
        <w:pStyle w:val="SingleTxtG"/>
        <w:spacing w:after="100"/>
      </w:pPr>
      <w:r w:rsidRPr="00BD2EE3">
        <w:rPr>
          <w:i/>
        </w:rPr>
        <w:t>Paragraphe 3.1.5.1</w:t>
      </w:r>
      <w:r w:rsidRPr="00BD2EE3">
        <w:t>, lire</w:t>
      </w:r>
      <w:r w:rsidR="00333ACA" w:rsidRPr="00BD2EE3">
        <w:t> :</w:t>
      </w:r>
    </w:p>
    <w:p w:rsidR="000468BF" w:rsidRPr="00BD2EE3" w:rsidRDefault="00910AA6" w:rsidP="008E45BF">
      <w:pPr>
        <w:pStyle w:val="SingleTxtG"/>
        <w:spacing w:after="100"/>
        <w:ind w:left="2268" w:hanging="1134"/>
      </w:pPr>
      <w:r w:rsidRPr="00BD2EE3">
        <w:t>« </w:t>
      </w:r>
      <w:r w:rsidR="00AA1C50" w:rsidRPr="00BD2EE3">
        <w:t>3.1.5.1</w:t>
      </w:r>
      <w:r w:rsidR="00AA1C50" w:rsidRPr="00BD2EE3">
        <w:tab/>
        <w:t>Pour les pneumatiques conçus pour des vitesses supérieures à 300 km/h,</w:t>
      </w:r>
      <w:r w:rsidR="00AA1C50" w:rsidRPr="00BD2EE3">
        <w:rPr>
          <w:strike/>
        </w:rPr>
        <w:t xml:space="preserve"> la lettre </w:t>
      </w:r>
      <w:r w:rsidRPr="00BD2EE3">
        <w:rPr>
          <w:strike/>
        </w:rPr>
        <w:t>“</w:t>
      </w:r>
      <w:r w:rsidR="00AA1C50" w:rsidRPr="00BD2EE3">
        <w:rPr>
          <w:strike/>
        </w:rPr>
        <w:t>R</w:t>
      </w:r>
      <w:r w:rsidRPr="00BD2EE3">
        <w:rPr>
          <w:strike/>
        </w:rPr>
        <w:t>”</w:t>
      </w:r>
      <w:r w:rsidR="00AA1C50" w:rsidRPr="00BD2EE3">
        <w:rPr>
          <w:strike/>
        </w:rPr>
        <w:t xml:space="preserve"> placée </w:t>
      </w:r>
      <w:r w:rsidR="00AA1C50" w:rsidRPr="00BD2EE3">
        <w:rPr>
          <w:rFonts w:eastAsia="Times New Roman"/>
          <w:strike/>
        </w:rPr>
        <w:t>avant</w:t>
      </w:r>
      <w:r w:rsidR="00AA1C50" w:rsidRPr="00BD2EE3">
        <w:rPr>
          <w:strike/>
        </w:rPr>
        <w:t xml:space="preserve"> l’indication du code de diamètre de la jante doit être remplacée par l’inscription </w:t>
      </w:r>
      <w:r w:rsidRPr="00BD2EE3">
        <w:rPr>
          <w:strike/>
        </w:rPr>
        <w:t>“</w:t>
      </w:r>
      <w:r w:rsidR="00AA1C50" w:rsidRPr="00BD2EE3">
        <w:rPr>
          <w:strike/>
        </w:rPr>
        <w:t>ZR</w:t>
      </w:r>
      <w:r w:rsidRPr="00BD2EE3">
        <w:rPr>
          <w:strike/>
        </w:rPr>
        <w:t>”</w:t>
      </w:r>
      <w:r w:rsidR="00AA1C50" w:rsidRPr="00BD2EE3">
        <w:rPr>
          <w:strike/>
        </w:rPr>
        <w:t xml:space="preserve"> et</w:t>
      </w:r>
      <w:r w:rsidR="00AA1C50" w:rsidRPr="00BD2EE3">
        <w:t xml:space="preserve"> le pneu doit porter un code de service composé du symbole de catégorie de vitesse </w:t>
      </w:r>
      <w:r w:rsidRPr="00BD2EE3">
        <w:t>“</w:t>
      </w:r>
      <w:r w:rsidR="00AA1C50" w:rsidRPr="00BD2EE3">
        <w:t>Y</w:t>
      </w:r>
      <w:r w:rsidRPr="00BD2EE3">
        <w:t>”</w:t>
      </w:r>
      <w:r w:rsidR="00AA1C50" w:rsidRPr="00BD2EE3">
        <w:t xml:space="preserve"> et de l’indice de capacité de charge. Ce code de service doit figurer entre parenthèses, par exemple </w:t>
      </w:r>
      <w:r w:rsidRPr="00BD2EE3">
        <w:t>“</w:t>
      </w:r>
      <w:r w:rsidR="00AA1C50" w:rsidRPr="00BD2EE3">
        <w:t>(95Y)</w:t>
      </w:r>
      <w:r w:rsidRPr="00BD2EE3">
        <w:t>”</w:t>
      </w:r>
      <w:r w:rsidR="00AA1C50" w:rsidRPr="00BD2EE3">
        <w:t>. ».</w:t>
      </w:r>
    </w:p>
    <w:p w:rsidR="000468BF" w:rsidRPr="00BD2EE3" w:rsidRDefault="00AA1C50" w:rsidP="008E45BF">
      <w:pPr>
        <w:pStyle w:val="SingleTxtG"/>
        <w:spacing w:after="100"/>
        <w:rPr>
          <w:i/>
        </w:rPr>
      </w:pPr>
      <w:r w:rsidRPr="00BD2EE3">
        <w:rPr>
          <w:i/>
        </w:rPr>
        <w:t>Paragraphes 3.1.9 et 3.1.10</w:t>
      </w:r>
      <w:r w:rsidRPr="00BD2EE3">
        <w:t>, renuméroter 3.1.8 et 3.1.9.</w:t>
      </w:r>
    </w:p>
    <w:p w:rsidR="000468BF" w:rsidRPr="00BD2EE3" w:rsidRDefault="00AA1C50" w:rsidP="008E45BF">
      <w:pPr>
        <w:pStyle w:val="SingleTxtG"/>
        <w:spacing w:after="100"/>
        <w:rPr>
          <w:i/>
        </w:rPr>
      </w:pPr>
      <w:r w:rsidRPr="00BD2EE3">
        <w:rPr>
          <w:i/>
        </w:rPr>
        <w:t>Le paragraphe 3.1.12</w:t>
      </w:r>
      <w:r w:rsidRPr="00BD2EE3">
        <w:t xml:space="preserve"> devient le paragraphe 3.1.11, modifié comme suit</w:t>
      </w:r>
      <w:r w:rsidR="00333ACA" w:rsidRPr="00BD2EE3">
        <w:t> </w:t>
      </w:r>
      <w:r w:rsidRPr="00BD2EE3">
        <w:t>:</w:t>
      </w:r>
    </w:p>
    <w:p w:rsidR="000468BF" w:rsidRPr="00BD2EE3" w:rsidRDefault="00910AA6" w:rsidP="008E45BF">
      <w:pPr>
        <w:pStyle w:val="SingleTxtG"/>
        <w:spacing w:after="100"/>
        <w:ind w:left="2268" w:hanging="1134"/>
      </w:pPr>
      <w:r w:rsidRPr="00BD2EE3">
        <w:t>« </w:t>
      </w:r>
      <w:r w:rsidR="00AA1C50" w:rsidRPr="00BD2EE3">
        <w:t>3.1.11</w:t>
      </w:r>
      <w:r w:rsidR="00AA1C50" w:rsidRPr="00BD2EE3">
        <w:tab/>
        <w:t xml:space="preserve">Dans le cas de pneumatiques homologués pour la première fois après l’entrée en </w:t>
      </w:r>
      <w:r w:rsidR="00AA1C50" w:rsidRPr="00BD2EE3">
        <w:rPr>
          <w:rFonts w:eastAsia="Times New Roman"/>
        </w:rPr>
        <w:t>vigueur</w:t>
      </w:r>
      <w:r w:rsidR="00AA1C50" w:rsidRPr="00BD2EE3">
        <w:t xml:space="preserve"> du complément 13 à la série 02 d’amendements au Règlement ONU </w:t>
      </w:r>
      <w:r w:rsidR="00333ACA" w:rsidRPr="00BD2EE3">
        <w:rPr>
          <w:rFonts w:eastAsia="MS Mincho"/>
          <w:szCs w:val="22"/>
        </w:rPr>
        <w:t>n</w:t>
      </w:r>
      <w:r w:rsidR="00333ACA" w:rsidRPr="00BD2EE3">
        <w:rPr>
          <w:rFonts w:eastAsia="MS Mincho"/>
          <w:szCs w:val="22"/>
          <w:vertAlign w:val="superscript"/>
        </w:rPr>
        <w:t>o</w:t>
      </w:r>
      <w:r w:rsidR="00333ACA" w:rsidRPr="00BD2EE3">
        <w:t> </w:t>
      </w:r>
      <w:r w:rsidR="00AA1C50" w:rsidRPr="00BD2EE3">
        <w:t>30, le symbole d’identification visé au paragraphe</w:t>
      </w:r>
      <w:r w:rsidR="00AA1C50" w:rsidRPr="00FC3C4F">
        <w:rPr>
          <w:strike/>
        </w:rPr>
        <w:t xml:space="preserve"> </w:t>
      </w:r>
      <w:r w:rsidR="00AA1C50" w:rsidRPr="00BD2EE3">
        <w:rPr>
          <w:strike/>
        </w:rPr>
        <w:t>2.22.1.5</w:t>
      </w:r>
      <w:r w:rsidR="00AA1C50" w:rsidRPr="00BD2EE3">
        <w:t xml:space="preserve"> </w:t>
      </w:r>
      <w:r w:rsidR="00AA1C50" w:rsidRPr="00BD2EE3">
        <w:rPr>
          <w:b/>
        </w:rPr>
        <w:t>2.25.7</w:t>
      </w:r>
      <w:r w:rsidR="00AA1C50" w:rsidRPr="00BD2EE3">
        <w:t xml:space="preserve"> doit être placé immédiatement après l’indication du diamètre de la jante telle que définie au paragraphe</w:t>
      </w:r>
      <w:r w:rsidR="00AA1C50" w:rsidRPr="00BD2EE3">
        <w:rPr>
          <w:strike/>
        </w:rPr>
        <w:t> 2.22.1.3</w:t>
      </w:r>
      <w:r w:rsidR="00AA1C50" w:rsidRPr="00BD2EE3">
        <w:t xml:space="preserve"> </w:t>
      </w:r>
      <w:r w:rsidR="00AA1C50" w:rsidRPr="00BD2EE3">
        <w:rPr>
          <w:b/>
        </w:rPr>
        <w:t>2.25.4</w:t>
      </w:r>
      <w:r w:rsidR="00AA1C50" w:rsidRPr="00BD2EE3">
        <w:t>.</w:t>
      </w:r>
      <w:r w:rsidRPr="00BD2EE3">
        <w:t> »</w:t>
      </w:r>
      <w:r w:rsidR="00AA1C50" w:rsidRPr="00BD2EE3">
        <w:t>.</w:t>
      </w:r>
    </w:p>
    <w:p w:rsidR="000468BF" w:rsidRPr="00BD2EE3" w:rsidRDefault="00AA1C50" w:rsidP="008E45BF">
      <w:pPr>
        <w:pStyle w:val="SingleTxtG"/>
        <w:spacing w:after="100"/>
      </w:pPr>
      <w:r w:rsidRPr="00BD2EE3">
        <w:rPr>
          <w:i/>
        </w:rPr>
        <w:t>Les paragraphes 3.1.13 et 3.1.14</w:t>
      </w:r>
      <w:r w:rsidRPr="00BD2EE3">
        <w:t xml:space="preserve"> deviennent les paragraphes 3.1.12 et</w:t>
      </w:r>
      <w:r w:rsidR="00333ACA" w:rsidRPr="00BD2EE3">
        <w:t xml:space="preserve"> </w:t>
      </w:r>
      <w:r w:rsidRPr="00BD2EE3">
        <w:t>3.1.13.</w:t>
      </w:r>
    </w:p>
    <w:p w:rsidR="000468BF" w:rsidRPr="00BD2EE3" w:rsidRDefault="00AA1C50" w:rsidP="008E45BF">
      <w:pPr>
        <w:pStyle w:val="SingleTxtG"/>
        <w:spacing w:after="100"/>
      </w:pPr>
      <w:r w:rsidRPr="00BD2EE3">
        <w:rPr>
          <w:i/>
        </w:rPr>
        <w:t>Paragraphe 3.4</w:t>
      </w:r>
      <w:r w:rsidRPr="00BD2EE3">
        <w:t>, lire</w:t>
      </w:r>
      <w:r w:rsidR="00333ACA" w:rsidRPr="00BD2EE3">
        <w:t> </w:t>
      </w:r>
      <w:r w:rsidRPr="00BD2EE3">
        <w:t>:</w:t>
      </w:r>
    </w:p>
    <w:p w:rsidR="000468BF" w:rsidRPr="00BD2EE3" w:rsidRDefault="00910AA6" w:rsidP="008E45BF">
      <w:pPr>
        <w:pStyle w:val="SingleTxtG"/>
        <w:spacing w:after="100"/>
        <w:ind w:left="2268" w:hanging="1134"/>
      </w:pPr>
      <w:r w:rsidRPr="00BD2EE3">
        <w:t>« </w:t>
      </w:r>
      <w:r w:rsidR="00AA1C50" w:rsidRPr="00BD2EE3">
        <w:t>3.4</w:t>
      </w:r>
      <w:r w:rsidR="00AA1C50" w:rsidRPr="00BD2EE3">
        <w:tab/>
        <w:t xml:space="preserve">Les inscriptions mentionnées au paragraphe 3.1 et la marque d’homologation prévue par le paragraphe 5.4 du présent Règlement doivent être moulées en relief ou en creux sur les </w:t>
      </w:r>
      <w:r w:rsidR="00AA1C50" w:rsidRPr="00BD2EE3">
        <w:rPr>
          <w:rFonts w:eastAsia="Times New Roman"/>
        </w:rPr>
        <w:t>pneumatiques</w:t>
      </w:r>
      <w:r w:rsidR="00AA1C50" w:rsidRPr="00BD2EE3">
        <w:t>.</w:t>
      </w:r>
      <w:r w:rsidR="00333ACA" w:rsidRPr="00BD2EE3">
        <w:t xml:space="preserve"> </w:t>
      </w:r>
      <w:r w:rsidR="00AA1C50" w:rsidRPr="00BD2EE3">
        <w:t>Elles doivent être nettement lisibles et situées dans la zone basse du pneumatique sur au moins un des flancs, à l’exception de l’inscription mentionnée aux paragraphes 3.1.1, 3.1.2 et</w:t>
      </w:r>
      <w:r w:rsidR="00AA1C50" w:rsidRPr="00FC3C4F">
        <w:rPr>
          <w:strike/>
        </w:rPr>
        <w:t xml:space="preserve"> </w:t>
      </w:r>
      <w:r w:rsidR="00AA1C50" w:rsidRPr="00BD2EE3">
        <w:rPr>
          <w:strike/>
        </w:rPr>
        <w:t>3.1.13</w:t>
      </w:r>
      <w:r w:rsidR="00AA1C50" w:rsidRPr="00BD2EE3">
        <w:t xml:space="preserve"> </w:t>
      </w:r>
      <w:r w:rsidR="00AA1C50" w:rsidRPr="00BD2EE3">
        <w:rPr>
          <w:b/>
        </w:rPr>
        <w:t>3.1.12</w:t>
      </w:r>
      <w:r w:rsidR="00AA1C50" w:rsidRPr="00BD2EE3">
        <w:t xml:space="preserve"> ci-dessus.</w:t>
      </w:r>
      <w:r w:rsidRPr="00BD2EE3">
        <w:t> »</w:t>
      </w:r>
      <w:r w:rsidR="00AA1C50" w:rsidRPr="00BD2EE3">
        <w:t>.</w:t>
      </w:r>
    </w:p>
    <w:p w:rsidR="000468BF" w:rsidRPr="00BD2EE3" w:rsidRDefault="00AA1C50" w:rsidP="008E45BF">
      <w:pPr>
        <w:pStyle w:val="SingleTxtG"/>
        <w:spacing w:after="100"/>
        <w:rPr>
          <w:i/>
        </w:rPr>
      </w:pPr>
      <w:r w:rsidRPr="00BD2EE3">
        <w:rPr>
          <w:i/>
        </w:rPr>
        <w:t>Paragraphe 4.1.14</w:t>
      </w:r>
      <w:r w:rsidRPr="00BD2EE3">
        <w:t>, lire</w:t>
      </w:r>
      <w:r w:rsidR="00333ACA" w:rsidRPr="00BD2EE3">
        <w:t> </w:t>
      </w:r>
      <w:r w:rsidRPr="00BD2EE3">
        <w:t>:</w:t>
      </w:r>
    </w:p>
    <w:p w:rsidR="000468BF" w:rsidRPr="00BD2EE3" w:rsidRDefault="00910AA6" w:rsidP="008E45BF">
      <w:pPr>
        <w:pStyle w:val="SingleTxtG"/>
        <w:spacing w:after="100"/>
        <w:ind w:left="2268" w:hanging="1134"/>
      </w:pPr>
      <w:r w:rsidRPr="00BD2EE3">
        <w:t>« </w:t>
      </w:r>
      <w:r w:rsidR="00AA1C50" w:rsidRPr="00BD2EE3">
        <w:t>4.1.15</w:t>
      </w:r>
      <w:r w:rsidR="00AA1C50" w:rsidRPr="00BD2EE3">
        <w:tab/>
      </w:r>
      <w:r w:rsidR="00FC3C4F" w:rsidRPr="00BD2EE3">
        <w:t xml:space="preserve">Le </w:t>
      </w:r>
      <w:r w:rsidR="00AA1C50" w:rsidRPr="00BD2EE3">
        <w:t>coefficient x mentionné au paragraphe 2.28 ci-dessus.</w:t>
      </w:r>
      <w:r w:rsidRPr="00BD2EE3">
        <w:t> »</w:t>
      </w:r>
      <w:r w:rsidR="00AA1C50" w:rsidRPr="00BD2EE3">
        <w:t>.</w:t>
      </w:r>
    </w:p>
    <w:p w:rsidR="000468BF" w:rsidRPr="00BD2EE3" w:rsidRDefault="00AA1C50" w:rsidP="008E45BF">
      <w:pPr>
        <w:pStyle w:val="SingleTxtG"/>
        <w:spacing w:after="100"/>
        <w:jc w:val="left"/>
      </w:pPr>
      <w:r w:rsidRPr="00BD2EE3">
        <w:rPr>
          <w:i/>
          <w:iCs/>
        </w:rPr>
        <w:t>Annexe 3</w:t>
      </w:r>
      <w:r w:rsidRPr="00BD2EE3">
        <w:t xml:space="preserve">, </w:t>
      </w:r>
      <w:r w:rsidR="00C81594" w:rsidRPr="00BD2EE3">
        <w:rPr>
          <w:i/>
        </w:rPr>
        <w:br/>
      </w:r>
      <w:r w:rsidRPr="00BD2EE3">
        <w:rPr>
          <w:i/>
          <w:iCs/>
        </w:rPr>
        <w:t>Paragraphe 2</w:t>
      </w:r>
      <w:r w:rsidRPr="00BD2EE3">
        <w:t>, lire</w:t>
      </w:r>
      <w:r w:rsidR="00333ACA" w:rsidRPr="00BD2EE3">
        <w:t> :</w:t>
      </w:r>
    </w:p>
    <w:p w:rsidR="000468BF" w:rsidRPr="00BD2EE3" w:rsidRDefault="00910AA6" w:rsidP="008E45BF">
      <w:pPr>
        <w:pStyle w:val="SingleTxtG"/>
        <w:spacing w:after="100"/>
        <w:ind w:left="2268" w:hanging="1134"/>
      </w:pPr>
      <w:r w:rsidRPr="00BD2EE3">
        <w:t>« </w:t>
      </w:r>
      <w:r w:rsidR="00AA1C50" w:rsidRPr="00BD2EE3">
        <w:t>2.</w:t>
      </w:r>
      <w:r w:rsidR="00AA1C50" w:rsidRPr="00BD2EE3">
        <w:tab/>
      </w:r>
      <w:r w:rsidR="00AA1C50" w:rsidRPr="00BD2EE3">
        <w:tab/>
        <w:t xml:space="preserve">… </w:t>
      </w:r>
    </w:p>
    <w:p w:rsidR="000468BF" w:rsidRPr="00BD2EE3" w:rsidRDefault="00AA1C50" w:rsidP="008E45BF">
      <w:pPr>
        <w:pStyle w:val="SingleTxtG"/>
        <w:spacing w:after="100"/>
        <w:ind w:left="2268"/>
      </w:pPr>
      <w:r w:rsidRPr="00BD2EE3">
        <w:t>R indique la structure du pneumatique − voir le paragraphe</w:t>
      </w:r>
      <w:r w:rsidRPr="00BD2EE3">
        <w:rPr>
          <w:strike/>
        </w:rPr>
        <w:t xml:space="preserve"> 3.1.3</w:t>
      </w:r>
      <w:r w:rsidRPr="00BD2EE3">
        <w:t xml:space="preserve"> </w:t>
      </w:r>
      <w:r w:rsidRPr="00BD2EE3">
        <w:rPr>
          <w:b/>
        </w:rPr>
        <w:t>2.25.3</w:t>
      </w:r>
      <w:r w:rsidRPr="00BD2EE3">
        <w:t xml:space="preserve"> du présent Règlement</w:t>
      </w:r>
      <w:r w:rsidR="00333ACA" w:rsidRPr="00BD2EE3">
        <w:t> </w:t>
      </w:r>
      <w:r w:rsidRPr="00BD2EE3">
        <w:t>;</w:t>
      </w:r>
    </w:p>
    <w:p w:rsidR="000468BF" w:rsidRPr="00BD2EE3" w:rsidRDefault="00AA1C50" w:rsidP="008E45BF">
      <w:pPr>
        <w:pStyle w:val="SingleTxtG"/>
        <w:spacing w:after="100"/>
        <w:ind w:left="2268"/>
      </w:pPr>
      <w:r w:rsidRPr="00BD2EE3">
        <w:tab/>
        <w:t>…</w:t>
      </w:r>
      <w:r w:rsidR="00AC34C9" w:rsidRPr="00BD2EE3">
        <w:t> </w:t>
      </w:r>
      <w:r w:rsidRPr="00BD2EE3">
        <w:t>».</w:t>
      </w:r>
    </w:p>
    <w:p w:rsidR="000468BF" w:rsidRPr="00BD2EE3" w:rsidRDefault="00AA1C50" w:rsidP="008E45BF">
      <w:pPr>
        <w:pStyle w:val="SingleTxtG"/>
        <w:spacing w:after="100"/>
      </w:pPr>
      <w:r w:rsidRPr="00BD2EE3">
        <w:rPr>
          <w:i/>
          <w:iCs/>
        </w:rPr>
        <w:t>Paragraphe 3 a)</w:t>
      </w:r>
      <w:r w:rsidRPr="00BD2EE3">
        <w:t>, lire</w:t>
      </w:r>
      <w:r w:rsidR="00333ACA" w:rsidRPr="00BD2EE3">
        <w:t> :</w:t>
      </w:r>
    </w:p>
    <w:p w:rsidR="000468BF" w:rsidRPr="00BD2EE3" w:rsidRDefault="00AA1C50" w:rsidP="008E45BF">
      <w:pPr>
        <w:pStyle w:val="SingleTxtG"/>
        <w:spacing w:after="100"/>
        <w:ind w:left="2268" w:hanging="567"/>
      </w:pPr>
      <w:r w:rsidRPr="00BD2EE3">
        <w:t>«</w:t>
      </w:r>
      <w:r w:rsidR="00C81594" w:rsidRPr="00BD2EE3">
        <w:t> </w:t>
      </w:r>
      <w:r w:rsidRPr="00BD2EE3">
        <w:t>a)</w:t>
      </w:r>
      <w:r w:rsidRPr="00BD2EE3">
        <w:tab/>
        <w:t>... au paragraphe</w:t>
      </w:r>
      <w:r w:rsidRPr="00BD2EE3">
        <w:rPr>
          <w:strike/>
        </w:rPr>
        <w:t xml:space="preserve"> 2.17</w:t>
      </w:r>
      <w:r w:rsidRPr="00BD2EE3">
        <w:t xml:space="preserve"> </w:t>
      </w:r>
      <w:r w:rsidRPr="00BD2EE3">
        <w:rPr>
          <w:b/>
        </w:rPr>
        <w:t>2.25</w:t>
      </w:r>
      <w:r w:rsidRPr="00BD2EE3">
        <w:t xml:space="preserve"> du présent Règlement…</w:t>
      </w:r>
      <w:r w:rsidR="00C81594" w:rsidRPr="00BD2EE3">
        <w:t> </w:t>
      </w:r>
      <w:r w:rsidRPr="00BD2EE3">
        <w:t>».</w:t>
      </w:r>
    </w:p>
    <w:p w:rsidR="000468BF" w:rsidRPr="00BD2EE3" w:rsidRDefault="00AA1C50" w:rsidP="008E45BF">
      <w:pPr>
        <w:pStyle w:val="SingleTxtG"/>
        <w:spacing w:after="100"/>
      </w:pPr>
      <w:r w:rsidRPr="00BD2EE3">
        <w:rPr>
          <w:i/>
          <w:iCs/>
        </w:rPr>
        <w:t>Paragraphe 3 b)</w:t>
      </w:r>
      <w:r w:rsidRPr="00BD2EE3">
        <w:t>, lire</w:t>
      </w:r>
      <w:r w:rsidR="00333ACA" w:rsidRPr="00BD2EE3">
        <w:t> </w:t>
      </w:r>
      <w:r w:rsidRPr="00BD2EE3">
        <w:t>:</w:t>
      </w:r>
    </w:p>
    <w:p w:rsidR="000468BF" w:rsidRPr="00BD2EE3" w:rsidRDefault="00AA1C50" w:rsidP="008E45BF">
      <w:pPr>
        <w:pStyle w:val="SingleTxtG"/>
        <w:spacing w:after="100"/>
        <w:ind w:left="2268" w:hanging="567"/>
      </w:pPr>
      <w:r w:rsidRPr="00BD2EE3">
        <w:t>«</w:t>
      </w:r>
      <w:r w:rsidR="00C81594" w:rsidRPr="00BD2EE3">
        <w:t> </w:t>
      </w:r>
      <w:r w:rsidRPr="00BD2EE3">
        <w:t>b)</w:t>
      </w:r>
      <w:r w:rsidRPr="00BD2EE3">
        <w:tab/>
        <w:t>... au paragraphe</w:t>
      </w:r>
      <w:r w:rsidRPr="00BD2EE3">
        <w:rPr>
          <w:strike/>
        </w:rPr>
        <w:t xml:space="preserve"> 2.17</w:t>
      </w:r>
      <w:r w:rsidRPr="00BD2EE3">
        <w:t xml:space="preserve"> </w:t>
      </w:r>
      <w:r w:rsidRPr="00BD2EE3">
        <w:rPr>
          <w:b/>
        </w:rPr>
        <w:t>2.25</w:t>
      </w:r>
      <w:r w:rsidRPr="00BD2EE3">
        <w:t xml:space="preserve"> du présent Règlement...</w:t>
      </w:r>
      <w:r w:rsidR="00C81594" w:rsidRPr="00BD2EE3">
        <w:t> </w:t>
      </w:r>
      <w:r w:rsidRPr="00BD2EE3">
        <w:t xml:space="preserve">». </w:t>
      </w:r>
    </w:p>
    <w:p w:rsidR="000468BF" w:rsidRPr="00BD2EE3" w:rsidRDefault="000943C5" w:rsidP="000943C5">
      <w:pPr>
        <w:pStyle w:val="HChG"/>
      </w:pPr>
      <w:r w:rsidRPr="00BD2EE3">
        <w:tab/>
      </w:r>
      <w:r w:rsidR="00AA1C50" w:rsidRPr="00BD2EE3">
        <w:t>II.</w:t>
      </w:r>
      <w:r w:rsidR="00AA1C50" w:rsidRPr="00BD2EE3">
        <w:tab/>
        <w:t>Justification</w:t>
      </w:r>
    </w:p>
    <w:p w:rsidR="000468BF" w:rsidRPr="00BD2EE3" w:rsidRDefault="00C81594" w:rsidP="008E45BF">
      <w:pPr>
        <w:pStyle w:val="SingleTxtG"/>
        <w:spacing w:after="100"/>
      </w:pPr>
      <w:r w:rsidRPr="00BD2EE3">
        <w:t>1.</w:t>
      </w:r>
      <w:r w:rsidRPr="00BD2EE3">
        <w:tab/>
      </w:r>
      <w:r w:rsidR="00AA1C50" w:rsidRPr="00BD2EE3">
        <w:t>La définition actuelle de la désignation de la dimension des pneumatiques ne contient pas d</w:t>
      </w:r>
      <w:r w:rsidR="00333ACA" w:rsidRPr="00BD2EE3">
        <w:t>’</w:t>
      </w:r>
      <w:r w:rsidR="00AA1C50" w:rsidRPr="00BD2EE3">
        <w:t>indication sur la construction.</w:t>
      </w:r>
    </w:p>
    <w:p w:rsidR="000468BF" w:rsidRPr="00BD2EE3" w:rsidRDefault="00C81594" w:rsidP="008E45BF">
      <w:pPr>
        <w:pStyle w:val="SingleTxtG"/>
        <w:spacing w:after="100"/>
      </w:pPr>
      <w:r w:rsidRPr="00BD2EE3">
        <w:t>2.</w:t>
      </w:r>
      <w:r w:rsidRPr="00BD2EE3">
        <w:tab/>
      </w:r>
      <w:r w:rsidR="00AA1C50" w:rsidRPr="00BD2EE3">
        <w:t xml:space="preserve">Les pneumatiques de type P répondent à des règles de conception différentes de celles des pneumatiques sans préfixe </w:t>
      </w:r>
      <w:r w:rsidR="00AC34C9" w:rsidRPr="00BD2EE3">
        <w:t>« </w:t>
      </w:r>
      <w:r w:rsidR="00AA1C50" w:rsidRPr="00BD2EE3">
        <w:t>P</w:t>
      </w:r>
      <w:r w:rsidR="00AC34C9" w:rsidRPr="00BD2EE3">
        <w:t> »</w:t>
      </w:r>
      <w:r w:rsidR="00AA1C50" w:rsidRPr="00BD2EE3">
        <w:t>. Il est donc nécessaire de veiller à ce que ces deux types puissent être clairement distingués.</w:t>
      </w:r>
      <w:r w:rsidR="00AA1C50" w:rsidRPr="00BD2EE3">
        <w:tab/>
      </w:r>
    </w:p>
    <w:p w:rsidR="000468BF" w:rsidRPr="00BD2EE3" w:rsidRDefault="00C81594" w:rsidP="008E45BF">
      <w:pPr>
        <w:pStyle w:val="SingleTxtG"/>
        <w:spacing w:after="100"/>
      </w:pPr>
      <w:r w:rsidRPr="00BD2EE3">
        <w:t>3.</w:t>
      </w:r>
      <w:r w:rsidRPr="00BD2EE3">
        <w:tab/>
      </w:r>
      <w:r w:rsidR="00AA1C50" w:rsidRPr="00BD2EE3">
        <w:t>La référence aux valeurs ISO 4000-1 n</w:t>
      </w:r>
      <w:r w:rsidR="00333ACA" w:rsidRPr="00BD2EE3">
        <w:t>’</w:t>
      </w:r>
      <w:r w:rsidR="00AA1C50" w:rsidRPr="00BD2EE3">
        <w:t>est plus nécessaire car les valeurs nominales de diamètre de jante pour les jantes désignées par un code sont désormais indiquées au paragraphe 2.23.1.</w:t>
      </w:r>
    </w:p>
    <w:p w:rsidR="00F9573C" w:rsidRPr="00BD2EE3" w:rsidRDefault="00C81594" w:rsidP="008E45BF">
      <w:pPr>
        <w:pStyle w:val="SingleTxtG"/>
        <w:spacing w:after="100"/>
      </w:pPr>
      <w:r w:rsidRPr="00BD2EE3">
        <w:t>4.</w:t>
      </w:r>
      <w:r w:rsidRPr="00BD2EE3">
        <w:tab/>
      </w:r>
      <w:r w:rsidR="00AA1C50" w:rsidRPr="00BD2EE3">
        <w:t>Les références à certains paragraphes doivent être mises à jour en raison de la renumérotation du texte du Règlement.</w:t>
      </w:r>
    </w:p>
    <w:p w:rsidR="00C81594" w:rsidRPr="00BD2EE3" w:rsidRDefault="00C81594" w:rsidP="00C81594">
      <w:pPr>
        <w:pStyle w:val="SingleTxtG"/>
        <w:spacing w:before="240" w:after="0"/>
        <w:jc w:val="center"/>
        <w:rPr>
          <w:u w:val="single"/>
        </w:rPr>
      </w:pPr>
      <w:r w:rsidRPr="00BD2EE3">
        <w:rPr>
          <w:u w:val="single"/>
        </w:rPr>
        <w:tab/>
      </w:r>
      <w:r w:rsidRPr="00BD2EE3">
        <w:rPr>
          <w:u w:val="single"/>
        </w:rPr>
        <w:tab/>
      </w:r>
      <w:r w:rsidRPr="00BD2EE3">
        <w:rPr>
          <w:u w:val="single"/>
        </w:rPr>
        <w:tab/>
      </w:r>
    </w:p>
    <w:sectPr w:rsidR="00C81594" w:rsidRPr="00BD2EE3" w:rsidSect="00D316F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AC" w:rsidRDefault="008E3CAC" w:rsidP="00F95C08">
      <w:pPr>
        <w:spacing w:line="240" w:lineRule="auto"/>
      </w:pPr>
    </w:p>
  </w:endnote>
  <w:endnote w:type="continuationSeparator" w:id="0">
    <w:p w:rsidR="008E3CAC" w:rsidRPr="00AC3823" w:rsidRDefault="008E3CAC" w:rsidP="00AC3823">
      <w:pPr>
        <w:pStyle w:val="Footer"/>
      </w:pPr>
    </w:p>
  </w:endnote>
  <w:endnote w:type="continuationNotice" w:id="1">
    <w:p w:rsidR="008E3CAC" w:rsidRDefault="008E3C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FD" w:rsidRPr="00D316FD" w:rsidRDefault="00D316FD" w:rsidP="00D316FD">
    <w:pPr>
      <w:pStyle w:val="Footer"/>
      <w:tabs>
        <w:tab w:val="right" w:pos="9638"/>
      </w:tabs>
    </w:pPr>
    <w:r w:rsidRPr="00D316FD">
      <w:rPr>
        <w:b/>
        <w:sz w:val="18"/>
      </w:rPr>
      <w:fldChar w:fldCharType="begin"/>
    </w:r>
    <w:r w:rsidRPr="00D316FD">
      <w:rPr>
        <w:b/>
        <w:sz w:val="18"/>
      </w:rPr>
      <w:instrText xml:space="preserve"> PAGE  \* MERGEFORMAT </w:instrText>
    </w:r>
    <w:r w:rsidRPr="00D316FD">
      <w:rPr>
        <w:b/>
        <w:sz w:val="18"/>
      </w:rPr>
      <w:fldChar w:fldCharType="separate"/>
    </w:r>
    <w:r w:rsidR="00AA1C50">
      <w:rPr>
        <w:b/>
        <w:noProof/>
        <w:sz w:val="18"/>
      </w:rPr>
      <w:t>2</w:t>
    </w:r>
    <w:r w:rsidRPr="00D316FD">
      <w:rPr>
        <w:b/>
        <w:sz w:val="18"/>
      </w:rPr>
      <w:fldChar w:fldCharType="end"/>
    </w:r>
    <w:r>
      <w:rPr>
        <w:b/>
        <w:sz w:val="18"/>
      </w:rPr>
      <w:tab/>
    </w:r>
    <w:r>
      <w:t>GE.18-18898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FD" w:rsidRPr="00D316FD" w:rsidRDefault="00D316FD" w:rsidP="00D316FD">
    <w:pPr>
      <w:pStyle w:val="Footer"/>
      <w:tabs>
        <w:tab w:val="right" w:pos="9638"/>
      </w:tabs>
      <w:rPr>
        <w:b/>
        <w:sz w:val="18"/>
      </w:rPr>
    </w:pPr>
    <w:r>
      <w:t>GE.18-18898</w:t>
    </w:r>
    <w:r>
      <w:tab/>
    </w:r>
    <w:r w:rsidRPr="00D316FD">
      <w:rPr>
        <w:b/>
        <w:sz w:val="18"/>
      </w:rPr>
      <w:fldChar w:fldCharType="begin"/>
    </w:r>
    <w:r w:rsidRPr="00D316FD">
      <w:rPr>
        <w:b/>
        <w:sz w:val="18"/>
      </w:rPr>
      <w:instrText xml:space="preserve"> PAGE  \* MERGEFORMAT </w:instrText>
    </w:r>
    <w:r w:rsidRPr="00D316FD">
      <w:rPr>
        <w:b/>
        <w:sz w:val="18"/>
      </w:rPr>
      <w:fldChar w:fldCharType="separate"/>
    </w:r>
    <w:r w:rsidR="00AA1C50">
      <w:rPr>
        <w:b/>
        <w:noProof/>
        <w:sz w:val="18"/>
      </w:rPr>
      <w:t>3</w:t>
    </w:r>
    <w:r w:rsidRPr="00D316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D316FD" w:rsidRDefault="00D316FD" w:rsidP="00D316FD">
    <w:pPr>
      <w:pStyle w:val="Footer"/>
      <w:spacing w:before="120"/>
      <w:rPr>
        <w:sz w:val="20"/>
      </w:rPr>
    </w:pPr>
    <w:r>
      <w:rPr>
        <w:sz w:val="20"/>
      </w:rPr>
      <w:t>GE.</w:t>
    </w:r>
    <w:r w:rsidR="007F20FA">
      <w:rPr>
        <w:noProof/>
        <w:lang w:eastAsia="ja-JP"/>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18-18898  (F)</w:t>
    </w:r>
    <w:r w:rsidR="00BD2EE3">
      <w:rPr>
        <w:sz w:val="20"/>
      </w:rPr>
      <w:t xml:space="preserve">    231118    041218</w:t>
    </w:r>
    <w:r>
      <w:rPr>
        <w:sz w:val="20"/>
      </w:rPr>
      <w:br/>
    </w:r>
    <w:r w:rsidRPr="00D316FD">
      <w:rPr>
        <w:rFonts w:ascii="C39T30Lfz" w:hAnsi="C39T30Lfz"/>
        <w:sz w:val="56"/>
      </w:rPr>
      <w:t></w:t>
    </w:r>
    <w:r w:rsidRPr="00D316FD">
      <w:rPr>
        <w:rFonts w:ascii="C39T30Lfz" w:hAnsi="C39T30Lfz"/>
        <w:sz w:val="56"/>
      </w:rPr>
      <w:t></w:t>
    </w:r>
    <w:r w:rsidRPr="00D316FD">
      <w:rPr>
        <w:rFonts w:ascii="C39T30Lfz" w:hAnsi="C39T30Lfz"/>
        <w:sz w:val="56"/>
      </w:rPr>
      <w:t></w:t>
    </w:r>
    <w:r w:rsidRPr="00D316FD">
      <w:rPr>
        <w:rFonts w:ascii="C39T30Lfz" w:hAnsi="C39T30Lfz"/>
        <w:sz w:val="56"/>
      </w:rPr>
      <w:t></w:t>
    </w:r>
    <w:r w:rsidRPr="00D316FD">
      <w:rPr>
        <w:rFonts w:ascii="C39T30Lfz" w:hAnsi="C39T30Lfz"/>
        <w:sz w:val="56"/>
      </w:rPr>
      <w:t></w:t>
    </w:r>
    <w:r w:rsidRPr="00D316FD">
      <w:rPr>
        <w:rFonts w:ascii="C39T30Lfz" w:hAnsi="C39T30Lfz"/>
        <w:sz w:val="56"/>
      </w:rPr>
      <w:t></w:t>
    </w:r>
    <w:r w:rsidRPr="00D316FD">
      <w:rPr>
        <w:rFonts w:ascii="C39T30Lfz" w:hAnsi="C39T30Lfz"/>
        <w:sz w:val="56"/>
      </w:rPr>
      <w:t></w:t>
    </w:r>
    <w:r w:rsidRPr="00D316FD">
      <w:rPr>
        <w:rFonts w:ascii="C39T30Lfz" w:hAnsi="C39T30Lfz"/>
        <w:sz w:val="56"/>
      </w:rPr>
      <w:t></w:t>
    </w:r>
    <w:r w:rsidRPr="00D316FD">
      <w:rPr>
        <w:rFonts w:ascii="C39T30Lfz" w:hAnsi="C39T30Lfz"/>
        <w:sz w:val="56"/>
      </w:rPr>
      <w:t></w:t>
    </w:r>
    <w:r>
      <w:rPr>
        <w:noProof/>
        <w:sz w:val="20"/>
        <w:lang w:eastAsia="ja-JP"/>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9/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AC" w:rsidRPr="00AC3823" w:rsidRDefault="008E3CAC" w:rsidP="00AC3823">
      <w:pPr>
        <w:pStyle w:val="Footer"/>
        <w:tabs>
          <w:tab w:val="right" w:pos="2155"/>
        </w:tabs>
        <w:spacing w:after="80" w:line="240" w:lineRule="atLeast"/>
        <w:ind w:left="680"/>
        <w:rPr>
          <w:u w:val="single"/>
        </w:rPr>
      </w:pPr>
      <w:r>
        <w:rPr>
          <w:u w:val="single"/>
        </w:rPr>
        <w:tab/>
      </w:r>
    </w:p>
  </w:footnote>
  <w:footnote w:type="continuationSeparator" w:id="0">
    <w:p w:rsidR="008E3CAC" w:rsidRPr="00AC3823" w:rsidRDefault="008E3CAC" w:rsidP="00AC3823">
      <w:pPr>
        <w:pStyle w:val="Footer"/>
        <w:tabs>
          <w:tab w:val="right" w:pos="2155"/>
        </w:tabs>
        <w:spacing w:after="80" w:line="240" w:lineRule="atLeast"/>
        <w:ind w:left="680"/>
        <w:rPr>
          <w:u w:val="single"/>
        </w:rPr>
      </w:pPr>
      <w:r>
        <w:rPr>
          <w:u w:val="single"/>
        </w:rPr>
        <w:tab/>
      </w:r>
    </w:p>
  </w:footnote>
  <w:footnote w:type="continuationNotice" w:id="1">
    <w:p w:rsidR="008E3CAC" w:rsidRPr="00AC3823" w:rsidRDefault="008E3CAC">
      <w:pPr>
        <w:spacing w:line="240" w:lineRule="auto"/>
        <w:rPr>
          <w:sz w:val="2"/>
          <w:szCs w:val="2"/>
        </w:rPr>
      </w:pPr>
    </w:p>
  </w:footnote>
  <w:footnote w:id="2">
    <w:p w:rsidR="00D316FD" w:rsidRPr="002232AF" w:rsidRDefault="00D316FD" w:rsidP="00D316FD">
      <w:pPr>
        <w:pStyle w:val="FootnoteText"/>
      </w:pPr>
      <w:r>
        <w:rPr>
          <w:lang w:val="fr-FR"/>
        </w:rPr>
        <w:tab/>
        <w:t>*</w:t>
      </w:r>
      <w:r>
        <w:rPr>
          <w:lang w:val="fr-FR"/>
        </w:rPr>
        <w:tab/>
        <w:t xml:space="preserve">Conformément au programme de travail du Comité des transports intérieurs pour la période 2018-2019 (ECE/TRANS/274, par. 123, et ECE/TRANS/2018/21/Add.1, module 3),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FD" w:rsidRPr="00D316FD" w:rsidRDefault="005E0A38">
    <w:pPr>
      <w:pStyle w:val="Header"/>
    </w:pPr>
    <w:r>
      <w:fldChar w:fldCharType="begin"/>
    </w:r>
    <w:r>
      <w:instrText xml:space="preserve"> TITLE  \* MERGEFORMAT </w:instrText>
    </w:r>
    <w:r>
      <w:fldChar w:fldCharType="separate"/>
    </w:r>
    <w:r w:rsidR="00AA1C50">
      <w:t>ECE/TRANS/WP.29/GRB/2019/5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6FD" w:rsidRPr="00D316FD" w:rsidRDefault="005E0A38" w:rsidP="00D316FD">
    <w:pPr>
      <w:pStyle w:val="Header"/>
      <w:jc w:val="right"/>
    </w:pPr>
    <w:r>
      <w:fldChar w:fldCharType="begin"/>
    </w:r>
    <w:r>
      <w:instrText xml:space="preserve"> TITLE  \* MERGEFORMAT </w:instrText>
    </w:r>
    <w:r>
      <w:fldChar w:fldCharType="separate"/>
    </w:r>
    <w:r w:rsidR="00AA1C50">
      <w:t>ECE/TRANS/WP.29/GRB/2019/5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AC"/>
    <w:rsid w:val="00017F94"/>
    <w:rsid w:val="00023842"/>
    <w:rsid w:val="000334F9"/>
    <w:rsid w:val="00045FEB"/>
    <w:rsid w:val="0007796D"/>
    <w:rsid w:val="000943C5"/>
    <w:rsid w:val="000B7790"/>
    <w:rsid w:val="00111F2F"/>
    <w:rsid w:val="0014365E"/>
    <w:rsid w:val="00143C66"/>
    <w:rsid w:val="00176178"/>
    <w:rsid w:val="001F525A"/>
    <w:rsid w:val="00223272"/>
    <w:rsid w:val="0024779E"/>
    <w:rsid w:val="00257168"/>
    <w:rsid w:val="002744B8"/>
    <w:rsid w:val="002832AC"/>
    <w:rsid w:val="002D7C93"/>
    <w:rsid w:val="00305801"/>
    <w:rsid w:val="00333ACA"/>
    <w:rsid w:val="003916DE"/>
    <w:rsid w:val="00421996"/>
    <w:rsid w:val="00441C3B"/>
    <w:rsid w:val="00446FE5"/>
    <w:rsid w:val="00452396"/>
    <w:rsid w:val="004837D8"/>
    <w:rsid w:val="004E2EED"/>
    <w:rsid w:val="004E468C"/>
    <w:rsid w:val="004F1B1C"/>
    <w:rsid w:val="0053713D"/>
    <w:rsid w:val="005430EB"/>
    <w:rsid w:val="005505B7"/>
    <w:rsid w:val="00573BE5"/>
    <w:rsid w:val="00586ED3"/>
    <w:rsid w:val="00596AA9"/>
    <w:rsid w:val="005E0A38"/>
    <w:rsid w:val="0071601D"/>
    <w:rsid w:val="007A62E6"/>
    <w:rsid w:val="007C3E99"/>
    <w:rsid w:val="007E4345"/>
    <w:rsid w:val="007F20FA"/>
    <w:rsid w:val="0080684C"/>
    <w:rsid w:val="00871C75"/>
    <w:rsid w:val="008776DC"/>
    <w:rsid w:val="008E3CAC"/>
    <w:rsid w:val="008E45BF"/>
    <w:rsid w:val="00910AA6"/>
    <w:rsid w:val="00912F9C"/>
    <w:rsid w:val="009446C0"/>
    <w:rsid w:val="009705C8"/>
    <w:rsid w:val="009C1CF4"/>
    <w:rsid w:val="009F6B74"/>
    <w:rsid w:val="00A3029F"/>
    <w:rsid w:val="00A30353"/>
    <w:rsid w:val="00AA1C50"/>
    <w:rsid w:val="00AC34C9"/>
    <w:rsid w:val="00AC3823"/>
    <w:rsid w:val="00AE323C"/>
    <w:rsid w:val="00AF08DE"/>
    <w:rsid w:val="00AF0CB5"/>
    <w:rsid w:val="00B00181"/>
    <w:rsid w:val="00B00B0D"/>
    <w:rsid w:val="00B45F2E"/>
    <w:rsid w:val="00B765F7"/>
    <w:rsid w:val="00BA0CA9"/>
    <w:rsid w:val="00BB5D67"/>
    <w:rsid w:val="00BB646F"/>
    <w:rsid w:val="00BD2EE3"/>
    <w:rsid w:val="00C02897"/>
    <w:rsid w:val="00C81594"/>
    <w:rsid w:val="00C97039"/>
    <w:rsid w:val="00D316FD"/>
    <w:rsid w:val="00D3439C"/>
    <w:rsid w:val="00DB1831"/>
    <w:rsid w:val="00DD3BFD"/>
    <w:rsid w:val="00DF6678"/>
    <w:rsid w:val="00DF7EEC"/>
    <w:rsid w:val="00E0299A"/>
    <w:rsid w:val="00E401EF"/>
    <w:rsid w:val="00E85C74"/>
    <w:rsid w:val="00EA6547"/>
    <w:rsid w:val="00EF2E22"/>
    <w:rsid w:val="00F35BAF"/>
    <w:rsid w:val="00F660DF"/>
    <w:rsid w:val="00F94664"/>
    <w:rsid w:val="00F9573C"/>
    <w:rsid w:val="00F95C08"/>
    <w:rsid w:val="00FC3C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FA10F6-7764-4736-9C27-E727FFDF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ECE/TRANS/WP.29/GRB/2019/5</vt:lpstr>
      <vt:lpstr>ECE/TRANS/WP.29/GRB/2019/5</vt:lpstr>
    </vt:vector>
  </TitlesOfParts>
  <Company>DCM</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ECE/TRANS/WP.29/GRB/2019/5</dc:title>
  <dc:subject/>
  <dc:creator>Pascale BEYSARD</dc:creator>
  <cp:keywords/>
  <cp:lastModifiedBy>Benedicte Boudol</cp:lastModifiedBy>
  <cp:revision>2</cp:revision>
  <cp:lastPrinted>2018-12-04T14:59:00Z</cp:lastPrinted>
  <dcterms:created xsi:type="dcterms:W3CDTF">2018-12-06T12:07:00Z</dcterms:created>
  <dcterms:modified xsi:type="dcterms:W3CDTF">2018-12-06T12:07:00Z</dcterms:modified>
</cp:coreProperties>
</file>