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C3D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C3D42" w:rsidP="003C3D42">
            <w:pPr>
              <w:jc w:val="right"/>
            </w:pPr>
            <w:r w:rsidRPr="003C3D42">
              <w:rPr>
                <w:sz w:val="40"/>
              </w:rPr>
              <w:t>ECE</w:t>
            </w:r>
            <w:r>
              <w:t>/TRANS/WP.29/GRB/2019/4</w:t>
            </w:r>
          </w:p>
        </w:tc>
      </w:tr>
      <w:tr w:rsidR="002D5AAC" w:rsidRPr="003B513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C3D4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C3D42" w:rsidRDefault="003C3D42" w:rsidP="003C3D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November 2018</w:t>
            </w:r>
          </w:p>
          <w:p w:rsidR="003C3D42" w:rsidRDefault="003C3D42" w:rsidP="003C3D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C3D42" w:rsidRPr="008D53B6" w:rsidRDefault="003C3D42" w:rsidP="003C3D4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827AC" w:rsidRPr="000827AC" w:rsidRDefault="000827AC" w:rsidP="000827AC">
      <w:pPr>
        <w:spacing w:before="120"/>
        <w:rPr>
          <w:sz w:val="28"/>
          <w:szCs w:val="28"/>
        </w:rPr>
      </w:pPr>
      <w:r w:rsidRPr="000827AC">
        <w:rPr>
          <w:sz w:val="28"/>
          <w:szCs w:val="28"/>
        </w:rPr>
        <w:t>Комитет по внутреннему транспорту</w:t>
      </w:r>
    </w:p>
    <w:p w:rsidR="000827AC" w:rsidRPr="000827AC" w:rsidRDefault="000827AC" w:rsidP="000827AC">
      <w:pPr>
        <w:spacing w:before="120"/>
        <w:rPr>
          <w:b/>
          <w:sz w:val="24"/>
          <w:szCs w:val="24"/>
        </w:rPr>
      </w:pPr>
      <w:r w:rsidRPr="000827A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0827AC">
        <w:rPr>
          <w:b/>
          <w:bCs/>
          <w:sz w:val="24"/>
          <w:szCs w:val="24"/>
        </w:rPr>
        <w:t>в области транспортных средств</w:t>
      </w:r>
    </w:p>
    <w:p w:rsidR="000827AC" w:rsidRPr="00593B78" w:rsidRDefault="000827AC" w:rsidP="000827AC">
      <w:pPr>
        <w:spacing w:before="120"/>
        <w:rPr>
          <w:b/>
        </w:rPr>
      </w:pPr>
      <w:r>
        <w:rPr>
          <w:b/>
          <w:bCs/>
        </w:rPr>
        <w:t>Рабочая группа по вопросам шума</w:t>
      </w:r>
    </w:p>
    <w:p w:rsidR="000827AC" w:rsidRPr="00593B78" w:rsidRDefault="000827AC" w:rsidP="000827AC">
      <w:pPr>
        <w:spacing w:before="120"/>
        <w:rPr>
          <w:rFonts w:eastAsia="Times New Roman"/>
          <w:b/>
        </w:rPr>
      </w:pPr>
      <w:r>
        <w:rPr>
          <w:b/>
          <w:bCs/>
        </w:rPr>
        <w:t>Шестьдесят девятая сессия</w:t>
      </w:r>
    </w:p>
    <w:p w:rsidR="000827AC" w:rsidRPr="00912903" w:rsidRDefault="000827AC" w:rsidP="000827AC">
      <w:pPr>
        <w:rPr>
          <w:bCs/>
        </w:rPr>
      </w:pPr>
      <w:r>
        <w:t>Женева, 22</w:t>
      </w:r>
      <w:r w:rsidRPr="00912903">
        <w:t>–</w:t>
      </w:r>
      <w:r>
        <w:t>25 января 201</w:t>
      </w:r>
      <w:r w:rsidRPr="004A7167">
        <w:t>9</w:t>
      </w:r>
      <w:r>
        <w:t xml:space="preserve"> года</w:t>
      </w:r>
    </w:p>
    <w:p w:rsidR="000827AC" w:rsidRPr="00593B78" w:rsidRDefault="000827AC" w:rsidP="000827AC">
      <w:pPr>
        <w:ind w:right="1134"/>
        <w:rPr>
          <w:bCs/>
        </w:rPr>
      </w:pPr>
      <w:r>
        <w:t>Пункт 7 c) предварительной повестки дня</w:t>
      </w:r>
    </w:p>
    <w:p w:rsidR="003C3D42" w:rsidRDefault="000827AC" w:rsidP="000827AC">
      <w:pPr>
        <w:suppressAutoHyphens w:val="0"/>
        <w:spacing w:line="240" w:lineRule="auto"/>
      </w:pPr>
      <w:r>
        <w:rPr>
          <w:b/>
          <w:bCs/>
        </w:rPr>
        <w:t xml:space="preserve">Шины: Правила № 117 ООН (сопротивление шин </w:t>
      </w:r>
      <w:r>
        <w:rPr>
          <w:b/>
          <w:bCs/>
        </w:rPr>
        <w:br/>
        <w:t xml:space="preserve">качению, шум, издаваемый шинами при качении, </w:t>
      </w:r>
      <w:r>
        <w:rPr>
          <w:b/>
          <w:bCs/>
        </w:rPr>
        <w:br/>
        <w:t>и их сцепление на мокрой поверхности)</w:t>
      </w:r>
    </w:p>
    <w:p w:rsidR="000827AC" w:rsidRPr="00593B78" w:rsidRDefault="000827AC" w:rsidP="000827AC">
      <w:pPr>
        <w:pStyle w:val="HChG"/>
        <w:rPr>
          <w:lang w:val="ru-RU"/>
        </w:rPr>
      </w:pPr>
      <w:r>
        <w:rPr>
          <w:bCs/>
          <w:lang w:val="ru-RU"/>
        </w:rPr>
        <w:tab/>
      </w:r>
      <w:r>
        <w:rPr>
          <w:bCs/>
          <w:lang w:val="ru-RU"/>
        </w:rPr>
        <w:tab/>
        <w:t>Предложение по дополнению к поправкам серии 02 к Правилам № 117 ООН</w:t>
      </w:r>
      <w:r>
        <w:rPr>
          <w:lang w:val="ru-RU"/>
        </w:rPr>
        <w:t xml:space="preserve">  </w:t>
      </w:r>
    </w:p>
    <w:p w:rsidR="000827AC" w:rsidRPr="00593B78" w:rsidRDefault="000827AC" w:rsidP="000827AC">
      <w:pPr>
        <w:pStyle w:val="H1G"/>
        <w:ind w:right="1467" w:firstLine="0"/>
        <w:rPr>
          <w:lang w:val="ru-RU"/>
        </w:rPr>
      </w:pPr>
      <w:r>
        <w:rPr>
          <w:bCs/>
          <w:lang w:val="ru-RU"/>
        </w:rPr>
        <w:t>Представлено экспертом от Российской Федерации</w:t>
      </w:r>
      <w:r w:rsidRPr="000827AC">
        <w:rPr>
          <w:rFonts w:ascii="Times New Roman Bold" w:hAnsi="Times New Roman Bold"/>
          <w:b w:val="0"/>
          <w:sz w:val="20"/>
          <w:lang w:val="ru-RU"/>
        </w:rPr>
        <w:footnoteReference w:customMarkFollows="1" w:id="1"/>
        <w:t>*</w:t>
      </w:r>
    </w:p>
    <w:p w:rsidR="003C3D42" w:rsidRDefault="000827AC" w:rsidP="000827AC">
      <w:pPr>
        <w:pStyle w:val="SingleTxtGR"/>
      </w:pPr>
      <w:r>
        <w:tab/>
        <w:t>Настоящее предложение нацелено на согласование положений Правил № 117 ООН, касающихся номеров и маркировки официального утверждения, с положениями приложения 4 к пересмотренному Соглашению 1958 года, в соответствии с просьбой неофициальной рабочей группы по международному официальному утверждению типа комплектного транспортного средства (НРГ по МОУТКТС), высказанной на 175</w:t>
      </w:r>
      <w:r>
        <w:noBreakHyphen/>
        <w:t>й сессии Всемирного форума для согласования правил в области транспортных средств (WP.29) (ECE/TRANS/WP.29/1139, пункт 67). В его основу положен неофициальный документ GRB-68-19. Изменения выделены жирным шрифтом в случае новых элементов и зачеркиванием в случае исключенных элементов.</w:t>
      </w:r>
    </w:p>
    <w:p w:rsidR="000827AC" w:rsidRDefault="000827AC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0827AC" w:rsidRPr="00593B78" w:rsidRDefault="000827AC" w:rsidP="000827AC">
      <w:pPr>
        <w:pStyle w:val="HChG"/>
        <w:rPr>
          <w:lang w:val="ru-RU"/>
        </w:rPr>
      </w:pPr>
      <w:r>
        <w:rPr>
          <w:lang w:val="ru-RU"/>
        </w:rPr>
        <w:lastRenderedPageBreak/>
        <w:tab/>
        <w:t>I.</w:t>
      </w:r>
      <w:r>
        <w:rPr>
          <w:lang w:val="ru-RU"/>
        </w:rPr>
        <w:tab/>
      </w:r>
      <w:r>
        <w:rPr>
          <w:bCs/>
          <w:lang w:val="ru-RU"/>
        </w:rPr>
        <w:t>Предложение</w:t>
      </w:r>
    </w:p>
    <w:p w:rsidR="000827AC" w:rsidRPr="00593B78" w:rsidRDefault="000827AC" w:rsidP="000827AC">
      <w:pPr>
        <w:pStyle w:val="SingleTxtG"/>
        <w:rPr>
          <w:lang w:val="ru-RU"/>
        </w:rPr>
      </w:pPr>
      <w:r>
        <w:rPr>
          <w:i/>
          <w:iCs/>
          <w:lang w:val="ru-RU"/>
        </w:rPr>
        <w:t>Раздел 5 «Официальное утверждение»</w:t>
      </w:r>
      <w:r>
        <w:rPr>
          <w:lang w:val="ru-RU"/>
        </w:rPr>
        <w:t xml:space="preserve"> изменить следующим образом:</w:t>
      </w:r>
    </w:p>
    <w:p w:rsidR="000827AC" w:rsidRPr="00593B78" w:rsidRDefault="000827AC" w:rsidP="000827AC">
      <w:pPr>
        <w:pStyle w:val="HChG"/>
        <w:spacing w:before="280"/>
        <w:ind w:left="2268"/>
        <w:rPr>
          <w:lang w:val="ru-RU"/>
        </w:rPr>
      </w:pPr>
      <w:r w:rsidRPr="000827AC">
        <w:rPr>
          <w:b w:val="0"/>
          <w:bCs/>
          <w:sz w:val="20"/>
          <w:lang w:val="ru-RU"/>
        </w:rPr>
        <w:t>«</w:t>
      </w:r>
      <w:r>
        <w:rPr>
          <w:bCs/>
          <w:lang w:val="ru-RU"/>
        </w:rPr>
        <w:t>5.</w:t>
      </w:r>
      <w:r>
        <w:rPr>
          <w:lang w:val="ru-RU"/>
        </w:rPr>
        <w:tab/>
      </w:r>
      <w:r>
        <w:rPr>
          <w:bCs/>
          <w:lang w:val="ru-RU"/>
        </w:rPr>
        <w:t>Официальное утверждение</w:t>
      </w:r>
    </w:p>
    <w:p w:rsidR="000827AC" w:rsidRPr="00593B78" w:rsidRDefault="000827AC" w:rsidP="000827AC">
      <w:pPr>
        <w:pStyle w:val="SingleTxtG"/>
        <w:ind w:left="2268" w:hanging="1134"/>
        <w:rPr>
          <w:bCs/>
          <w:lang w:val="ru-RU"/>
        </w:rPr>
      </w:pPr>
      <w:r>
        <w:rPr>
          <w:lang w:val="ru-RU"/>
        </w:rPr>
        <w:t>5.1</w:t>
      </w:r>
      <w:r>
        <w:rPr>
          <w:lang w:val="ru-RU"/>
        </w:rPr>
        <w:tab/>
        <w:t>Если размер шины, репрезентативной для типа шины, представленного на официальное утверждение на основании настоящих Правил, отвечает требованиям пунктов 6 и 7 ниже, то данный тип шины считают официально утвержденным.</w:t>
      </w:r>
    </w:p>
    <w:p w:rsidR="000827AC" w:rsidRPr="00593B78" w:rsidRDefault="000827AC" w:rsidP="000827AC">
      <w:pPr>
        <w:pStyle w:val="SingleTxtG"/>
        <w:ind w:left="2268" w:hanging="1134"/>
        <w:rPr>
          <w:bCs/>
          <w:lang w:val="ru-RU"/>
        </w:rPr>
      </w:pPr>
      <w:r>
        <w:rPr>
          <w:lang w:val="ru-RU"/>
        </w:rPr>
        <w:t>5.2</w:t>
      </w:r>
      <w:r>
        <w:rPr>
          <w:lang w:val="ru-RU"/>
        </w:rPr>
        <w:tab/>
        <w:t xml:space="preserve">Официально утвержденному типу шины присваивают номер официального утверждения </w:t>
      </w:r>
      <w:r>
        <w:rPr>
          <w:b/>
          <w:bCs/>
          <w:lang w:val="ru-RU"/>
        </w:rPr>
        <w:t>в соответствии с приложением 4 к пересмотру 3 Соглашения 1958 года</w:t>
      </w:r>
      <w:r>
        <w:rPr>
          <w:lang w:val="ru-RU"/>
        </w:rPr>
        <w:t>. Одна и та же Договаривающаяся сторона не может присвоить этот номер другому типу шины.</w:t>
      </w:r>
    </w:p>
    <w:p w:rsidR="000827AC" w:rsidRPr="00593B78" w:rsidRDefault="000827AC" w:rsidP="000827AC">
      <w:pPr>
        <w:pStyle w:val="SingleTxtG"/>
        <w:ind w:left="2268" w:hanging="1134"/>
        <w:rPr>
          <w:b/>
          <w:bCs/>
          <w:lang w:val="ru-RU"/>
        </w:rPr>
      </w:pPr>
      <w:r w:rsidRPr="00152893">
        <w:rPr>
          <w:b/>
          <w:bCs/>
          <w:lang w:val="ru-RU"/>
        </w:rPr>
        <w:t>5.2.1</w:t>
      </w:r>
      <w:r>
        <w:rPr>
          <w:lang w:val="ru-RU"/>
        </w:rPr>
        <w:tab/>
      </w:r>
      <w:r>
        <w:rPr>
          <w:b/>
          <w:bCs/>
          <w:lang w:val="ru-RU"/>
        </w:rPr>
        <w:t>По просьбе изготовителя вместо номера первоначального официального утверждения типа на основании Правил № 117 ООН орган по официальному утверждению типа может присвоить номер официального утверждения типа, которое уже было ранее предоставлено этому типу шины на основании Правил № 30 ООН или Правил № 54 ООН, вместе с номером последующего распространения.</w:t>
      </w:r>
    </w:p>
    <w:p w:rsidR="000827AC" w:rsidRPr="00593B78" w:rsidRDefault="000827AC" w:rsidP="000827AC">
      <w:pPr>
        <w:pStyle w:val="SingleTxtG"/>
        <w:ind w:left="2268" w:hanging="1134"/>
        <w:rPr>
          <w:b/>
          <w:lang w:val="ru-RU"/>
        </w:rPr>
      </w:pPr>
      <w:r w:rsidRPr="00152893">
        <w:rPr>
          <w:b/>
          <w:bCs/>
          <w:lang w:val="ru-RU"/>
        </w:rPr>
        <w:t>5.2.2</w:t>
      </w:r>
      <w:r>
        <w:rPr>
          <w:lang w:val="ru-RU"/>
        </w:rPr>
        <w:tab/>
      </w:r>
      <w:r>
        <w:rPr>
          <w:b/>
          <w:bCs/>
          <w:lang w:val="ru-RU"/>
        </w:rPr>
        <w:t>В карточке сообщения, упомянутой в пункте 5.3 ниже, для указания отдельных параметров эффективн</w:t>
      </w:r>
      <w:r w:rsidR="003B5130">
        <w:rPr>
          <w:b/>
          <w:bCs/>
          <w:lang w:val="ru-RU"/>
        </w:rPr>
        <w:t>ости в соответствии с Правилами</w:t>
      </w:r>
      <w:r w:rsidR="003B5130">
        <w:rPr>
          <w:b/>
          <w:bCs/>
          <w:lang w:val="en-US"/>
        </w:rPr>
        <w:t> </w:t>
      </w:r>
      <w:r>
        <w:rPr>
          <w:b/>
          <w:bCs/>
          <w:lang w:val="ru-RU"/>
        </w:rPr>
        <w:t>№ 117 ООН используют следующие индексы:</w:t>
      </w:r>
    </w:p>
    <w:p w:rsidR="000827AC" w:rsidRPr="00593B78" w:rsidRDefault="000827AC" w:rsidP="000827AC">
      <w:pPr>
        <w:pStyle w:val="SingleTxtG"/>
        <w:tabs>
          <w:tab w:val="left" w:pos="2552"/>
        </w:tabs>
        <w:ind w:left="2835" w:hanging="576"/>
        <w:rPr>
          <w:b/>
          <w:lang w:val="ru-RU"/>
        </w:rPr>
      </w:pPr>
      <w:r>
        <w:rPr>
          <w:b/>
          <w:bCs/>
          <w:lang w:val="ru-RU"/>
        </w:rPr>
        <w:t>S</w:t>
      </w:r>
      <w:r>
        <w:rPr>
          <w:lang w:val="ru-RU"/>
        </w:rPr>
        <w:tab/>
      </w:r>
      <w:r>
        <w:rPr>
          <w:b/>
          <w:bCs/>
          <w:lang w:val="ru-RU"/>
        </w:rPr>
        <w:t>−</w:t>
      </w:r>
      <w:r>
        <w:rPr>
          <w:b/>
          <w:bCs/>
          <w:lang w:val="ru-RU"/>
        </w:rPr>
        <w:tab/>
        <w:t>для указания дополнительного соответствия требованиям о звуке, издаваемом шинами при качении;</w:t>
      </w:r>
    </w:p>
    <w:p w:rsidR="000827AC" w:rsidRPr="00593B78" w:rsidRDefault="000827AC" w:rsidP="000827AC">
      <w:pPr>
        <w:pStyle w:val="SingleTxtG"/>
        <w:tabs>
          <w:tab w:val="left" w:pos="2552"/>
        </w:tabs>
        <w:ind w:left="2835" w:hanging="576"/>
        <w:rPr>
          <w:b/>
          <w:lang w:val="ru-RU"/>
        </w:rPr>
      </w:pPr>
      <w:r>
        <w:rPr>
          <w:b/>
          <w:bCs/>
          <w:lang w:val="ru-RU"/>
        </w:rPr>
        <w:t>W</w:t>
      </w:r>
      <w:r>
        <w:rPr>
          <w:lang w:val="ru-RU"/>
        </w:rPr>
        <w:tab/>
      </w:r>
      <w:r>
        <w:rPr>
          <w:b/>
          <w:bCs/>
          <w:lang w:val="ru-RU"/>
        </w:rPr>
        <w:t>−</w:t>
      </w:r>
      <w:r>
        <w:rPr>
          <w:b/>
          <w:bCs/>
          <w:lang w:val="ru-RU"/>
        </w:rPr>
        <w:tab/>
        <w:t>для указания дополнительного соответствия требованиям о сцеплении шины на мокрых поверхностях;</w:t>
      </w:r>
    </w:p>
    <w:p w:rsidR="000827AC" w:rsidRPr="00593B78" w:rsidRDefault="000827AC" w:rsidP="000827AC">
      <w:pPr>
        <w:pStyle w:val="SingleTxtG"/>
        <w:tabs>
          <w:tab w:val="left" w:pos="2552"/>
        </w:tabs>
        <w:ind w:left="2835" w:hanging="576"/>
        <w:rPr>
          <w:b/>
          <w:lang w:val="ru-RU"/>
        </w:rPr>
      </w:pPr>
      <w:r>
        <w:rPr>
          <w:b/>
          <w:bCs/>
          <w:lang w:val="ru-RU"/>
        </w:rPr>
        <w:t>R</w:t>
      </w:r>
      <w:r>
        <w:rPr>
          <w:lang w:val="ru-RU"/>
        </w:rPr>
        <w:tab/>
      </w:r>
      <w:r>
        <w:rPr>
          <w:b/>
          <w:bCs/>
          <w:lang w:val="ru-RU"/>
        </w:rPr>
        <w:t>−</w:t>
      </w:r>
      <w:r>
        <w:rPr>
          <w:b/>
          <w:bCs/>
          <w:lang w:val="ru-RU"/>
        </w:rPr>
        <w:tab/>
        <w:t>для указания дополнительного соответствия требованиям о сопротивлении качению шин.</w:t>
      </w:r>
    </w:p>
    <w:p w:rsidR="000827AC" w:rsidRPr="006E14E2" w:rsidRDefault="000827AC" w:rsidP="000827AC">
      <w:pPr>
        <w:pStyle w:val="SingleTxtG"/>
        <w:ind w:left="2268" w:hanging="1134"/>
        <w:rPr>
          <w:b/>
          <w:bCs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С учетом того</w:t>
      </w:r>
      <w:r w:rsidR="003B5130">
        <w:rPr>
          <w:b/>
          <w:bCs/>
          <w:lang w:val="ru-RU"/>
        </w:rPr>
        <w:t>, что в пунктах 6.1</w:t>
      </w:r>
      <w:r w:rsidRPr="006E14E2">
        <w:rPr>
          <w:b/>
          <w:bCs/>
          <w:lang w:val="ru-RU"/>
        </w:rPr>
        <w:t xml:space="preserve"> и 6.3 ниже определены две стадии для характеристик качения и сопротивления качению, за буквами S и R следует </w:t>
      </w:r>
      <w:r>
        <w:rPr>
          <w:b/>
          <w:bCs/>
          <w:lang w:val="ru-RU"/>
        </w:rPr>
        <w:t xml:space="preserve">либо </w:t>
      </w:r>
      <w:r w:rsidRPr="006E14E2">
        <w:rPr>
          <w:b/>
          <w:bCs/>
          <w:lang w:val="ru-RU"/>
        </w:rPr>
        <w:t xml:space="preserve">индекс </w:t>
      </w:r>
      <w:r>
        <w:rPr>
          <w:b/>
          <w:bCs/>
          <w:lang w:val="ru-RU"/>
        </w:rPr>
        <w:t>"</w:t>
      </w:r>
      <w:r w:rsidRPr="006E14E2">
        <w:rPr>
          <w:b/>
          <w:bCs/>
          <w:lang w:val="ru-RU"/>
        </w:rPr>
        <w:t>1</w:t>
      </w:r>
      <w:r>
        <w:rPr>
          <w:b/>
          <w:bCs/>
          <w:lang w:val="ru-RU"/>
        </w:rPr>
        <w:t>"</w:t>
      </w:r>
      <w:r w:rsidRPr="006E14E2">
        <w:rPr>
          <w:b/>
          <w:bCs/>
          <w:lang w:val="ru-RU"/>
        </w:rPr>
        <w:t xml:space="preserve"> в случае соответствия стадии 1</w:t>
      </w:r>
      <w:r>
        <w:rPr>
          <w:b/>
          <w:bCs/>
          <w:lang w:val="ru-RU"/>
        </w:rPr>
        <w:t>, либо</w:t>
      </w:r>
      <w:r w:rsidRPr="006E14E2">
        <w:rPr>
          <w:b/>
          <w:bCs/>
          <w:lang w:val="ru-RU"/>
        </w:rPr>
        <w:t xml:space="preserve"> индекс </w:t>
      </w:r>
      <w:r>
        <w:rPr>
          <w:b/>
          <w:bCs/>
          <w:lang w:val="ru-RU"/>
        </w:rPr>
        <w:t>"</w:t>
      </w:r>
      <w:r w:rsidRPr="006E14E2">
        <w:rPr>
          <w:b/>
          <w:bCs/>
          <w:lang w:val="ru-RU"/>
        </w:rPr>
        <w:t>2</w:t>
      </w:r>
      <w:r>
        <w:rPr>
          <w:b/>
          <w:bCs/>
          <w:lang w:val="ru-RU"/>
        </w:rPr>
        <w:t>"</w:t>
      </w:r>
      <w:r w:rsidRPr="006E14E2">
        <w:rPr>
          <w:b/>
          <w:bCs/>
          <w:lang w:val="ru-RU"/>
        </w:rPr>
        <w:t xml:space="preserve"> в случае соответствия стадии 2.</w:t>
      </w:r>
    </w:p>
    <w:p w:rsidR="000827AC" w:rsidRPr="00593B78" w:rsidRDefault="000827AC" w:rsidP="000827AC">
      <w:pPr>
        <w:pStyle w:val="SingleTxtG"/>
        <w:ind w:left="2268" w:hanging="1134"/>
        <w:rPr>
          <w:bCs/>
          <w:lang w:val="ru-RU"/>
        </w:rPr>
      </w:pPr>
      <w:r>
        <w:rPr>
          <w:lang w:val="ru-RU"/>
        </w:rPr>
        <w:t>5.3</w:t>
      </w:r>
      <w:r>
        <w:rPr>
          <w:lang w:val="ru-RU"/>
        </w:rPr>
        <w:tab/>
        <w:t>Стороны Соглашения, применяющие настоящие Правила, уведомляются об официальном утверждении, распространении официального утверждения или об отказе в официальном утверждении типа шины на основании настоящих Правил посредством карточки, соответствующей образцу, приведенному в приложении 1 к Правилам.</w:t>
      </w:r>
    </w:p>
    <w:p w:rsidR="000827AC" w:rsidRPr="007A5125" w:rsidRDefault="000827AC" w:rsidP="000827AC">
      <w:pPr>
        <w:pStyle w:val="SingleTxtG"/>
        <w:ind w:left="2268" w:hanging="1134"/>
        <w:rPr>
          <w:lang w:val="ru-RU"/>
        </w:rPr>
      </w:pPr>
      <w:r>
        <w:rPr>
          <w:lang w:val="ru-RU"/>
        </w:rPr>
        <w:t>5.3.1</w:t>
      </w:r>
      <w:r>
        <w:rPr>
          <w:lang w:val="ru-RU"/>
        </w:rPr>
        <w:tab/>
      </w:r>
      <w:r>
        <w:rPr>
          <w:b/>
          <w:bCs/>
          <w:lang w:val="ru-RU"/>
        </w:rPr>
        <w:t>Как предусмотрено в пункте 5.2.1 выше,</w:t>
      </w:r>
      <w:r>
        <w:rPr>
          <w:lang w:val="ru-RU"/>
        </w:rPr>
        <w:t xml:space="preserve"> изготовители шины уполномочены представлять заявку на распространение официального утверждения типа на основании требований других правил, касающихся данного типа шины. В этом случае к заявке на распространение официального утверждения прилагают копию сообщения(ий) о надлежащем официальном утверждении типа, направленного(ых) соответствующим органом по официальному утверждению типа. Все заявки на распространение официального(ых) утверждения(ий) удовлетворяются только органом по официальному утверждению типа, который предоставил первоначальное официальное утверждение шины.</w:t>
      </w:r>
    </w:p>
    <w:p w:rsidR="000827AC" w:rsidRPr="00593B78" w:rsidRDefault="000827AC" w:rsidP="000827AC">
      <w:pPr>
        <w:pStyle w:val="SingleTxtG"/>
        <w:keepLines/>
        <w:ind w:left="2268" w:hanging="1134"/>
        <w:rPr>
          <w:lang w:val="ru-RU"/>
        </w:rPr>
      </w:pPr>
      <w:r>
        <w:rPr>
          <w:lang w:val="ru-RU"/>
        </w:rPr>
        <w:lastRenderedPageBreak/>
        <w:t>5.3.1.1</w:t>
      </w:r>
      <w:r>
        <w:rPr>
          <w:lang w:val="ru-RU"/>
        </w:rPr>
        <w:tab/>
        <w:t xml:space="preserve">В случае распространения официального утверждения, подлежащего включению в карточку сообщения (см. приложение 1 к настоящим Правилам) свидетельств(а) о соответствии другим правилам, </w:t>
      </w:r>
      <w:r>
        <w:rPr>
          <w:strike/>
          <w:lang w:val="ru-RU"/>
        </w:rPr>
        <w:t>номер официального утверждения в карточке сообщения дополняют индексом(ами) для идентификации данных правил и технических предписаний, которые были включены на основании распространения официального утверждения.</w:t>
      </w:r>
      <w:r>
        <w:rPr>
          <w:lang w:val="ru-RU"/>
        </w:rPr>
        <w:t xml:space="preserve"> </w:t>
      </w:r>
      <w:r>
        <w:rPr>
          <w:strike/>
          <w:lang w:val="ru-RU"/>
        </w:rPr>
        <w:t>Для каждого из присвоенных индексов</w:t>
      </w:r>
      <w:r>
        <w:rPr>
          <w:lang w:val="ru-RU"/>
        </w:rPr>
        <w:t xml:space="preserve"> в пункте 9 карточки сообщения в приложении 1 должен (должны) указываться </w:t>
      </w:r>
      <w:r>
        <w:rPr>
          <w:b/>
          <w:bCs/>
          <w:lang w:val="ru-RU"/>
        </w:rPr>
        <w:t>(все)</w:t>
      </w:r>
      <w:r>
        <w:rPr>
          <w:lang w:val="ru-RU"/>
        </w:rPr>
        <w:t xml:space="preserve"> отдельный(ые) номер(а) официального утверждения типа и номер(а) самих Правил. </w:t>
      </w:r>
    </w:p>
    <w:p w:rsidR="000827AC" w:rsidRPr="00593B78" w:rsidRDefault="000827AC" w:rsidP="000827AC">
      <w:pPr>
        <w:pStyle w:val="SingleTxtG"/>
        <w:keepLines/>
        <w:ind w:left="2268" w:hanging="1134"/>
        <w:rPr>
          <w:lang w:val="ru-RU"/>
        </w:rPr>
      </w:pPr>
      <w:r>
        <w:rPr>
          <w:lang w:val="ru-RU"/>
        </w:rPr>
        <w:t>5.3.1.2</w:t>
      </w:r>
      <w:r>
        <w:rPr>
          <w:lang w:val="ru-RU"/>
        </w:rPr>
        <w:tab/>
      </w:r>
      <w:r>
        <w:rPr>
          <w:b/>
          <w:bCs/>
          <w:lang w:val="ru-RU"/>
        </w:rPr>
        <w:t>Перед индексом(ами), предусмотренным(ыми) в пункте 5.2.2 выше,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проставляют две цифры,</w:t>
      </w:r>
      <w:r>
        <w:rPr>
          <w:lang w:val="ru-RU"/>
        </w:rPr>
        <w:t xml:space="preserve"> </w:t>
      </w:r>
      <w:r>
        <w:rPr>
          <w:strike/>
          <w:lang w:val="ru-RU"/>
        </w:rPr>
        <w:t>Индекс указывает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которые указывают</w:t>
      </w:r>
      <w:r>
        <w:rPr>
          <w:lang w:val="ru-RU"/>
        </w:rPr>
        <w:t xml:space="preserve"> серию поправок к предписаниям о характеристиках шин для </w:t>
      </w:r>
      <w:r>
        <w:rPr>
          <w:strike/>
          <w:lang w:val="ru-RU"/>
        </w:rPr>
        <w:t>соответствующих</w:t>
      </w:r>
      <w:r>
        <w:rPr>
          <w:lang w:val="ru-RU"/>
        </w:rPr>
        <w:t xml:space="preserve"> Правил </w:t>
      </w:r>
      <w:r>
        <w:rPr>
          <w:b/>
          <w:bCs/>
          <w:lang w:val="ru-RU"/>
        </w:rPr>
        <w:t>№ 117 ООН</w:t>
      </w:r>
      <w:r>
        <w:rPr>
          <w:lang w:val="ru-RU"/>
        </w:rPr>
        <w:t xml:space="preserve">, например 02S2 применяют для поправок серии 02, касающихся звука, издаваемого шиной при качении на стадии 2, или 02S1WR1 − для поправок серии 02, касающихся звука, издаваемого шиной при качении на стадии 1, сцепления шины на мокрых поверхностях и сопротивления качению на стадии 1 (определения стадии 1 и стадии 2 см. в пункте 6.1). </w:t>
      </w:r>
      <w:r>
        <w:rPr>
          <w:strike/>
          <w:lang w:val="ru-RU"/>
        </w:rPr>
        <w:t>Указания серии поправок не требуется, если соответствующие Правила находятся в их первоначальном варианте.</w:t>
      </w:r>
    </w:p>
    <w:p w:rsidR="000827AC" w:rsidRPr="00593B78" w:rsidRDefault="000827AC" w:rsidP="000827AC">
      <w:pPr>
        <w:pStyle w:val="SingleTxtG"/>
        <w:ind w:left="2268" w:hanging="1134"/>
        <w:rPr>
          <w:strike/>
          <w:lang w:val="ru-RU"/>
        </w:rPr>
      </w:pPr>
      <w:r w:rsidRPr="00152893">
        <w:rPr>
          <w:strike/>
          <w:lang w:val="ru-RU"/>
        </w:rPr>
        <w:t>5.3.2</w:t>
      </w:r>
      <w:r w:rsidRPr="00152893">
        <w:rPr>
          <w:strike/>
          <w:lang w:val="ru-RU"/>
        </w:rPr>
        <w:tab/>
      </w:r>
      <w:r>
        <w:rPr>
          <w:strike/>
          <w:lang w:val="ru-RU"/>
        </w:rPr>
        <w:t>Для указания отдельных правил о параметрах эффективности шин уже используют следующие индексы:</w:t>
      </w:r>
    </w:p>
    <w:p w:rsidR="000827AC" w:rsidRPr="00152893" w:rsidRDefault="000827AC" w:rsidP="000827AC">
      <w:pPr>
        <w:pStyle w:val="SingleTxtG"/>
        <w:tabs>
          <w:tab w:val="left" w:pos="2552"/>
        </w:tabs>
        <w:ind w:left="2835" w:hanging="576"/>
        <w:rPr>
          <w:strike/>
          <w:lang w:val="ru-RU"/>
        </w:rPr>
      </w:pPr>
      <w:r w:rsidRPr="00152893">
        <w:rPr>
          <w:strike/>
          <w:lang w:val="ru-RU"/>
        </w:rPr>
        <w:t>S</w:t>
      </w:r>
      <w:r w:rsidRPr="00152893">
        <w:rPr>
          <w:strike/>
          <w:lang w:val="ru-RU"/>
        </w:rPr>
        <w:tab/>
        <w:t>−</w:t>
      </w:r>
      <w:r>
        <w:rPr>
          <w:strike/>
          <w:lang w:val="ru-RU"/>
        </w:rPr>
        <w:tab/>
      </w:r>
      <w:r w:rsidRPr="00152893">
        <w:rPr>
          <w:strike/>
          <w:lang w:val="ru-RU"/>
        </w:rPr>
        <w:t>для указания дополнительного соответствия требованиям о звуке, издаваемом шинами при качении;</w:t>
      </w:r>
    </w:p>
    <w:p w:rsidR="000827AC" w:rsidRPr="00152893" w:rsidRDefault="000827AC" w:rsidP="000827AC">
      <w:pPr>
        <w:pStyle w:val="SingleTxtG"/>
        <w:tabs>
          <w:tab w:val="left" w:pos="2552"/>
        </w:tabs>
        <w:ind w:left="2835" w:hanging="576"/>
        <w:rPr>
          <w:strike/>
          <w:lang w:val="ru-RU"/>
        </w:rPr>
      </w:pPr>
      <w:r w:rsidRPr="00152893">
        <w:rPr>
          <w:strike/>
          <w:lang w:val="ru-RU"/>
        </w:rPr>
        <w:t>W</w:t>
      </w:r>
      <w:r w:rsidRPr="00152893">
        <w:rPr>
          <w:strike/>
          <w:lang w:val="ru-RU"/>
        </w:rPr>
        <w:tab/>
        <w:t>−</w:t>
      </w:r>
      <w:r>
        <w:rPr>
          <w:strike/>
          <w:lang w:val="ru-RU"/>
        </w:rPr>
        <w:tab/>
      </w:r>
      <w:r w:rsidRPr="00152893">
        <w:rPr>
          <w:strike/>
          <w:lang w:val="ru-RU"/>
        </w:rPr>
        <w:t>для указания дополнительного соответствия требованиям о сцеплении шины на мокрых поверхностях;</w:t>
      </w:r>
    </w:p>
    <w:p w:rsidR="000827AC" w:rsidRPr="00152893" w:rsidRDefault="000827AC" w:rsidP="000827AC">
      <w:pPr>
        <w:pStyle w:val="SingleTxtG"/>
        <w:tabs>
          <w:tab w:val="left" w:pos="2552"/>
        </w:tabs>
        <w:ind w:left="2835" w:hanging="576"/>
        <w:rPr>
          <w:strike/>
          <w:lang w:val="ru-RU"/>
        </w:rPr>
      </w:pPr>
      <w:r w:rsidRPr="00152893">
        <w:rPr>
          <w:strike/>
          <w:lang w:val="ru-RU"/>
        </w:rPr>
        <w:t>R</w:t>
      </w:r>
      <w:r w:rsidRPr="00152893">
        <w:rPr>
          <w:strike/>
          <w:lang w:val="ru-RU"/>
        </w:rPr>
        <w:tab/>
        <w:t>−</w:t>
      </w:r>
      <w:r>
        <w:rPr>
          <w:strike/>
          <w:lang w:val="ru-RU"/>
        </w:rPr>
        <w:tab/>
      </w:r>
      <w:r w:rsidRPr="00152893">
        <w:rPr>
          <w:strike/>
          <w:lang w:val="ru-RU"/>
        </w:rPr>
        <w:t>для указания дополнительного соответствия требованиям о сопротивлении качению шин.</w:t>
      </w:r>
    </w:p>
    <w:p w:rsidR="000827AC" w:rsidRPr="00152893" w:rsidRDefault="000827AC" w:rsidP="000827AC">
      <w:pPr>
        <w:pStyle w:val="SingleTxtG"/>
        <w:ind w:left="2268" w:hanging="1134"/>
        <w:rPr>
          <w:strike/>
          <w:lang w:val="ru-RU"/>
        </w:rPr>
      </w:pPr>
      <w:r>
        <w:rPr>
          <w:lang w:val="ru-RU"/>
        </w:rPr>
        <w:tab/>
      </w:r>
      <w:r w:rsidRPr="00152893">
        <w:rPr>
          <w:strike/>
          <w:lang w:val="ru-RU"/>
        </w:rPr>
        <w:t xml:space="preserve">Учитывая, что в пунктах 6.1. и 6.3 ниже определены две стадии для характеристик качения и сопротивления качению, за буквами S и R следует индекс </w:t>
      </w:r>
      <w:r w:rsidR="00CB54F3">
        <w:rPr>
          <w:strike/>
          <w:lang w:val="ru-RU"/>
        </w:rPr>
        <w:t>"</w:t>
      </w:r>
      <w:r w:rsidRPr="00152893">
        <w:rPr>
          <w:strike/>
          <w:lang w:val="ru-RU"/>
        </w:rPr>
        <w:t>1</w:t>
      </w:r>
      <w:r w:rsidR="00CB54F3">
        <w:rPr>
          <w:strike/>
          <w:lang w:val="ru-RU"/>
        </w:rPr>
        <w:t>"</w:t>
      </w:r>
      <w:r w:rsidRPr="00152893">
        <w:rPr>
          <w:strike/>
          <w:lang w:val="ru-RU"/>
        </w:rPr>
        <w:t xml:space="preserve"> в случае соответствия стадии 1 или индекс </w:t>
      </w:r>
      <w:r w:rsidR="00CB54F3">
        <w:rPr>
          <w:strike/>
          <w:lang w:val="ru-RU"/>
        </w:rPr>
        <w:t>"</w:t>
      </w:r>
      <w:r w:rsidRPr="00152893">
        <w:rPr>
          <w:strike/>
          <w:lang w:val="ru-RU"/>
        </w:rPr>
        <w:t>2</w:t>
      </w:r>
      <w:r w:rsidR="00CB54F3">
        <w:rPr>
          <w:strike/>
          <w:lang w:val="ru-RU"/>
        </w:rPr>
        <w:t>"</w:t>
      </w:r>
      <w:r w:rsidRPr="00152893">
        <w:rPr>
          <w:strike/>
          <w:lang w:val="ru-RU"/>
        </w:rPr>
        <w:t xml:space="preserve"> в случае соответствия стадии 2.</w:t>
      </w:r>
    </w:p>
    <w:p w:rsidR="000827AC" w:rsidRPr="00593B78" w:rsidRDefault="000827AC" w:rsidP="000827AC">
      <w:pPr>
        <w:pStyle w:val="SingleTxtG"/>
        <w:ind w:left="2268" w:hanging="1134"/>
        <w:rPr>
          <w:bCs/>
          <w:lang w:val="ru-RU"/>
        </w:rPr>
      </w:pPr>
      <w:r>
        <w:rPr>
          <w:lang w:val="ru-RU"/>
        </w:rPr>
        <w:t>5.4</w:t>
      </w:r>
      <w:r>
        <w:rPr>
          <w:lang w:val="ru-RU"/>
        </w:rPr>
        <w:tab/>
        <w:t>На шины каждого размера, соответствующего типу шины, официально утвержденному на основании настоящих Правил, в месте, указанном в пункте 4.3, и согласно требованиям пункта 4.4 наносят международный знак официального утверждения, состоящий:</w:t>
      </w:r>
    </w:p>
    <w:p w:rsidR="000827AC" w:rsidRPr="00593B78" w:rsidRDefault="000827AC" w:rsidP="000827AC">
      <w:pPr>
        <w:pStyle w:val="SingleTxtG"/>
        <w:ind w:left="2268" w:hanging="1134"/>
        <w:rPr>
          <w:bCs/>
          <w:lang w:val="ru-RU"/>
        </w:rPr>
      </w:pPr>
      <w:r>
        <w:rPr>
          <w:lang w:val="ru-RU"/>
        </w:rPr>
        <w:t>5.4.1</w:t>
      </w:r>
      <w:r>
        <w:rPr>
          <w:lang w:val="ru-RU"/>
        </w:rPr>
        <w:tab/>
        <w:t>из круга с проставленной в нем буквой "Е", за которой следует отличительный номер страны, предоставившей официальное утверждение</w:t>
      </w:r>
      <w:r>
        <w:rPr>
          <w:vertAlign w:val="superscript"/>
          <w:lang w:val="ru-RU"/>
        </w:rPr>
        <w:t>12</w:t>
      </w:r>
      <w:r>
        <w:rPr>
          <w:lang w:val="ru-RU"/>
        </w:rPr>
        <w:t>; и</w:t>
      </w:r>
    </w:p>
    <w:p w:rsidR="000827AC" w:rsidRPr="00593B78" w:rsidRDefault="000827AC" w:rsidP="000827AC">
      <w:pPr>
        <w:pStyle w:val="SingleTxtG"/>
        <w:keepLines/>
        <w:ind w:left="2268" w:hanging="1134"/>
        <w:rPr>
          <w:lang w:val="ru-RU"/>
        </w:rPr>
      </w:pPr>
      <w:r>
        <w:rPr>
          <w:lang w:val="ru-RU"/>
        </w:rPr>
        <w:t>5.4.2</w:t>
      </w:r>
      <w:r>
        <w:rPr>
          <w:lang w:val="ru-RU"/>
        </w:rPr>
        <w:tab/>
      </w:r>
      <w:r>
        <w:rPr>
          <w:b/>
          <w:bCs/>
          <w:lang w:val="ru-RU"/>
        </w:rPr>
        <w:t xml:space="preserve">части </w:t>
      </w:r>
      <w:r>
        <w:rPr>
          <w:lang w:val="ru-RU"/>
        </w:rPr>
        <w:t>номера официального утверждения</w:t>
      </w:r>
      <w:r>
        <w:rPr>
          <w:b/>
          <w:bCs/>
          <w:lang w:val="ru-RU"/>
        </w:rPr>
        <w:t>, указанной в сегменте 3 пункта 3 приложения 4 к пересмотру 3 Соглашения 1958 года</w:t>
      </w:r>
      <w:r>
        <w:rPr>
          <w:lang w:val="ru-RU"/>
        </w:rPr>
        <w:t>, котор</w:t>
      </w:r>
      <w:r>
        <w:rPr>
          <w:strike/>
          <w:lang w:val="ru-RU"/>
        </w:rPr>
        <w:t>ый</w:t>
      </w:r>
      <w:r>
        <w:rPr>
          <w:b/>
          <w:bCs/>
          <w:lang w:val="ru-RU"/>
        </w:rPr>
        <w:t>ая</w:t>
      </w:r>
      <w:r>
        <w:rPr>
          <w:lang w:val="ru-RU"/>
        </w:rPr>
        <w:t xml:space="preserve"> долж</w:t>
      </w:r>
      <w:r>
        <w:rPr>
          <w:strike/>
          <w:lang w:val="ru-RU"/>
        </w:rPr>
        <w:t>е</w:t>
      </w:r>
      <w:r>
        <w:rPr>
          <w:lang w:val="ru-RU"/>
        </w:rPr>
        <w:t>н</w:t>
      </w:r>
      <w:r>
        <w:rPr>
          <w:b/>
          <w:bCs/>
          <w:lang w:val="ru-RU"/>
        </w:rPr>
        <w:t>а</w:t>
      </w:r>
      <w:r>
        <w:rPr>
          <w:lang w:val="ru-RU"/>
        </w:rPr>
        <w:t xml:space="preserve"> быть проставлен</w:t>
      </w:r>
      <w:r>
        <w:rPr>
          <w:b/>
          <w:bCs/>
          <w:lang w:val="ru-RU"/>
        </w:rPr>
        <w:t xml:space="preserve">а </w:t>
      </w:r>
      <w:r>
        <w:rPr>
          <w:lang w:val="ru-RU"/>
        </w:rPr>
        <w:t>рядом с кругом, предусмотренным в пункте 5.4.1, выше или ниже буквы "E" либо слева или справа от этой буквы;</w:t>
      </w:r>
    </w:p>
    <w:p w:rsidR="000827AC" w:rsidRPr="00593B78" w:rsidRDefault="000827AC" w:rsidP="000827AC">
      <w:pPr>
        <w:pStyle w:val="SingleTxtG"/>
        <w:ind w:left="2268" w:hanging="1134"/>
        <w:rPr>
          <w:bCs/>
          <w:lang w:val="ru-RU"/>
        </w:rPr>
      </w:pPr>
      <w:r>
        <w:rPr>
          <w:lang w:val="ru-RU"/>
        </w:rPr>
        <w:t>5.4.3</w:t>
      </w:r>
      <w:r>
        <w:rPr>
          <w:lang w:val="ru-RU"/>
        </w:rPr>
        <w:tab/>
        <w:t>... »</w:t>
      </w:r>
    </w:p>
    <w:p w:rsidR="000827AC" w:rsidRPr="00593B78" w:rsidRDefault="000827AC" w:rsidP="000827AC">
      <w:pPr>
        <w:pStyle w:val="SingleTxtG"/>
        <w:rPr>
          <w:i/>
          <w:lang w:val="ru-RU"/>
        </w:rPr>
      </w:pPr>
      <w:r>
        <w:rPr>
          <w:i/>
          <w:iCs/>
          <w:lang w:val="ru-RU"/>
        </w:rPr>
        <w:t>(Сноска 12 остается без изменений).</w:t>
      </w:r>
    </w:p>
    <w:p w:rsidR="000827AC" w:rsidRPr="00593B78" w:rsidRDefault="000827AC" w:rsidP="003B5130">
      <w:pPr>
        <w:pStyle w:val="SingleTxtG"/>
        <w:keepNext/>
        <w:rPr>
          <w:lang w:val="ru-RU"/>
        </w:rPr>
      </w:pPr>
      <w:r>
        <w:rPr>
          <w:i/>
          <w:iCs/>
          <w:lang w:val="ru-RU"/>
        </w:rPr>
        <w:lastRenderedPageBreak/>
        <w:t>Приложение 1, «Сообщение»</w:t>
      </w:r>
      <w:r>
        <w:rPr>
          <w:lang w:val="ru-RU"/>
        </w:rPr>
        <w:t xml:space="preserve"> изменить следующим образом:</w:t>
      </w:r>
    </w:p>
    <w:p w:rsidR="000827AC" w:rsidRPr="00593B78" w:rsidRDefault="000827AC" w:rsidP="000827AC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0827AC">
        <w:rPr>
          <w:b w:val="0"/>
          <w:bCs/>
          <w:sz w:val="20"/>
          <w:lang w:val="ru-RU"/>
        </w:rPr>
        <w:t>«</w:t>
      </w:r>
      <w:r>
        <w:rPr>
          <w:bCs/>
          <w:lang w:val="ru-RU"/>
        </w:rPr>
        <w:t>Приложение 1</w:t>
      </w:r>
    </w:p>
    <w:p w:rsidR="000827AC" w:rsidRPr="00593B78" w:rsidRDefault="000827AC" w:rsidP="000827AC">
      <w:pPr>
        <w:pStyle w:val="HChG"/>
        <w:spacing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bCs/>
          <w:lang w:val="ru-RU"/>
        </w:rPr>
        <w:t>Сообщение</w:t>
      </w:r>
    </w:p>
    <w:p w:rsidR="000827AC" w:rsidRPr="00593B78" w:rsidRDefault="000827AC" w:rsidP="000827AC">
      <w:pPr>
        <w:pStyle w:val="SingleTxtG"/>
        <w:rPr>
          <w:bCs/>
          <w:lang w:val="ru-RU"/>
        </w:rPr>
      </w:pPr>
      <w:r>
        <w:rPr>
          <w:lang w:val="ru-RU"/>
        </w:rPr>
        <w:t>(Максимальный формат: A4 (210 x 297 мм))</w:t>
      </w:r>
    </w:p>
    <w:tbl>
      <w:tblPr>
        <w:tblW w:w="8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2100"/>
        <w:gridCol w:w="3600"/>
      </w:tblGrid>
      <w:tr w:rsidR="000827AC" w:rsidRPr="00DD2A0F" w:rsidTr="00BA2B9F">
        <w:tc>
          <w:tcPr>
            <w:tcW w:w="2900" w:type="dxa"/>
            <w:shd w:val="clear" w:color="auto" w:fill="auto"/>
          </w:tcPr>
          <w:p w:rsidR="000827AC" w:rsidRPr="00DD2A0F" w:rsidRDefault="000827AC" w:rsidP="00BA2B9F">
            <w:pPr>
              <w:pStyle w:val="SingleTxtG"/>
              <w:jc w:val="left"/>
              <w:rPr>
                <w:bCs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CA12085" wp14:editId="1C6936A1">
                  <wp:extent cx="940435" cy="914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shd w:val="clear" w:color="auto" w:fill="auto"/>
          </w:tcPr>
          <w:p w:rsidR="000827AC" w:rsidRPr="00DD2A0F" w:rsidRDefault="000827AC" w:rsidP="00BA2B9F">
            <w:pPr>
              <w:pStyle w:val="SingleTxtG"/>
              <w:ind w:left="0" w:right="464"/>
              <w:jc w:val="right"/>
              <w:rPr>
                <w:bCs/>
              </w:rPr>
            </w:pPr>
            <w:r>
              <w:rPr>
                <w:lang w:val="ru-RU"/>
              </w:rPr>
              <w:t>Направленное:</w:t>
            </w:r>
          </w:p>
        </w:tc>
        <w:tc>
          <w:tcPr>
            <w:tcW w:w="3600" w:type="dxa"/>
            <w:shd w:val="clear" w:color="auto" w:fill="auto"/>
          </w:tcPr>
          <w:p w:rsidR="000827AC" w:rsidRPr="00DD2A0F" w:rsidRDefault="000827AC" w:rsidP="00BA2B9F">
            <w:pPr>
              <w:pStyle w:val="SingleTxtG"/>
              <w:ind w:left="0"/>
            </w:pPr>
            <w:r>
              <w:rPr>
                <w:lang w:val="ru-RU"/>
              </w:rPr>
              <w:t>Название административного органа:</w:t>
            </w:r>
          </w:p>
          <w:p w:rsidR="000827AC" w:rsidRPr="00DD2A0F" w:rsidRDefault="000827AC" w:rsidP="00BA2B9F">
            <w:pPr>
              <w:pStyle w:val="SingleTxtG"/>
              <w:ind w:left="0"/>
            </w:pPr>
            <w:r w:rsidRPr="00DD2A0F">
              <w:t>......................................</w:t>
            </w:r>
          </w:p>
          <w:p w:rsidR="000827AC" w:rsidRPr="00DD2A0F" w:rsidRDefault="000827AC" w:rsidP="00BA2B9F">
            <w:pPr>
              <w:pStyle w:val="SingleTxtG"/>
              <w:ind w:left="0"/>
            </w:pPr>
            <w:r w:rsidRPr="00DD2A0F">
              <w:t>......................................</w:t>
            </w:r>
          </w:p>
          <w:p w:rsidR="000827AC" w:rsidRPr="00DD2A0F" w:rsidRDefault="000827AC" w:rsidP="00BA2B9F">
            <w:pPr>
              <w:pStyle w:val="SingleTxtG"/>
              <w:ind w:left="0"/>
              <w:rPr>
                <w:bCs/>
              </w:rPr>
            </w:pPr>
            <w:r w:rsidRPr="00DD2A0F">
              <w:t>......................................</w:t>
            </w:r>
          </w:p>
        </w:tc>
      </w:tr>
    </w:tbl>
    <w:p w:rsidR="000827AC" w:rsidRPr="00DD2A0F" w:rsidRDefault="000827AC" w:rsidP="000827AC">
      <w:pPr>
        <w:pStyle w:val="SingleTxtG"/>
        <w:rPr>
          <w:bCs/>
          <w:color w:val="FFFFFF"/>
        </w:rPr>
      </w:pPr>
    </w:p>
    <w:p w:rsidR="000827AC" w:rsidRPr="00152893" w:rsidRDefault="000827AC" w:rsidP="000827AC">
      <w:pPr>
        <w:pStyle w:val="SingleTxtG"/>
        <w:spacing w:after="0" w:line="200" w:lineRule="atLeast"/>
        <w:rPr>
          <w:bCs/>
          <w:lang w:val="ru-RU"/>
        </w:rPr>
      </w:pPr>
      <w:r>
        <w:rPr>
          <w:lang w:val="ru-RU"/>
        </w:rPr>
        <w:t>касающееся</w:t>
      </w:r>
      <w:r w:rsidRPr="0038221D">
        <w:rPr>
          <w:sz w:val="18"/>
          <w:szCs w:val="18"/>
          <w:vertAlign w:val="superscript"/>
          <w:lang w:val="ru-RU"/>
        </w:rPr>
        <w:t>2</w:t>
      </w:r>
      <w:r>
        <w:rPr>
          <w:lang w:val="ru-RU"/>
        </w:rPr>
        <w:t>:</w:t>
      </w:r>
      <w:r>
        <w:rPr>
          <w:lang w:val="ru-RU"/>
        </w:rPr>
        <w:tab/>
        <w:t>предоставления официального утверждения</w:t>
      </w:r>
    </w:p>
    <w:p w:rsidR="000827AC" w:rsidRPr="00152893" w:rsidRDefault="000827AC" w:rsidP="000827AC">
      <w:pPr>
        <w:pStyle w:val="SingleTxtG"/>
        <w:spacing w:after="0"/>
        <w:rPr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распространения официального утверждения</w:t>
      </w:r>
    </w:p>
    <w:p w:rsidR="000827AC" w:rsidRPr="00152893" w:rsidRDefault="000827AC" w:rsidP="000827AC">
      <w:pPr>
        <w:pStyle w:val="SingleTxtG"/>
        <w:spacing w:after="0"/>
        <w:rPr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отказа в официальном утверждении</w:t>
      </w:r>
    </w:p>
    <w:p w:rsidR="000827AC" w:rsidRPr="00152893" w:rsidRDefault="000827AC" w:rsidP="000827AC">
      <w:pPr>
        <w:pStyle w:val="SingleTxtG"/>
        <w:spacing w:after="0"/>
        <w:rPr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отмены официального утверждения</w:t>
      </w:r>
    </w:p>
    <w:p w:rsidR="000827AC" w:rsidRPr="00152893" w:rsidRDefault="000827AC" w:rsidP="000827AC">
      <w:pPr>
        <w:pStyle w:val="SingleTxtG"/>
        <w:rPr>
          <w:bCs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окончательного прекращения производства</w:t>
      </w:r>
    </w:p>
    <w:p w:rsidR="000827AC" w:rsidRPr="007A5125" w:rsidRDefault="000827AC" w:rsidP="000827AC">
      <w:pPr>
        <w:pStyle w:val="SingleTxtG"/>
        <w:rPr>
          <w:bCs/>
          <w:lang w:val="ru-RU"/>
        </w:rPr>
      </w:pPr>
      <w:r>
        <w:rPr>
          <w:lang w:val="ru-RU"/>
        </w:rPr>
        <w:t>типа шины в отношении "уровня звука, издаваемого при качении</w:t>
      </w:r>
      <w:r w:rsidR="0038221D">
        <w:rPr>
          <w:lang w:val="ru-RU"/>
        </w:rPr>
        <w:t>"</w:t>
      </w:r>
      <w:r>
        <w:rPr>
          <w:lang w:val="ru-RU"/>
        </w:rPr>
        <w:t xml:space="preserve"> и/или </w:t>
      </w:r>
      <w:r w:rsidR="0038221D">
        <w:rPr>
          <w:lang w:val="ru-RU"/>
        </w:rPr>
        <w:t>"</w:t>
      </w:r>
      <w:r>
        <w:rPr>
          <w:lang w:val="ru-RU"/>
        </w:rPr>
        <w:t>эффективности сцепления на мокрых поверхностях</w:t>
      </w:r>
      <w:r w:rsidR="0038221D">
        <w:rPr>
          <w:lang w:val="ru-RU"/>
        </w:rPr>
        <w:t>"</w:t>
      </w:r>
      <w:r>
        <w:rPr>
          <w:lang w:val="ru-RU"/>
        </w:rPr>
        <w:t xml:space="preserve"> и/или </w:t>
      </w:r>
      <w:r w:rsidR="0038221D">
        <w:rPr>
          <w:lang w:val="ru-RU"/>
        </w:rPr>
        <w:t>"</w:t>
      </w:r>
      <w:r>
        <w:rPr>
          <w:lang w:val="ru-RU"/>
        </w:rPr>
        <w:t>сопротивления качению</w:t>
      </w:r>
      <w:r w:rsidR="0038221D">
        <w:rPr>
          <w:lang w:val="ru-RU"/>
        </w:rPr>
        <w:t>"</w:t>
      </w:r>
      <w:r>
        <w:rPr>
          <w:lang w:val="ru-RU"/>
        </w:rPr>
        <w:t xml:space="preserve"> на основании Правил № 117 ООН</w:t>
      </w:r>
    </w:p>
    <w:p w:rsidR="000827AC" w:rsidRPr="00593B78" w:rsidRDefault="000827AC" w:rsidP="00CB54F3">
      <w:pPr>
        <w:pStyle w:val="SingleTxtG"/>
        <w:tabs>
          <w:tab w:val="left" w:pos="4820"/>
        </w:tabs>
        <w:rPr>
          <w:lang w:val="ru-RU"/>
        </w:rPr>
      </w:pPr>
      <w:r>
        <w:rPr>
          <w:lang w:val="ru-RU"/>
        </w:rPr>
        <w:t>Официальное утверждение №</w:t>
      </w:r>
      <w:r w:rsidRPr="0038221D">
        <w:rPr>
          <w:b/>
          <w:bCs/>
          <w:sz w:val="18"/>
          <w:szCs w:val="18"/>
          <w:vertAlign w:val="superscript"/>
          <w:lang w:val="ru-RU"/>
        </w:rPr>
        <w:t>3</w:t>
      </w:r>
      <w:r>
        <w:rPr>
          <w:lang w:val="ru-RU"/>
        </w:rPr>
        <w:t xml:space="preserve"> ...............</w:t>
      </w:r>
      <w:r>
        <w:rPr>
          <w:lang w:val="ru-RU"/>
        </w:rPr>
        <w:tab/>
      </w:r>
      <w:r>
        <w:rPr>
          <w:b/>
          <w:bCs/>
          <w:lang w:val="ru-RU"/>
        </w:rPr>
        <w:t>Индекс(ы)</w:t>
      </w:r>
      <w:r w:rsidRPr="0038221D">
        <w:rPr>
          <w:b/>
          <w:bCs/>
          <w:sz w:val="18"/>
          <w:szCs w:val="18"/>
          <w:vertAlign w:val="superscript"/>
          <w:lang w:val="ru-RU"/>
        </w:rPr>
        <w:t>4</w:t>
      </w:r>
      <w:r>
        <w:rPr>
          <w:lang w:val="ru-RU"/>
        </w:rPr>
        <w:t xml:space="preserve"> </w:t>
      </w:r>
      <w:r>
        <w:rPr>
          <w:strike/>
          <w:lang w:val="ru-RU"/>
        </w:rPr>
        <w:t>Распространение №</w:t>
      </w:r>
      <w:r w:rsidR="0038221D">
        <w:rPr>
          <w:lang w:val="ru-RU"/>
        </w:rPr>
        <w:t> ............</w:t>
      </w:r>
      <w:r w:rsidR="00CB54F3">
        <w:rPr>
          <w:lang w:val="ru-RU"/>
        </w:rPr>
        <w:t>...</w:t>
      </w:r>
    </w:p>
    <w:p w:rsidR="000827AC" w:rsidRPr="00593B78" w:rsidRDefault="000827AC" w:rsidP="000827AC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 xml:space="preserve">… </w:t>
      </w:r>
    </w:p>
    <w:p w:rsidR="000827AC" w:rsidRPr="00593B78" w:rsidRDefault="000827AC" w:rsidP="000827AC">
      <w:pPr>
        <w:pStyle w:val="SingleTxtG"/>
        <w:rPr>
          <w:lang w:val="ru-RU"/>
        </w:rPr>
      </w:pPr>
      <w:r w:rsidRPr="00593B78">
        <w:rPr>
          <w:lang w:val="ru-RU"/>
        </w:rPr>
        <w:t>…</w:t>
      </w:r>
    </w:p>
    <w:p w:rsidR="000827AC" w:rsidRPr="00593B78" w:rsidRDefault="000827AC" w:rsidP="000827AC">
      <w:pPr>
        <w:pStyle w:val="SingleTxtG"/>
        <w:rPr>
          <w:lang w:val="ru-RU"/>
        </w:rPr>
      </w:pPr>
      <w:r w:rsidRPr="00593B78">
        <w:rPr>
          <w:lang w:val="ru-RU"/>
        </w:rPr>
        <w:t>_________________________</w:t>
      </w:r>
    </w:p>
    <w:p w:rsidR="000827AC" w:rsidRPr="00593B78" w:rsidRDefault="000827AC" w:rsidP="000827AC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>Отличительный номер страны, которая предоставила/распространила/отменила</w:t>
      </w:r>
      <w:r w:rsidR="0038221D">
        <w:t xml:space="preserve"> </w:t>
      </w:r>
      <w:r>
        <w:t>официальное утверждение или отказала в официальном утверждении (см. положения настоящих Правил, касающиеся официального утверждения).</w:t>
      </w:r>
    </w:p>
    <w:p w:rsidR="000827AC" w:rsidRPr="00593B78" w:rsidRDefault="000827AC" w:rsidP="000827AC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vertAlign w:val="superscript"/>
        </w:rPr>
        <w:t>2</w:t>
      </w:r>
      <w:r>
        <w:tab/>
        <w:t>Ненужное вычеркнуть.</w:t>
      </w:r>
    </w:p>
    <w:p w:rsidR="000827AC" w:rsidRPr="00593B78" w:rsidRDefault="000827AC" w:rsidP="000827AC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b/>
          <w:bCs/>
          <w:vertAlign w:val="superscript"/>
        </w:rPr>
        <w:t>3</w:t>
      </w:r>
      <w:r>
        <w:tab/>
      </w:r>
      <w:r>
        <w:rPr>
          <w:b/>
          <w:bCs/>
        </w:rPr>
        <w:t>В соответствии с приложением 4 к Пересмотру 3 к Соглашению 1958 года.</w:t>
      </w:r>
    </w:p>
    <w:p w:rsidR="000827AC" w:rsidRPr="00593B78" w:rsidRDefault="000827AC" w:rsidP="000827AC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b/>
          <w:bCs/>
          <w:vertAlign w:val="superscript"/>
        </w:rPr>
        <w:t>4</w:t>
      </w:r>
      <w:r>
        <w:tab/>
      </w:r>
      <w:r>
        <w:rPr>
          <w:b/>
          <w:bCs/>
        </w:rPr>
        <w:t>В соответствии с пунктами 5.2.2 и 5.3.1.2 настоящих Правил</w:t>
      </w:r>
      <w:r w:rsidR="0038221D" w:rsidRPr="0038221D">
        <w:rPr>
          <w:bCs/>
          <w:sz w:val="20"/>
        </w:rPr>
        <w:t>»</w:t>
      </w:r>
      <w:r w:rsidRPr="0038221D">
        <w:rPr>
          <w:bCs/>
          <w:sz w:val="20"/>
        </w:rPr>
        <w:t>.</w:t>
      </w:r>
      <w:r w:rsidR="0038221D" w:rsidRPr="0038221D">
        <w:rPr>
          <w:b/>
          <w:bCs/>
        </w:rPr>
        <w:t xml:space="preserve"> </w:t>
      </w:r>
    </w:p>
    <w:p w:rsidR="000827AC" w:rsidRPr="00593B78" w:rsidRDefault="000827AC" w:rsidP="000827AC">
      <w:pPr>
        <w:pStyle w:val="HChG"/>
        <w:rPr>
          <w:lang w:val="ru-RU"/>
        </w:rPr>
      </w:pPr>
      <w:r>
        <w:rPr>
          <w:lang w:val="ru-RU"/>
        </w:rPr>
        <w:tab/>
        <w:t>II.</w:t>
      </w:r>
      <w:r>
        <w:rPr>
          <w:lang w:val="ru-RU"/>
        </w:rPr>
        <w:tab/>
      </w:r>
      <w:r>
        <w:rPr>
          <w:bCs/>
          <w:lang w:val="ru-RU"/>
        </w:rPr>
        <w:t>Обоснование</w:t>
      </w:r>
    </w:p>
    <w:p w:rsidR="000827AC" w:rsidRPr="00593B78" w:rsidRDefault="000827AC" w:rsidP="000827AC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В целях согласования положений Правил № 117 ООН, касающихся номеров</w:t>
      </w:r>
      <w:r w:rsidRPr="009729B8">
        <w:rPr>
          <w:lang w:val="ru-RU"/>
        </w:rPr>
        <w:t xml:space="preserve"> </w:t>
      </w:r>
      <w:r>
        <w:rPr>
          <w:lang w:val="ru-RU"/>
        </w:rPr>
        <w:t>и маркировки официального утверждения, с положениями приложения 4 к пересмотренному Соглашению 1958 года, предлагается рассматривать отдельно номер официального утверждения типа, указанный в карточке сообщения, и маркировку официального утверждения типа, которая включает часть номера официального утверждения типа и индексы, не входящие в состав номера официального утверждения типа, но являющиеся частью маркировки официального утверждения типа.</w:t>
      </w:r>
    </w:p>
    <w:p w:rsidR="000827AC" w:rsidRPr="00593B78" w:rsidRDefault="000827AC" w:rsidP="000827AC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 xml:space="preserve">Пункт 5.2 сейчас предписывает, что номер официального утверждения типа должен присваиваться в соответствии с приложением 4 к Соглашению 1958 года. </w:t>
      </w:r>
    </w:p>
    <w:p w:rsidR="000827AC" w:rsidRPr="00593B78" w:rsidRDefault="000827AC" w:rsidP="000827AC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Новый пункт 5.2.1 уточняет два существующие варианта присвоения номера официального утверждения типа согласно Правилам № 117 ООН:</w:t>
      </w:r>
    </w:p>
    <w:p w:rsidR="000827AC" w:rsidRPr="00593B78" w:rsidRDefault="000827AC" w:rsidP="0038221D">
      <w:pPr>
        <w:pStyle w:val="Bullet1GR"/>
      </w:pPr>
      <w:r>
        <w:t>присвоение номера первоначального официального утверждения типа или</w:t>
      </w:r>
    </w:p>
    <w:p w:rsidR="000827AC" w:rsidRPr="00593B78" w:rsidRDefault="000827AC" w:rsidP="0038221D">
      <w:pPr>
        <w:pStyle w:val="Bullet1GR"/>
      </w:pPr>
      <w:r>
        <w:t>присвоение номера официального утверждения типа, которое уже было предоставлено ранее данному типу шины на основании Правил № 30 ООН или Правил № 54 ООН, вместе с номером последующего распространения.</w:t>
      </w:r>
    </w:p>
    <w:p w:rsidR="000827AC" w:rsidRPr="00593B78" w:rsidRDefault="000827AC" w:rsidP="000827AC">
      <w:pPr>
        <w:pStyle w:val="SingleTxtG"/>
        <w:rPr>
          <w:lang w:val="ru-RU"/>
        </w:rPr>
      </w:pPr>
      <w:r>
        <w:rPr>
          <w:lang w:val="ru-RU"/>
        </w:rPr>
        <w:lastRenderedPageBreak/>
        <w:t>4.</w:t>
      </w:r>
      <w:r>
        <w:rPr>
          <w:lang w:val="ru-RU"/>
        </w:rPr>
        <w:tab/>
        <w:t>Новый пункт 5.2.2 предусматривает конкретные положения Правил № 117 ООН, которые касаются указания отдельных параметров эффективности в соответствии с Правилами № 117 ООН с помощью индексов. Однако содержание этого пункта не является новым: оно взято из прежнего пункта 5.3.2.</w:t>
      </w:r>
    </w:p>
    <w:p w:rsidR="000827AC" w:rsidRPr="00593B78" w:rsidRDefault="000827AC" w:rsidP="000827AC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В пункт 5.3.1 включена ссылка на пункт 5.2.1.</w:t>
      </w:r>
    </w:p>
    <w:p w:rsidR="000827AC" w:rsidRPr="00593B78" w:rsidRDefault="000827AC" w:rsidP="000827AC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Пункт 5.3.1.1 сейчас предусматривает, что в пункте 9 карточки сообщения необходимо указывать лишь официальное утверждение типа, предоставленного ранее в отношении данного типа шины.</w:t>
      </w:r>
    </w:p>
    <w:p w:rsidR="000827AC" w:rsidRPr="00593B78" w:rsidRDefault="000827AC" w:rsidP="000827AC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>В пункт 5.3.1.2 включено положение о дополнительном индексе (суффиксе, а не префиксе), который должен указывать номер серии поправок к Правилам № 117 ООН, в случае если используется номер официального утверждения типа, предоставленного на основании Правил № 30 ООН или Правил № 54 ООН.</w:t>
      </w:r>
    </w:p>
    <w:p w:rsidR="000827AC" w:rsidRPr="00593B78" w:rsidRDefault="000827AC" w:rsidP="000827AC">
      <w:pPr>
        <w:pStyle w:val="SingleTxtG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>Положения о маркировке официального утверждения типа (пункты 5.4–5.6) остаются без изменений, за исключением того, что в пункте 5.4.2 теперь речь идет об отдельной части номера официального утверждения типа вместо всего номера.</w:t>
      </w:r>
    </w:p>
    <w:p w:rsidR="000827AC" w:rsidRPr="00593B78" w:rsidRDefault="000827AC" w:rsidP="000827AC">
      <w:pPr>
        <w:pStyle w:val="SingleTxtG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>Измененная карточка сообщения (приложение 1) теперь содержит отдельную строку для указания индекса(ов).</w:t>
      </w:r>
    </w:p>
    <w:p w:rsidR="000827AC" w:rsidRPr="00593B78" w:rsidRDefault="000827AC" w:rsidP="000827AC">
      <w:pPr>
        <w:pStyle w:val="SingleTxtG"/>
        <w:rPr>
          <w:rFonts w:eastAsia="SimSun"/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>В целях уточнения в приложение 1 включены новые сноски 3 и 4.</w:t>
      </w:r>
    </w:p>
    <w:p w:rsidR="00E12C5F" w:rsidRDefault="000827AC" w:rsidP="000827AC">
      <w:pPr>
        <w:pStyle w:val="SingleTxtGR"/>
      </w:pPr>
      <w:r>
        <w:t>11.</w:t>
      </w:r>
      <w:r>
        <w:tab/>
        <w:t>В дальнейшем предусмотрена замена существующих знаков официального утверждения на уникальный идентификатор, как это предписано в приложении 5 к Соглашению 1958 года.</w:t>
      </w:r>
    </w:p>
    <w:p w:rsidR="000827AC" w:rsidRPr="000827AC" w:rsidRDefault="000827AC" w:rsidP="000827A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27AC" w:rsidRPr="000827AC" w:rsidSect="003C3D4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160" w:rsidRPr="00A312BC" w:rsidRDefault="00DC1160" w:rsidP="00A312BC"/>
  </w:endnote>
  <w:endnote w:type="continuationSeparator" w:id="0">
    <w:p w:rsidR="00DC1160" w:rsidRPr="00A312BC" w:rsidRDefault="00DC116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42" w:rsidRPr="003C3D42" w:rsidRDefault="003C3D42">
    <w:pPr>
      <w:pStyle w:val="Footer"/>
    </w:pPr>
    <w:r w:rsidRPr="003C3D42">
      <w:rPr>
        <w:b/>
        <w:sz w:val="18"/>
      </w:rPr>
      <w:fldChar w:fldCharType="begin"/>
    </w:r>
    <w:r w:rsidRPr="003C3D42">
      <w:rPr>
        <w:b/>
        <w:sz w:val="18"/>
      </w:rPr>
      <w:instrText xml:space="preserve"> PAGE  \* MERGEFORMAT </w:instrText>
    </w:r>
    <w:r w:rsidRPr="003C3D42">
      <w:rPr>
        <w:b/>
        <w:sz w:val="18"/>
      </w:rPr>
      <w:fldChar w:fldCharType="separate"/>
    </w:r>
    <w:r w:rsidR="009603F3">
      <w:rPr>
        <w:b/>
        <w:noProof/>
        <w:sz w:val="18"/>
      </w:rPr>
      <w:t>4</w:t>
    </w:r>
    <w:r w:rsidRPr="003C3D42">
      <w:rPr>
        <w:b/>
        <w:sz w:val="18"/>
      </w:rPr>
      <w:fldChar w:fldCharType="end"/>
    </w:r>
    <w:r>
      <w:rPr>
        <w:b/>
        <w:sz w:val="18"/>
      </w:rPr>
      <w:tab/>
    </w:r>
    <w:r>
      <w:t>GE.18-18793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42" w:rsidRPr="003C3D42" w:rsidRDefault="003C3D42" w:rsidP="003C3D42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GE.18-18793</w:t>
    </w:r>
    <w:r>
      <w:tab/>
    </w:r>
    <w:r w:rsidRPr="003C3D42">
      <w:rPr>
        <w:b/>
        <w:sz w:val="18"/>
      </w:rPr>
      <w:fldChar w:fldCharType="begin"/>
    </w:r>
    <w:r w:rsidRPr="003C3D42">
      <w:rPr>
        <w:b/>
        <w:sz w:val="18"/>
      </w:rPr>
      <w:instrText xml:space="preserve"> PAGE  \* MERGEFORMAT </w:instrText>
    </w:r>
    <w:r w:rsidRPr="003C3D42">
      <w:rPr>
        <w:b/>
        <w:sz w:val="18"/>
      </w:rPr>
      <w:fldChar w:fldCharType="separate"/>
    </w:r>
    <w:r w:rsidR="009603F3">
      <w:rPr>
        <w:b/>
        <w:noProof/>
        <w:sz w:val="18"/>
      </w:rPr>
      <w:t>5</w:t>
    </w:r>
    <w:r w:rsidRPr="003C3D4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3C3D42" w:rsidRDefault="003C3D42" w:rsidP="003C3D4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18-18793  (R)</w:t>
    </w:r>
    <w:r w:rsidR="000827AC">
      <w:rPr>
        <w:lang w:val="en-US"/>
      </w:rPr>
      <w:t xml:space="preserve">  271118  271118</w:t>
    </w:r>
    <w:r>
      <w:br/>
    </w:r>
    <w:r w:rsidRPr="003C3D42">
      <w:rPr>
        <w:rFonts w:ascii="C39T30Lfz" w:hAnsi="C39T30Lfz"/>
        <w:kern w:val="14"/>
        <w:sz w:val="56"/>
      </w:rPr>
      <w:t></w:t>
    </w:r>
    <w:r w:rsidRPr="003C3D42">
      <w:rPr>
        <w:rFonts w:ascii="C39T30Lfz" w:hAnsi="C39T30Lfz"/>
        <w:kern w:val="14"/>
        <w:sz w:val="56"/>
      </w:rPr>
      <w:t></w:t>
    </w:r>
    <w:r w:rsidRPr="003C3D42">
      <w:rPr>
        <w:rFonts w:ascii="C39T30Lfz" w:hAnsi="C39T30Lfz"/>
        <w:kern w:val="14"/>
        <w:sz w:val="56"/>
      </w:rPr>
      <w:t></w:t>
    </w:r>
    <w:r w:rsidRPr="003C3D42">
      <w:rPr>
        <w:rFonts w:ascii="C39T30Lfz" w:hAnsi="C39T30Lfz"/>
        <w:kern w:val="14"/>
        <w:sz w:val="56"/>
      </w:rPr>
      <w:t></w:t>
    </w:r>
    <w:r w:rsidRPr="003C3D42">
      <w:rPr>
        <w:rFonts w:ascii="C39T30Lfz" w:hAnsi="C39T30Lfz"/>
        <w:kern w:val="14"/>
        <w:sz w:val="56"/>
      </w:rPr>
      <w:t></w:t>
    </w:r>
    <w:r w:rsidRPr="003C3D42">
      <w:rPr>
        <w:rFonts w:ascii="C39T30Lfz" w:hAnsi="C39T30Lfz"/>
        <w:kern w:val="14"/>
        <w:sz w:val="56"/>
      </w:rPr>
      <w:t></w:t>
    </w:r>
    <w:r w:rsidRPr="003C3D42">
      <w:rPr>
        <w:rFonts w:ascii="C39T30Lfz" w:hAnsi="C39T30Lfz"/>
        <w:kern w:val="14"/>
        <w:sz w:val="56"/>
      </w:rPr>
      <w:t></w:t>
    </w:r>
    <w:r w:rsidRPr="003C3D42">
      <w:rPr>
        <w:rFonts w:ascii="C39T30Lfz" w:hAnsi="C39T30Lfz"/>
        <w:kern w:val="14"/>
        <w:sz w:val="56"/>
      </w:rPr>
      <w:t></w:t>
    </w:r>
    <w:r w:rsidRPr="003C3D4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/2019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9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160" w:rsidRPr="001075E9" w:rsidRDefault="00DC116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C1160" w:rsidRDefault="00DC116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827AC" w:rsidRPr="00C477C8" w:rsidRDefault="000827AC" w:rsidP="000827AC">
      <w:pPr>
        <w:pStyle w:val="FootnoteText"/>
        <w:rPr>
          <w:szCs w:val="18"/>
        </w:rPr>
      </w:pPr>
      <w:r>
        <w:tab/>
      </w:r>
      <w:r w:rsidRPr="000827AC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2018–2019 годы (ECE/TRANS/274, пункт 123, и ECE/TRANS/2018/21/Add.1,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42" w:rsidRPr="003C3D42" w:rsidRDefault="009603F3">
    <w:pPr>
      <w:pStyle w:val="Header"/>
    </w:pPr>
    <w:fldSimple w:instr=" TITLE  \* MERGEFORMAT ">
      <w:r>
        <w:t>ECE/TRANS/WP.29/GRB/2019/4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42" w:rsidRPr="003C3D42" w:rsidRDefault="009603F3" w:rsidP="003C3D42">
    <w:pPr>
      <w:pStyle w:val="Header"/>
      <w:jc w:val="right"/>
    </w:pPr>
    <w:fldSimple w:instr=" TITLE  \* MERGEFORMAT ">
      <w:r>
        <w:t>ECE/TRANS/WP.29/GRB/2019/4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D751D"/>
    <w:multiLevelType w:val="hybridMultilevel"/>
    <w:tmpl w:val="60C0319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887D0C"/>
    <w:multiLevelType w:val="hybridMultilevel"/>
    <w:tmpl w:val="20B28CC4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</w:num>
  <w:num w:numId="23">
    <w:abstractNumId w:val="10"/>
    <w:lvlOverride w:ilvl="0">
      <w:lvl w:ilvl="0" w:tplc="04090001">
        <w:start w:val="1"/>
        <w:numFmt w:val="bullet"/>
        <w:lvlText w:val=""/>
        <w:lvlJc w:val="left"/>
        <w:pPr>
          <w:ind w:left="1776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160"/>
    <w:rsid w:val="00033EE1"/>
    <w:rsid w:val="00042B72"/>
    <w:rsid w:val="000558BD"/>
    <w:rsid w:val="000827AC"/>
    <w:rsid w:val="000B57E7"/>
    <w:rsid w:val="000B6373"/>
    <w:rsid w:val="000C6E0E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E62F2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221D"/>
    <w:rsid w:val="00387CD4"/>
    <w:rsid w:val="003958D0"/>
    <w:rsid w:val="003A0D43"/>
    <w:rsid w:val="003A48CE"/>
    <w:rsid w:val="003B00E5"/>
    <w:rsid w:val="003B5130"/>
    <w:rsid w:val="003C3D42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4005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9A2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3F3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555F"/>
    <w:rsid w:val="00C805C9"/>
    <w:rsid w:val="00C92939"/>
    <w:rsid w:val="00CA1679"/>
    <w:rsid w:val="00CB151C"/>
    <w:rsid w:val="00CB54F3"/>
    <w:rsid w:val="00CE5A1A"/>
    <w:rsid w:val="00CF55F6"/>
    <w:rsid w:val="00D33D63"/>
    <w:rsid w:val="00D5253A"/>
    <w:rsid w:val="00D873A8"/>
    <w:rsid w:val="00D90028"/>
    <w:rsid w:val="00D90138"/>
    <w:rsid w:val="00DC1160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D615827-9A27-4149-B740-1404B1C8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BVI fnr, BVI fnr,Footnote symbol,Footnote,Footnote Reference Superscript,SUPERS,-E 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qFormat/>
    <w:rsid w:val="000827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Theme="minorEastAsia" w:cs="Times New Roman"/>
      <w:b/>
      <w:sz w:val="28"/>
      <w:szCs w:val="20"/>
      <w:lang w:val="en-GB"/>
    </w:rPr>
  </w:style>
  <w:style w:type="paragraph" w:styleId="BlockText">
    <w:name w:val="Block Text"/>
    <w:basedOn w:val="Normal"/>
    <w:semiHidden/>
    <w:rsid w:val="000827AC"/>
    <w:pPr>
      <w:ind w:left="1440" w:right="1440"/>
    </w:pPr>
    <w:rPr>
      <w:rFonts w:eastAsiaTheme="minorEastAsia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0827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Theme="minorEastAsia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0827AC"/>
    <w:rPr>
      <w:rFonts w:eastAsiaTheme="minorEastAsia"/>
      <w:b/>
      <w:sz w:val="28"/>
      <w:lang w:val="en-GB" w:eastAsia="en-US"/>
    </w:rPr>
  </w:style>
  <w:style w:type="character" w:customStyle="1" w:styleId="H1GChar">
    <w:name w:val="_ H_1_G Char"/>
    <w:link w:val="H1G"/>
    <w:rsid w:val="000827AC"/>
    <w:rPr>
      <w:rFonts w:eastAsiaTheme="minorEastAsia"/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0827AC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0827AC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ECE/TRANS/WP.29/GRB/2019/4</vt:lpstr>
      <vt:lpstr>ECE/TRANS/WP.29/GRB/2019/4</vt:lpstr>
      <vt:lpstr>A/</vt:lpstr>
    </vt:vector>
  </TitlesOfParts>
  <Company>DCM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ECE/TRANS/WP.29/GRB/2019/4</dc:title>
  <dc:subject/>
  <dc:creator>Marina KOROTKOVA</dc:creator>
  <cp:keywords/>
  <cp:lastModifiedBy>Benedicte Boudol</cp:lastModifiedBy>
  <cp:revision>2</cp:revision>
  <cp:lastPrinted>2018-11-27T13:48:00Z</cp:lastPrinted>
  <dcterms:created xsi:type="dcterms:W3CDTF">2018-12-04T10:19:00Z</dcterms:created>
  <dcterms:modified xsi:type="dcterms:W3CDTF">2018-12-04T10:19:00Z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