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14:paraId="4F5B37B8" w14:textId="77777777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2AEFC01" w14:textId="77777777"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E0691AD" w14:textId="77777777"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D0F4F1E" w14:textId="77777777" w:rsidR="00AF2205" w:rsidRPr="00AF2205" w:rsidRDefault="00AF2205" w:rsidP="00DC393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C87753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C24477">
              <w:rPr>
                <w:lang w:val="en-GB"/>
              </w:rPr>
              <w:t>5</w:t>
            </w:r>
            <w:r w:rsidR="009E0B7E">
              <w:rPr>
                <w:lang w:val="en-GB"/>
              </w:rPr>
              <w:t>1</w:t>
            </w:r>
          </w:p>
        </w:tc>
      </w:tr>
      <w:tr w:rsidR="00AF2205" w:rsidRPr="00C549EF" w14:paraId="1570FB9A" w14:textId="7777777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9757790" w14:textId="77777777"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D42CC0" wp14:editId="30C59512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78DAD5" w14:textId="77777777"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6FD93E" w14:textId="77777777"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52EE24BF" w14:textId="77777777" w:rsidR="00AF2205" w:rsidRPr="00AF2205" w:rsidRDefault="006D59F0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FB3292">
              <w:rPr>
                <w:lang w:val="en-GB"/>
              </w:rPr>
              <w:t xml:space="preserve"> </w:t>
            </w:r>
            <w:r w:rsidR="00B65E00">
              <w:rPr>
                <w:lang w:val="en-GB"/>
              </w:rPr>
              <w:t>April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133DC9">
              <w:rPr>
                <w:lang w:val="en-GB"/>
              </w:rPr>
              <w:t>9</w:t>
            </w:r>
          </w:p>
          <w:p w14:paraId="15048BBB" w14:textId="77777777"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14:paraId="6A713E54" w14:textId="77777777"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14:paraId="2A7109AE" w14:textId="77777777"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14:paraId="4D8D1DAB" w14:textId="77777777"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14:paraId="39B81192" w14:textId="77777777"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14:paraId="6586EFD2" w14:textId="77777777"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B65E00">
        <w:rPr>
          <w:b/>
          <w:lang w:val="en-US"/>
        </w:rPr>
        <w:t>8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14:paraId="04AB26B5" w14:textId="77777777"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65E00">
        <w:rPr>
          <w:lang w:val="en-US"/>
        </w:rPr>
        <w:t>25</w:t>
      </w:r>
      <w:r w:rsidR="00D17398">
        <w:rPr>
          <w:lang w:val="en-US"/>
        </w:rPr>
        <w:t>-</w:t>
      </w:r>
      <w:r w:rsidR="00B65E00">
        <w:rPr>
          <w:lang w:val="en-US"/>
        </w:rPr>
        <w:t>28</w:t>
      </w:r>
      <w:r w:rsidR="004E7423">
        <w:rPr>
          <w:lang w:val="en-US"/>
        </w:rPr>
        <w:t xml:space="preserve"> </w:t>
      </w:r>
      <w:r w:rsidR="00B65E00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C87753">
        <w:rPr>
          <w:lang w:val="en-US"/>
        </w:rPr>
        <w:t>9</w:t>
      </w:r>
    </w:p>
    <w:p w14:paraId="34F891F2" w14:textId="77777777"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C24477">
        <w:rPr>
          <w:lang w:val="en-GB"/>
        </w:rPr>
        <w:t>9</w:t>
      </w:r>
      <w:r w:rsidR="00A90EA8">
        <w:rPr>
          <w:lang w:val="en-GB"/>
        </w:rPr>
        <w:t>.</w:t>
      </w:r>
      <w:r w:rsidR="009E0B7E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14:paraId="3F03C07D" w14:textId="77777777" w:rsidR="00D061F7" w:rsidRDefault="003C670C" w:rsidP="00FE4F51">
      <w:pPr>
        <w:rPr>
          <w:b/>
          <w:bCs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D061F7" w:rsidRPr="00D061F7">
        <w:rPr>
          <w:b/>
          <w:bCs/>
          <w:lang w:val="en-GB"/>
        </w:rPr>
        <w:t xml:space="preserve">Consideration of draft amendments to </w:t>
      </w:r>
    </w:p>
    <w:p w14:paraId="0DFC5182" w14:textId="77777777" w:rsidR="00AF2205" w:rsidRPr="00AF2205" w:rsidRDefault="00D061F7" w:rsidP="00FE4F51">
      <w:pPr>
        <w:rPr>
          <w:b/>
          <w:lang w:val="en-GB"/>
        </w:rPr>
      </w:pPr>
      <w:r w:rsidRPr="00D061F7">
        <w:rPr>
          <w:b/>
          <w:bCs/>
          <w:lang w:val="en-GB"/>
        </w:rPr>
        <w:t>existing UN Regulations submitted by GR</w:t>
      </w:r>
      <w:r w:rsidR="00C24477">
        <w:rPr>
          <w:b/>
          <w:bCs/>
          <w:lang w:val="en-GB"/>
        </w:rPr>
        <w:t>B</w:t>
      </w:r>
    </w:p>
    <w:p w14:paraId="23CF9064" w14:textId="77777777" w:rsidR="002873BA" w:rsidRPr="00A90EA8" w:rsidRDefault="009E0B7E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9E0B7E">
        <w:rPr>
          <w:lang w:val="en-GB"/>
        </w:rPr>
        <w:t>Proposal for a corrigendum to Supplement 4 to the 03 series of amendments to UN Regulation No. 51 (Noise of M and N categories of vehicles)</w:t>
      </w:r>
    </w:p>
    <w:p w14:paraId="6CE30D97" w14:textId="77777777"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C24477">
        <w:rPr>
          <w:b/>
          <w:sz w:val="24"/>
          <w:lang w:val="en-GB"/>
        </w:rPr>
        <w:t>Noise</w:t>
      </w:r>
      <w:r w:rsidRPr="003C670C">
        <w:rPr>
          <w:lang w:val="en-GB"/>
        </w:rPr>
        <w:footnoteReference w:customMarkFollows="1" w:id="2"/>
        <w:t>*</w:t>
      </w:r>
    </w:p>
    <w:p w14:paraId="5D8D3BB6" w14:textId="77777777" w:rsidR="00A31525" w:rsidRPr="003C670C" w:rsidRDefault="00A90EA8" w:rsidP="009C0725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C24477">
        <w:rPr>
          <w:lang w:val="en-GB"/>
        </w:rPr>
        <w:t>Noise</w:t>
      </w:r>
      <w:r w:rsidRPr="00A90EA8">
        <w:rPr>
          <w:lang w:val="en-GB"/>
        </w:rPr>
        <w:t xml:space="preserve"> (GR</w:t>
      </w:r>
      <w:r w:rsidR="00C24477">
        <w:rPr>
          <w:lang w:val="en-GB"/>
        </w:rPr>
        <w:t>B</w:t>
      </w:r>
      <w:r w:rsidRPr="00A90EA8">
        <w:rPr>
          <w:lang w:val="en-GB"/>
        </w:rPr>
        <w:t xml:space="preserve">) at its </w:t>
      </w:r>
      <w:r w:rsidR="00B65E00">
        <w:rPr>
          <w:lang w:val="en-GB"/>
        </w:rPr>
        <w:t>sixty-</w:t>
      </w:r>
      <w:r w:rsidR="00C24477">
        <w:rPr>
          <w:lang w:val="en-GB"/>
        </w:rPr>
        <w:t xml:space="preserve">ninth </w:t>
      </w:r>
      <w:r w:rsidRPr="00A90EA8">
        <w:rPr>
          <w:lang w:val="en-GB"/>
        </w:rPr>
        <w:t xml:space="preserve">session </w:t>
      </w:r>
      <w:r w:rsidR="00C24477">
        <w:rPr>
          <w:lang w:val="en-GB"/>
        </w:rPr>
        <w:t>(</w:t>
      </w:r>
      <w:r w:rsidR="00C24477" w:rsidRPr="00C24477">
        <w:rPr>
          <w:lang w:val="en-GB"/>
        </w:rPr>
        <w:t xml:space="preserve">ECE/TRANS/WP.29/GRB/67, para. </w:t>
      </w:r>
      <w:r w:rsidR="009E0B7E">
        <w:rPr>
          <w:lang w:val="en-GB"/>
        </w:rPr>
        <w:t>7</w:t>
      </w:r>
      <w:r w:rsidR="001943CE">
        <w:rPr>
          <w:bCs/>
          <w:lang w:val="en-US"/>
        </w:rPr>
        <w:t xml:space="preserve">). </w:t>
      </w:r>
      <w:r w:rsidR="009C0725">
        <w:rPr>
          <w:bCs/>
          <w:lang w:val="en-US"/>
        </w:rPr>
        <w:t xml:space="preserve">It is </w:t>
      </w:r>
      <w:r w:rsidR="009C0725" w:rsidRPr="009C0725">
        <w:rPr>
          <w:bCs/>
          <w:lang w:val="en-US"/>
        </w:rPr>
        <w:t xml:space="preserve">based on </w:t>
      </w:r>
      <w:r w:rsidR="009E0B7E" w:rsidRPr="009E0B7E">
        <w:rPr>
          <w:bCs/>
          <w:lang w:val="en-US"/>
        </w:rPr>
        <w:t>based on ECE/TRANS/WP.29/GRB/2019/8 and ECE/TRANS/WP.29/GRB/2019/9</w:t>
      </w:r>
      <w:r w:rsidR="00013E82">
        <w:rPr>
          <w:bCs/>
          <w:lang w:val="en-US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DA2C71">
        <w:rPr>
          <w:lang w:val="en-GB"/>
        </w:rPr>
        <w:t>June</w:t>
      </w:r>
      <w:r w:rsidR="000A2C0C">
        <w:rPr>
          <w:lang w:val="en-GB"/>
        </w:rPr>
        <w:t xml:space="preserve"> 201</w:t>
      </w:r>
      <w:r w:rsidR="00C87753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14:paraId="0E3897A7" w14:textId="77777777"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14:paraId="2C1E8FAD" w14:textId="77777777" w:rsidR="00172DFB" w:rsidRDefault="00172DFB" w:rsidP="00172DFB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="009E0B7E">
        <w:rPr>
          <w:lang w:val="en-GB" w:eastAsia="ar-SA"/>
        </w:rPr>
        <w:t>C</w:t>
      </w:r>
      <w:r w:rsidR="009E0B7E" w:rsidRPr="009E0B7E">
        <w:rPr>
          <w:lang w:val="en-GB" w:eastAsia="ar-SA"/>
        </w:rPr>
        <w:t>orrigendum to Supplement 4 to the 03 series of amendments to UN Regulation No. 51 (Noise of M and N categories of vehicles)</w:t>
      </w:r>
    </w:p>
    <w:p w14:paraId="2B7AA78E" w14:textId="77777777" w:rsidR="009E0B7E" w:rsidRDefault="009E0B7E" w:rsidP="009E0B7E">
      <w:pPr>
        <w:spacing w:before="120" w:after="120"/>
        <w:ind w:left="2268" w:right="1134" w:hanging="1134"/>
        <w:jc w:val="both"/>
        <w:rPr>
          <w:i/>
          <w:lang w:val="en-US"/>
        </w:rPr>
      </w:pPr>
      <w:r>
        <w:rPr>
          <w:i/>
          <w:lang w:val="en-US"/>
        </w:rPr>
        <w:t xml:space="preserve">Annex 3, </w:t>
      </w:r>
    </w:p>
    <w:p w14:paraId="1B7AC5E9" w14:textId="77777777" w:rsidR="009E0B7E" w:rsidRDefault="009E0B7E" w:rsidP="00816D35">
      <w:pPr>
        <w:spacing w:before="120" w:after="120"/>
        <w:ind w:left="1134" w:right="1134"/>
        <w:jc w:val="both"/>
        <w:rPr>
          <w:b/>
          <w:lang w:val="en-US"/>
        </w:rPr>
      </w:pPr>
      <w:r>
        <w:rPr>
          <w:i/>
          <w:lang w:val="en-US"/>
        </w:rPr>
        <w:t xml:space="preserve">Paragraph 3.1.2.1., </w:t>
      </w:r>
      <w:r w:rsidR="00816D35">
        <w:rPr>
          <w:i/>
          <w:lang w:val="en-US"/>
        </w:rPr>
        <w:t xml:space="preserve">last indent, </w:t>
      </w:r>
      <w:r w:rsidR="00816D35">
        <w:rPr>
          <w:iCs/>
          <w:lang w:val="en-US"/>
        </w:rPr>
        <w:t>replace "</w:t>
      </w:r>
      <w:r w:rsidR="00816D35" w:rsidRPr="00816D35">
        <w:rPr>
          <w:lang w:val="en-US"/>
        </w:rPr>
        <w:t>3.1.2.1.4.</w:t>
      </w:r>
      <w:proofErr w:type="gramStart"/>
      <w:r w:rsidR="00816D35" w:rsidRPr="00816D35">
        <w:rPr>
          <w:lang w:val="en-US"/>
        </w:rPr>
        <w:t>1.(</w:t>
      </w:r>
      <w:proofErr w:type="gramEnd"/>
      <w:r w:rsidR="00816D35" w:rsidRPr="00816D35">
        <w:rPr>
          <w:lang w:val="en-US"/>
        </w:rPr>
        <w:t>e) of Annex 3</w:t>
      </w:r>
      <w:r w:rsidR="00816D35">
        <w:rPr>
          <w:lang w:val="en-US"/>
        </w:rPr>
        <w:t>" with "</w:t>
      </w:r>
      <w:r w:rsidR="00816D35" w:rsidRPr="00816D35">
        <w:rPr>
          <w:lang w:val="en-US"/>
        </w:rPr>
        <w:t>3.1.2.1.4.1.(d) of Annex 3</w:t>
      </w:r>
      <w:r w:rsidR="00816D35">
        <w:rPr>
          <w:lang w:val="en-US"/>
        </w:rPr>
        <w:t>".</w:t>
      </w:r>
    </w:p>
    <w:p w14:paraId="50072E85" w14:textId="77777777" w:rsidR="009E0B7E" w:rsidRDefault="009E0B7E" w:rsidP="009E0B7E">
      <w:pPr>
        <w:pStyle w:val="SingleTxtG"/>
        <w:ind w:right="283"/>
        <w:rPr>
          <w:lang w:val="en-GB"/>
        </w:rPr>
      </w:pPr>
      <w:r w:rsidRPr="009E0B7E">
        <w:rPr>
          <w:i/>
          <w:lang w:val="en-US"/>
        </w:rPr>
        <w:t>Paragraph 3.1.2.1.4.2.,</w:t>
      </w:r>
      <w:r w:rsidRPr="009E0B7E">
        <w:rPr>
          <w:lang w:val="en-US"/>
        </w:rPr>
        <w:t xml:space="preserve"> amend to read:</w:t>
      </w:r>
    </w:p>
    <w:p w14:paraId="3E908AF8" w14:textId="77777777" w:rsidR="009E0B7E" w:rsidRPr="009E0B7E" w:rsidRDefault="009E0B7E" w:rsidP="009E0B7E">
      <w:pPr>
        <w:spacing w:after="120"/>
        <w:ind w:left="2268" w:right="1134" w:hanging="1134"/>
        <w:jc w:val="both"/>
        <w:rPr>
          <w:lang w:val="en-US"/>
        </w:rPr>
      </w:pPr>
      <w:r w:rsidRPr="009E0B7E">
        <w:rPr>
          <w:lang w:val="en-US"/>
        </w:rPr>
        <w:t xml:space="preserve">"3.1.2.1.4.2. </w:t>
      </w:r>
      <w:r w:rsidRPr="009E0B7E">
        <w:rPr>
          <w:lang w:val="en-US"/>
        </w:rPr>
        <w:tab/>
        <w:t>Vehicles with automatic transmission, adaptive transmissions and CVTs tested with non-locked gear ratios:</w:t>
      </w:r>
    </w:p>
    <w:p w14:paraId="4A302017" w14:textId="77777777" w:rsidR="009E0B7E" w:rsidRPr="009E0B7E" w:rsidRDefault="009E0B7E" w:rsidP="009E0B7E">
      <w:pPr>
        <w:tabs>
          <w:tab w:val="left" w:pos="8931"/>
        </w:tabs>
        <w:suppressAutoHyphens w:val="0"/>
        <w:spacing w:after="120"/>
        <w:ind w:left="2268" w:right="1134" w:hanging="1134"/>
        <w:jc w:val="both"/>
        <w:rPr>
          <w:snapToGrid w:val="0"/>
          <w:lang w:val="en-US"/>
        </w:rPr>
      </w:pPr>
      <w:r w:rsidRPr="009E0B7E">
        <w:rPr>
          <w:snapToGrid w:val="0"/>
          <w:lang w:val="en-US"/>
        </w:rPr>
        <w:tab/>
        <w:t xml:space="preserve">The gear selector position for </w:t>
      </w:r>
      <w:proofErr w:type="gramStart"/>
      <w:r w:rsidRPr="009E0B7E">
        <w:rPr>
          <w:snapToGrid w:val="0"/>
          <w:lang w:val="en-US"/>
        </w:rPr>
        <w:t>full</w:t>
      </w:r>
      <w:proofErr w:type="gramEnd"/>
      <w:r w:rsidRPr="009E0B7E">
        <w:rPr>
          <w:snapToGrid w:val="0"/>
          <w:lang w:val="en-US"/>
        </w:rPr>
        <w:t xml:space="preserve"> automatic operation shall be used.</w:t>
      </w:r>
    </w:p>
    <w:p w14:paraId="334BDD96" w14:textId="77777777" w:rsidR="009E0B7E" w:rsidRPr="009E0B7E" w:rsidRDefault="009E0B7E" w:rsidP="009E0B7E">
      <w:pPr>
        <w:tabs>
          <w:tab w:val="left" w:pos="8931"/>
        </w:tabs>
        <w:suppressAutoHyphens w:val="0"/>
        <w:spacing w:after="120"/>
        <w:ind w:left="2268" w:right="1134" w:hanging="1134"/>
        <w:jc w:val="both"/>
        <w:rPr>
          <w:snapToGrid w:val="0"/>
          <w:lang w:val="en-US"/>
        </w:rPr>
      </w:pPr>
      <w:r w:rsidRPr="009E0B7E">
        <w:rPr>
          <w:snapToGrid w:val="0"/>
          <w:lang w:val="en-US"/>
        </w:rPr>
        <w:tab/>
        <w:t xml:space="preserve">The acceleration value </w:t>
      </w:r>
      <w:proofErr w:type="spellStart"/>
      <w:r w:rsidRPr="009E0B7E">
        <w:rPr>
          <w:snapToGrid w:val="0"/>
          <w:lang w:val="en-US"/>
        </w:rPr>
        <w:t>a</w:t>
      </w:r>
      <w:r w:rsidRPr="009E0B7E">
        <w:rPr>
          <w:snapToGrid w:val="0"/>
          <w:vertAlign w:val="subscript"/>
          <w:lang w:val="en-US"/>
        </w:rPr>
        <w:t>wot</w:t>
      </w:r>
      <w:proofErr w:type="spellEnd"/>
      <w:r w:rsidRPr="009E0B7E">
        <w:rPr>
          <w:b/>
          <w:snapToGrid w:val="0"/>
          <w:vertAlign w:val="subscript"/>
          <w:lang w:val="en-US"/>
        </w:rPr>
        <w:t xml:space="preserve"> test</w:t>
      </w:r>
      <w:r w:rsidRPr="009E0B7E">
        <w:rPr>
          <w:snapToGrid w:val="0"/>
          <w:lang w:val="en-US"/>
        </w:rPr>
        <w:t xml:space="preserve"> shall be calculated as defined in paragraph 3.1.2.1.2.2.</w:t>
      </w:r>
    </w:p>
    <w:p w14:paraId="0080850F" w14:textId="77777777" w:rsidR="009E0B7E" w:rsidRPr="009E0B7E" w:rsidRDefault="009E0B7E" w:rsidP="009E0B7E">
      <w:pPr>
        <w:tabs>
          <w:tab w:val="left" w:pos="8931"/>
        </w:tabs>
        <w:suppressAutoHyphens w:val="0"/>
        <w:spacing w:after="120"/>
        <w:ind w:left="2268" w:right="1134" w:hanging="1134"/>
        <w:jc w:val="both"/>
        <w:rPr>
          <w:snapToGrid w:val="0"/>
          <w:lang w:val="en-US"/>
        </w:rPr>
      </w:pPr>
      <w:r w:rsidRPr="009E0B7E">
        <w:rPr>
          <w:snapToGrid w:val="0"/>
          <w:lang w:val="en-US"/>
        </w:rPr>
        <w:tab/>
        <w:t>The test may then include a gear change to a lower range and a higher acceleration. A gear change to a higher range and a lower acceleration is not allowed. A gear shifting to a gear ratio which is not used in urban traffic shall be avoided.</w:t>
      </w:r>
    </w:p>
    <w:p w14:paraId="5D7D4173" w14:textId="77777777" w:rsidR="009E0B7E" w:rsidRPr="009E0B7E" w:rsidRDefault="009E0B7E" w:rsidP="009E0B7E">
      <w:pPr>
        <w:spacing w:before="120" w:after="120"/>
        <w:ind w:left="2268" w:right="1134"/>
        <w:jc w:val="both"/>
        <w:rPr>
          <w:lang w:val="en-US"/>
        </w:rPr>
      </w:pPr>
      <w:r w:rsidRPr="009E0B7E">
        <w:rPr>
          <w:lang w:val="en-US"/>
        </w:rPr>
        <w:t>Therefore, it is permitted to establish and use electronic or mechanical devices, including alternate gear selector positions, to prevent a downshift to a gear ratio which is typically not used for the specified test condition in urban traffic.</w:t>
      </w:r>
    </w:p>
    <w:p w14:paraId="2944D10A" w14:textId="77777777" w:rsidR="009E0B7E" w:rsidRPr="00816D35" w:rsidRDefault="009E0B7E" w:rsidP="009E0B7E">
      <w:pPr>
        <w:spacing w:before="120" w:after="120"/>
        <w:ind w:left="2268" w:right="1134"/>
        <w:jc w:val="both"/>
        <w:rPr>
          <w:bCs/>
          <w:lang w:val="en-US"/>
        </w:rPr>
      </w:pPr>
      <w:r w:rsidRPr="00816D35">
        <w:rPr>
          <w:bCs/>
          <w:lang w:val="en-US"/>
        </w:rPr>
        <w:t xml:space="preserve">The achieved acceleration </w:t>
      </w:r>
      <w:proofErr w:type="spellStart"/>
      <w:r w:rsidRPr="00816D35">
        <w:rPr>
          <w:bCs/>
          <w:lang w:val="en-US"/>
        </w:rPr>
        <w:t>a</w:t>
      </w:r>
      <w:r w:rsidRPr="00816D35">
        <w:rPr>
          <w:bCs/>
          <w:vertAlign w:val="subscript"/>
          <w:lang w:val="en-US"/>
        </w:rPr>
        <w:t>wot</w:t>
      </w:r>
      <w:proofErr w:type="spellEnd"/>
      <w:r w:rsidRPr="00816D35">
        <w:rPr>
          <w:bCs/>
          <w:vertAlign w:val="subscript"/>
          <w:lang w:val="en-US"/>
        </w:rPr>
        <w:t xml:space="preserve"> test </w:t>
      </w:r>
      <w:r w:rsidRPr="00816D35">
        <w:rPr>
          <w:bCs/>
          <w:lang w:val="en-US"/>
        </w:rPr>
        <w:t xml:space="preserve">shall be greater than or equal to </w:t>
      </w:r>
      <w:proofErr w:type="spellStart"/>
      <w:r w:rsidRPr="00816D35">
        <w:rPr>
          <w:bCs/>
          <w:lang w:val="en-US"/>
        </w:rPr>
        <w:t>a</w:t>
      </w:r>
      <w:r w:rsidRPr="00816D35">
        <w:rPr>
          <w:bCs/>
          <w:vertAlign w:val="subscript"/>
          <w:lang w:val="en-US"/>
        </w:rPr>
        <w:t>urban</w:t>
      </w:r>
      <w:proofErr w:type="spellEnd"/>
      <w:r w:rsidRPr="00816D35">
        <w:rPr>
          <w:bCs/>
          <w:lang w:val="en-US"/>
        </w:rPr>
        <w:t>.</w:t>
      </w:r>
    </w:p>
    <w:p w14:paraId="50144007" w14:textId="77777777" w:rsidR="009E0B7E" w:rsidRPr="009E0B7E" w:rsidRDefault="009E0B7E" w:rsidP="009E0B7E">
      <w:pPr>
        <w:spacing w:before="120" w:after="120"/>
        <w:ind w:left="2268" w:right="1134"/>
        <w:jc w:val="both"/>
        <w:rPr>
          <w:lang w:val="en-US"/>
        </w:rPr>
      </w:pPr>
      <w:r w:rsidRPr="009E0B7E">
        <w:rPr>
          <w:lang w:val="en-US"/>
        </w:rPr>
        <w:t xml:space="preserve">If possible, the manufacturer shall take measures to avoid an acceleration value </w:t>
      </w:r>
      <w:proofErr w:type="spellStart"/>
      <w:r w:rsidRPr="009E0B7E">
        <w:rPr>
          <w:lang w:val="en-US"/>
        </w:rPr>
        <w:t>a</w:t>
      </w:r>
      <w:r w:rsidRPr="009E0B7E">
        <w:rPr>
          <w:vertAlign w:val="subscript"/>
          <w:lang w:val="en-US"/>
        </w:rPr>
        <w:t>wot</w:t>
      </w:r>
      <w:proofErr w:type="spellEnd"/>
      <w:r w:rsidRPr="009E0B7E">
        <w:rPr>
          <w:vertAlign w:val="subscript"/>
          <w:lang w:val="en-US"/>
        </w:rPr>
        <w:t xml:space="preserve"> test</w:t>
      </w:r>
      <w:r w:rsidRPr="009E0B7E">
        <w:rPr>
          <w:lang w:val="en-US"/>
        </w:rPr>
        <w:t xml:space="preserve"> greater than 2.0 m/s².</w:t>
      </w:r>
    </w:p>
    <w:p w14:paraId="33E92CC1" w14:textId="77777777" w:rsidR="009E0B7E" w:rsidRPr="009E0B7E" w:rsidRDefault="009E0B7E" w:rsidP="009E0B7E">
      <w:pPr>
        <w:spacing w:after="120"/>
        <w:ind w:left="2268" w:right="1134"/>
        <w:jc w:val="both"/>
        <w:rPr>
          <w:lang w:val="en-US"/>
        </w:rPr>
      </w:pPr>
      <w:r w:rsidRPr="009E0B7E">
        <w:rPr>
          <w:lang w:val="en-US"/>
        </w:rPr>
        <w:t xml:space="preserve">Table 1 in Appendix to Annex 3 provides examples for valid measures to control the downshift of gears or to avoid accelerations beyond 2.0 m/s². Any measure used by manufacturer for the above-mentioned purposes shall be documented in the test report. </w:t>
      </w:r>
    </w:p>
    <w:p w14:paraId="1366A449" w14:textId="77777777" w:rsidR="009E0B7E" w:rsidRPr="009E0B7E" w:rsidRDefault="009E0B7E" w:rsidP="009E0B7E">
      <w:pPr>
        <w:tabs>
          <w:tab w:val="left" w:pos="8931"/>
        </w:tabs>
        <w:suppressAutoHyphens w:val="0"/>
        <w:spacing w:after="120"/>
        <w:ind w:left="2268" w:right="1134" w:hanging="1134"/>
        <w:jc w:val="both"/>
        <w:rPr>
          <w:i/>
          <w:lang w:val="en-US"/>
        </w:rPr>
      </w:pPr>
      <w:r w:rsidRPr="009E0B7E">
        <w:rPr>
          <w:bCs/>
          <w:lang w:val="en-US"/>
        </w:rPr>
        <w:tab/>
      </w:r>
      <w:bookmarkStart w:id="1" w:name="_Hlk529320610"/>
      <w:r w:rsidRPr="009E0B7E">
        <w:rPr>
          <w:snapToGrid w:val="0"/>
          <w:lang w:val="en-US"/>
        </w:rPr>
        <w:t xml:space="preserve">The achieved acceleration </w:t>
      </w:r>
      <w:proofErr w:type="spellStart"/>
      <w:r w:rsidRPr="009E0B7E">
        <w:rPr>
          <w:snapToGrid w:val="0"/>
          <w:lang w:val="en-US"/>
        </w:rPr>
        <w:t>a</w:t>
      </w:r>
      <w:r w:rsidRPr="009E0B7E">
        <w:rPr>
          <w:snapToGrid w:val="0"/>
          <w:vertAlign w:val="subscript"/>
          <w:lang w:val="en-US"/>
        </w:rPr>
        <w:t>wot</w:t>
      </w:r>
      <w:proofErr w:type="spellEnd"/>
      <w:r w:rsidRPr="009E0B7E">
        <w:rPr>
          <w:snapToGrid w:val="0"/>
          <w:vertAlign w:val="subscript"/>
          <w:lang w:val="en-US"/>
        </w:rPr>
        <w:t xml:space="preserve"> test</w:t>
      </w:r>
      <w:r w:rsidRPr="009E0B7E">
        <w:rPr>
          <w:snapToGrid w:val="0"/>
          <w:lang w:val="en-US"/>
        </w:rPr>
        <w:t xml:space="preserve"> is then used for the calculation of the partial power factor </w:t>
      </w:r>
      <w:proofErr w:type="spellStart"/>
      <w:r w:rsidRPr="009E0B7E">
        <w:rPr>
          <w:snapToGrid w:val="0"/>
          <w:lang w:val="en-US"/>
        </w:rPr>
        <w:t>k</w:t>
      </w:r>
      <w:r w:rsidRPr="009E0B7E">
        <w:rPr>
          <w:snapToGrid w:val="0"/>
          <w:vertAlign w:val="subscript"/>
          <w:lang w:val="en-US"/>
        </w:rPr>
        <w:t>p</w:t>
      </w:r>
      <w:proofErr w:type="spellEnd"/>
      <w:r w:rsidRPr="009E0B7E">
        <w:rPr>
          <w:snapToGrid w:val="0"/>
          <w:lang w:val="en-US"/>
        </w:rPr>
        <w:t xml:space="preserve"> (see paragraph 3.1.2.1.3.) instead </w:t>
      </w:r>
      <w:proofErr w:type="spellStart"/>
      <w:r w:rsidRPr="009E0B7E">
        <w:rPr>
          <w:snapToGrid w:val="0"/>
          <w:lang w:val="en-US"/>
        </w:rPr>
        <w:t>a</w:t>
      </w:r>
      <w:r w:rsidRPr="009E0B7E">
        <w:rPr>
          <w:snapToGrid w:val="0"/>
          <w:vertAlign w:val="subscript"/>
          <w:lang w:val="en-US"/>
        </w:rPr>
        <w:t>wot</w:t>
      </w:r>
      <w:proofErr w:type="spellEnd"/>
      <w:r w:rsidRPr="009E0B7E">
        <w:rPr>
          <w:snapToGrid w:val="0"/>
          <w:vertAlign w:val="subscript"/>
          <w:lang w:val="en-US"/>
        </w:rPr>
        <w:t xml:space="preserve"> ref</w:t>
      </w:r>
      <w:r w:rsidRPr="009E0B7E">
        <w:rPr>
          <w:snapToGrid w:val="0"/>
          <w:lang w:val="en-US"/>
        </w:rPr>
        <w:t>.</w:t>
      </w:r>
      <w:bookmarkEnd w:id="1"/>
      <w:r w:rsidRPr="009E0B7E">
        <w:rPr>
          <w:snapToGrid w:val="0"/>
          <w:lang w:val="en-US"/>
        </w:rPr>
        <w:t>"</w:t>
      </w:r>
    </w:p>
    <w:p w14:paraId="63B93286" w14:textId="77777777"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EDFA" w14:textId="77777777" w:rsidR="00434D73" w:rsidRDefault="00434D73"/>
  </w:endnote>
  <w:endnote w:type="continuationSeparator" w:id="0">
    <w:p w14:paraId="7095314F" w14:textId="77777777" w:rsidR="00434D73" w:rsidRDefault="00434D73"/>
  </w:endnote>
  <w:endnote w:type="continuationNotice" w:id="1">
    <w:p w14:paraId="39ABE4E0" w14:textId="77777777"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F3A7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C393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602D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439C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10D187C6" w14:textId="77777777"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534F3" w14:textId="77777777"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F8E4E0" w14:textId="77777777"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52EF9C8E" w14:textId="77777777" w:rsidR="00434D73" w:rsidRDefault="00434D73"/>
  </w:footnote>
  <w:footnote w:id="2">
    <w:p w14:paraId="3C01A89B" w14:textId="77777777"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 xml:space="preserve">egulations </w:t>
      </w:r>
      <w:proofErr w:type="gramStart"/>
      <w:r w:rsidR="00B15178" w:rsidRPr="00B15178">
        <w:rPr>
          <w:szCs w:val="18"/>
          <w:lang w:val="en-US"/>
        </w:rPr>
        <w:t>in order to</w:t>
      </w:r>
      <w:proofErr w:type="gramEnd"/>
      <w:r w:rsidR="00B15178" w:rsidRPr="00B15178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BBA7" w14:textId="77777777" w:rsidR="0017484D" w:rsidRDefault="00F804D4" w:rsidP="00E508D1">
    <w:pPr>
      <w:pStyle w:val="Header"/>
    </w:pPr>
    <w:r w:rsidRPr="00B15178">
      <w:rPr>
        <w:lang w:val="en-US"/>
      </w:rPr>
      <w:t>ECE/TRANS/WP.29/201</w:t>
    </w:r>
    <w:r w:rsidR="009C78AF">
      <w:rPr>
        <w:lang w:val="en-US"/>
      </w:rPr>
      <w:t>9</w:t>
    </w:r>
    <w:r w:rsidR="00434D73" w:rsidRPr="00B15178">
      <w:rPr>
        <w:lang w:val="en-US"/>
      </w:rPr>
      <w:t>/</w:t>
    </w:r>
    <w:r w:rsidR="00C24477">
      <w:rPr>
        <w:lang w:val="en-US"/>
      </w:rPr>
      <w:t>5</w:t>
    </w:r>
    <w:r w:rsidR="009E0B7E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1F66" w14:textId="77777777"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56333">
      <w:rPr>
        <w:lang w:val="en-US"/>
      </w:rPr>
      <w:t>9</w:t>
    </w:r>
    <w:r>
      <w:rPr>
        <w:lang w:val="en-US"/>
      </w:rPr>
      <w:t>/</w:t>
    </w:r>
    <w:r w:rsidR="00C24477">
      <w:rPr>
        <w:lang w:val="en-US"/>
      </w:rPr>
      <w:t>5</w:t>
    </w:r>
    <w:r w:rsidR="009E0B7E">
      <w:rPr>
        <w:lang w:val="en-US"/>
      </w:rPr>
      <w:t>1</w:t>
    </w:r>
  </w:p>
  <w:p w14:paraId="0B245BA2" w14:textId="77777777"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3E82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3DC9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943CE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105C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3312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B87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2A0F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765E9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5671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12C9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087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2847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1A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330A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9F0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1EB4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49F2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13C0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57EB"/>
    <w:rsid w:val="007B612A"/>
    <w:rsid w:val="007B6C25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AC6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D35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B7A82"/>
    <w:rsid w:val="008C2181"/>
    <w:rsid w:val="008C3758"/>
    <w:rsid w:val="008C39AC"/>
    <w:rsid w:val="008C3E86"/>
    <w:rsid w:val="008C52FB"/>
    <w:rsid w:val="008C726C"/>
    <w:rsid w:val="008C750E"/>
    <w:rsid w:val="008D0696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172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4A12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725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0B7E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5123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6333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E00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1E67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477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9EF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24F3"/>
    <w:rsid w:val="00C833D7"/>
    <w:rsid w:val="00C83515"/>
    <w:rsid w:val="00C8410B"/>
    <w:rsid w:val="00C86F0C"/>
    <w:rsid w:val="00C87753"/>
    <w:rsid w:val="00C8792D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57FB3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2C71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6CE6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31B"/>
    <w:rsid w:val="00E46429"/>
    <w:rsid w:val="00E467D9"/>
    <w:rsid w:val="00E508D1"/>
    <w:rsid w:val="00E54854"/>
    <w:rsid w:val="00E54CEE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4793C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."/>
  <w:listSeparator w:val=","/>
  <w14:docId w14:val="7C2127F7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Fußnotentext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Fußnotentext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"/>
    <w:locked/>
    <w:rsid w:val="00930172"/>
    <w:rPr>
      <w:sz w:val="18"/>
      <w:lang w:val="en-GB" w:eastAsia="en-US" w:bidi="ar-SA"/>
    </w:rPr>
  </w:style>
  <w:style w:type="table" w:customStyle="1" w:styleId="Grilledutableau1">
    <w:name w:val="Grille du tableau1"/>
    <w:basedOn w:val="TableNormal"/>
    <w:next w:val="TableGrid"/>
    <w:uiPriority w:val="59"/>
    <w:rsid w:val="00194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582A-7B20-4858-A018-D514E970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406</Words>
  <Characters>2218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8</cp:revision>
  <cp:lastPrinted>2019-04-11T11:56:00Z</cp:lastPrinted>
  <dcterms:created xsi:type="dcterms:W3CDTF">2019-04-09T15:32:00Z</dcterms:created>
  <dcterms:modified xsi:type="dcterms:W3CDTF">2019-04-11T11:58:00Z</dcterms:modified>
</cp:coreProperties>
</file>