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3BB581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0E87D06" w14:textId="77777777" w:rsidR="00F35BAF" w:rsidRPr="00DB58B5" w:rsidRDefault="00F35BAF" w:rsidP="00B043F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211190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FB3209" w14:textId="77777777" w:rsidR="00F35BAF" w:rsidRPr="00DB58B5" w:rsidRDefault="00B043F4" w:rsidP="00B043F4">
            <w:pPr>
              <w:jc w:val="right"/>
            </w:pPr>
            <w:r w:rsidRPr="00B043F4">
              <w:rPr>
                <w:sz w:val="40"/>
              </w:rPr>
              <w:t>ECE</w:t>
            </w:r>
            <w:r>
              <w:t>/TRANS/WP.29/2019/2</w:t>
            </w:r>
          </w:p>
        </w:tc>
      </w:tr>
      <w:tr w:rsidR="00F35BAF" w:rsidRPr="00DB58B5" w14:paraId="5DF7643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52F358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13D21A3D" wp14:editId="7E455DD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249D4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B1CF82" w14:textId="77777777" w:rsidR="00F35BAF" w:rsidRDefault="00B043F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0272829A" w14:textId="77777777" w:rsidR="00B043F4" w:rsidRDefault="00B043F4" w:rsidP="00B043F4">
            <w:pPr>
              <w:spacing w:line="240" w:lineRule="exact"/>
            </w:pPr>
            <w:r>
              <w:t>21 décembre 2018</w:t>
            </w:r>
          </w:p>
          <w:p w14:paraId="7E08EF49" w14:textId="77777777" w:rsidR="00B043F4" w:rsidRDefault="00B043F4" w:rsidP="00B043F4">
            <w:pPr>
              <w:spacing w:line="240" w:lineRule="exact"/>
            </w:pPr>
            <w:r>
              <w:t>Français</w:t>
            </w:r>
          </w:p>
          <w:p w14:paraId="37D0BD35" w14:textId="77777777" w:rsidR="00B043F4" w:rsidRPr="00DB58B5" w:rsidRDefault="00B043F4" w:rsidP="00B043F4">
            <w:pPr>
              <w:spacing w:line="240" w:lineRule="exact"/>
            </w:pPr>
            <w:r>
              <w:t>Original</w:t>
            </w:r>
            <w:r w:rsidR="0091316C">
              <w:t> :</w:t>
            </w:r>
            <w:r>
              <w:t xml:space="preserve"> anglais</w:t>
            </w:r>
          </w:p>
        </w:tc>
      </w:tr>
    </w:tbl>
    <w:p w14:paraId="76CC29C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16CBAE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34AD529" w14:textId="77777777" w:rsidR="00B043F4" w:rsidRDefault="00B043F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 w:rsidR="009131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8E043F0" w14:textId="77777777" w:rsidR="00B043F4" w:rsidRDefault="00B043F4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B043F4">
        <w:rPr>
          <w:b/>
          <w:vertAlign w:val="superscript"/>
        </w:rPr>
        <w:t>e</w:t>
      </w:r>
      <w:r>
        <w:rPr>
          <w:b/>
        </w:rPr>
        <w:t> session</w:t>
      </w:r>
    </w:p>
    <w:p w14:paraId="0E9B10F4" w14:textId="77777777" w:rsidR="00C60B5E" w:rsidRPr="00D14055" w:rsidRDefault="009406A3" w:rsidP="00B043F4">
      <w:r w:rsidRPr="00D14055">
        <w:t>Genève, 12-15 mars 2019</w:t>
      </w:r>
    </w:p>
    <w:p w14:paraId="6DE60E0B" w14:textId="77777777" w:rsidR="00C60B5E" w:rsidRPr="00B043F4" w:rsidRDefault="009406A3" w:rsidP="00B043F4">
      <w:pPr>
        <w:rPr>
          <w:b/>
          <w:bCs/>
        </w:rPr>
      </w:pPr>
      <w:r w:rsidRPr="00B043F4">
        <w:t>Points 2.3 et 17 de l’ordre du jour provisoire</w:t>
      </w:r>
      <w:r w:rsidR="0091316C">
        <w:t xml:space="preserve"> </w:t>
      </w:r>
      <w:r w:rsidRPr="00B043F4">
        <w:br/>
      </w:r>
      <w:r w:rsidRPr="00B043F4">
        <w:rPr>
          <w:b/>
          <w:bCs/>
        </w:rPr>
        <w:t>Coordination et organisation des travaux</w:t>
      </w:r>
      <w:r w:rsidR="0091316C">
        <w:rPr>
          <w:b/>
          <w:bCs/>
        </w:rPr>
        <w:t> </w:t>
      </w:r>
      <w:r w:rsidRPr="00B043F4">
        <w:rPr>
          <w:b/>
          <w:bCs/>
        </w:rPr>
        <w:t>:</w:t>
      </w:r>
      <w:r w:rsidR="0091316C">
        <w:rPr>
          <w:b/>
          <w:bCs/>
        </w:rPr>
        <w:t xml:space="preserve"> </w:t>
      </w:r>
      <w:r w:rsidRPr="00B043F4">
        <w:rPr>
          <w:b/>
          <w:bCs/>
        </w:rPr>
        <w:br/>
        <w:t>Systèmes de transport intelligents et coordination</w:t>
      </w:r>
      <w:r w:rsidR="0091316C">
        <w:rPr>
          <w:b/>
          <w:bCs/>
        </w:rPr>
        <w:t xml:space="preserve"> </w:t>
      </w:r>
      <w:r w:rsidRPr="00B043F4">
        <w:rPr>
          <w:b/>
          <w:bCs/>
        </w:rPr>
        <w:br/>
        <w:t>des activités relatives aux véhicules automatisés</w:t>
      </w:r>
    </w:p>
    <w:p w14:paraId="2DB5BF0C" w14:textId="77777777" w:rsidR="00C60B5E" w:rsidRPr="00B043F4" w:rsidRDefault="009406A3" w:rsidP="009204B7">
      <w:pPr>
        <w:pStyle w:val="HChG"/>
      </w:pPr>
      <w:r w:rsidRPr="00B043F4">
        <w:tab/>
      </w:r>
      <w:r w:rsidRPr="00B043F4">
        <w:tab/>
        <w:t xml:space="preserve">Questions prioritaires pour les véhicules automatisés </w:t>
      </w:r>
      <w:r w:rsidR="008D33E7">
        <w:br/>
      </w:r>
      <w:r w:rsidRPr="00B043F4">
        <w:t>et connectés (basées sur le document WP.29-176-28)</w:t>
      </w:r>
      <w:r w:rsidR="008D33E7" w:rsidRPr="008D33E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06EFD5C" w14:textId="77777777" w:rsidR="00C60B5E" w:rsidRPr="00B043F4" w:rsidRDefault="009406A3" w:rsidP="009204B7">
      <w:pPr>
        <w:pStyle w:val="H1G"/>
      </w:pPr>
      <w:r w:rsidRPr="00B043F4">
        <w:tab/>
      </w:r>
      <w:r w:rsidRPr="00B043F4">
        <w:tab/>
        <w:t>Note du secrétariat</w:t>
      </w:r>
    </w:p>
    <w:p w14:paraId="2CFA8FA2" w14:textId="77777777" w:rsidR="009204B7" w:rsidRDefault="009406A3" w:rsidP="009204B7">
      <w:pPr>
        <w:pStyle w:val="SingleTxtG"/>
        <w:ind w:firstLine="567"/>
      </w:pPr>
      <w:r w:rsidRPr="00B043F4">
        <w:t xml:space="preserve">Le texte ci-après, établi par le secrétariat, s’appuie sur le document informel WP.29-176-28 et fait suite à une conférence en ligne tenue le 19 décembre 2018 qui avait pour but </w:t>
      </w:r>
      <w:proofErr w:type="gramStart"/>
      <w:r w:rsidRPr="00B043F4">
        <w:t>de</w:t>
      </w:r>
      <w:proofErr w:type="gramEnd"/>
      <w:r w:rsidRPr="00B043F4">
        <w:t xml:space="preserve"> recueillir des observations concernant le document de base. Il est soumis au Forum mondial de l’harmonisation des Règlements concernant les véhicules (WP.29) pour approbation éventuelle à sa 177</w:t>
      </w:r>
      <w:r w:rsidRPr="00B043F4">
        <w:rPr>
          <w:vertAlign w:val="superscript"/>
        </w:rPr>
        <w:t>e</w:t>
      </w:r>
      <w:r w:rsidRPr="00B043F4">
        <w:t xml:space="preserve"> session en mars 2019. Il est soumis au Groupe de travail des véhicules automatisés/autonomes et connectés (GRVA) pour information et examen à sa deuxième réunion.</w:t>
      </w:r>
    </w:p>
    <w:p w14:paraId="23651232" w14:textId="77777777" w:rsidR="00C60B5E" w:rsidRPr="00B043F4" w:rsidRDefault="009204B7" w:rsidP="009204B7">
      <w:pPr>
        <w:pStyle w:val="HChG"/>
      </w:pPr>
      <w:r>
        <w:br w:type="page"/>
      </w:r>
      <w:r w:rsidR="009406A3" w:rsidRPr="00D14055">
        <w:lastRenderedPageBreak/>
        <w:tab/>
      </w:r>
      <w:r w:rsidR="009406A3" w:rsidRPr="00D14055">
        <w:tab/>
      </w:r>
      <w:r w:rsidR="009406A3" w:rsidRPr="00B043F4">
        <w:t xml:space="preserve">Proposition de définition des priorités de travail du WP.29 </w:t>
      </w:r>
      <w:r w:rsidR="008D33E7">
        <w:br/>
      </w:r>
      <w:r w:rsidR="009406A3" w:rsidRPr="00B043F4">
        <w:t>en lien avec les véhicules automatisés et connectés</w:t>
      </w:r>
    </w:p>
    <w:p w14:paraId="7777C18E" w14:textId="77777777" w:rsidR="00C60B5E" w:rsidRPr="00B043F4" w:rsidRDefault="009406A3" w:rsidP="009204B7">
      <w:pPr>
        <w:pStyle w:val="SingleTxtG"/>
      </w:pPr>
      <w:r w:rsidRPr="00B043F4">
        <w:t>1.</w:t>
      </w:r>
      <w:r w:rsidRPr="00B043F4">
        <w:tab/>
        <w:t>Le tableau ci-dessous met l’accent sur l’automatisation. À la suite de nouvelles considérations du WP.29, des priorités en matière de connectivité des véhicules autres que celles qui concernent la cybersécurité pourraient y être incluses ultérieurement. Le présent document n’aborde pas les mécanismes relevant d’un ou de plusieurs Accords gérés par le WP.29. Le GRVA s’engage à fournir des dispositions techniques qui conviennent à toutes les Parties contractantes.</w:t>
      </w:r>
    </w:p>
    <w:p w14:paraId="48496A08" w14:textId="77777777" w:rsidR="009204B7" w:rsidRDefault="009406A3" w:rsidP="009204B7">
      <w:pPr>
        <w:pStyle w:val="SingleTxtG"/>
      </w:pPr>
      <w:r w:rsidRPr="00B043F4">
        <w:t>2.</w:t>
      </w:r>
      <w:r w:rsidRPr="00B043F4">
        <w:tab/>
        <w:t>Le tableau ci-dessous contient des propositions de priorités de travail pour le WP.29.</w:t>
      </w:r>
    </w:p>
    <w:p w14:paraId="4375A214" w14:textId="77777777" w:rsidR="00F9573C" w:rsidRDefault="009204B7" w:rsidP="00DC794E">
      <w:pPr>
        <w:pStyle w:val="Heading1"/>
        <w:spacing w:after="120"/>
        <w:rPr>
          <w:b/>
          <w:bCs/>
        </w:rPr>
      </w:pPr>
      <w:r>
        <w:br w:type="page"/>
      </w:r>
      <w:r w:rsidRPr="00B63884">
        <w:lastRenderedPageBreak/>
        <w:t>Tableau 1</w:t>
      </w:r>
      <w:r>
        <w:t xml:space="preserve"> </w:t>
      </w:r>
      <w:r>
        <w:br/>
      </w:r>
      <w:r>
        <w:rPr>
          <w:b/>
          <w:bCs/>
        </w:rPr>
        <w:t>P</w:t>
      </w:r>
      <w:r w:rsidRPr="00344E7B">
        <w:rPr>
          <w:b/>
          <w:bCs/>
        </w:rPr>
        <w:t xml:space="preserve">riorités de travail </w:t>
      </w:r>
      <w:r w:rsidRPr="00B63884">
        <w:rPr>
          <w:b/>
          <w:bCs/>
        </w:rPr>
        <w:t xml:space="preserve">en </w:t>
      </w:r>
      <w:r>
        <w:rPr>
          <w:b/>
          <w:bCs/>
        </w:rPr>
        <w:t xml:space="preserve">lien avec les </w:t>
      </w:r>
      <w:r w:rsidRPr="00B63884">
        <w:rPr>
          <w:b/>
          <w:bCs/>
        </w:rPr>
        <w:t>véhicules automatisés et connectés</w:t>
      </w:r>
    </w:p>
    <w:tbl>
      <w:tblPr>
        <w:tblW w:w="0" w:type="auto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562"/>
        <w:gridCol w:w="1417"/>
        <w:gridCol w:w="1418"/>
        <w:gridCol w:w="5244"/>
      </w:tblGrid>
      <w:tr w:rsidR="00F26FBE" w:rsidRPr="00FF47E4" w14:paraId="21EC8D82" w14:textId="77777777" w:rsidTr="0004271F">
        <w:trPr>
          <w:tblHeader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2D7A5B2" w14:textId="77777777" w:rsidR="009204B7" w:rsidRPr="00D54EF1" w:rsidRDefault="009204B7" w:rsidP="00F26FBE">
            <w:pPr>
              <w:spacing w:before="60" w:after="60" w:line="200" w:lineRule="exact"/>
              <w:ind w:left="57" w:right="57"/>
              <w:rPr>
                <w:rFonts w:eastAsia="MS PGothic"/>
                <w:i/>
                <w:sz w:val="16"/>
                <w:szCs w:val="16"/>
              </w:rPr>
            </w:pPr>
            <w:r w:rsidRPr="00D54EF1">
              <w:rPr>
                <w:rFonts w:eastAsia="MS PGothic"/>
                <w:i/>
                <w:sz w:val="16"/>
                <w:szCs w:val="16"/>
              </w:rPr>
              <w:t>Tit</w:t>
            </w:r>
            <w:r>
              <w:rPr>
                <w:rFonts w:eastAsia="MS PGothic"/>
                <w:i/>
                <w:sz w:val="16"/>
                <w:szCs w:val="16"/>
              </w:rPr>
              <w:t>r</w:t>
            </w:r>
            <w:r w:rsidRPr="00D54EF1">
              <w:rPr>
                <w:rFonts w:eastAsia="MS PGothic"/>
                <w:i/>
                <w:sz w:val="16"/>
                <w:szCs w:val="16"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FC5BA0" w14:textId="77777777" w:rsidR="009204B7" w:rsidRPr="00D54EF1" w:rsidRDefault="009204B7" w:rsidP="00F26FBE">
            <w:pPr>
              <w:spacing w:before="60" w:after="60" w:line="200" w:lineRule="exact"/>
              <w:ind w:left="57" w:right="57"/>
              <w:rPr>
                <w:rFonts w:eastAsia="MS PGothic"/>
                <w:i/>
                <w:sz w:val="16"/>
                <w:szCs w:val="16"/>
              </w:rPr>
            </w:pPr>
            <w:r>
              <w:rPr>
                <w:rFonts w:eastAsia="MS PGothic"/>
                <w:i/>
                <w:sz w:val="16"/>
                <w:szCs w:val="16"/>
              </w:rPr>
              <w:t>Groupe de travail responsable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5411A4" w14:textId="77777777" w:rsidR="009204B7" w:rsidRPr="00D54EF1" w:rsidRDefault="009204B7" w:rsidP="00F26FBE">
            <w:pPr>
              <w:spacing w:before="60" w:after="60" w:line="200" w:lineRule="exact"/>
              <w:ind w:left="57" w:right="57"/>
              <w:rPr>
                <w:rFonts w:eastAsia="MS PGothic"/>
                <w:i/>
                <w:sz w:val="16"/>
                <w:szCs w:val="16"/>
              </w:rPr>
            </w:pPr>
            <w:r>
              <w:rPr>
                <w:rFonts w:eastAsia="MS PGothic"/>
                <w:i/>
                <w:sz w:val="16"/>
                <w:szCs w:val="16"/>
              </w:rPr>
              <w:t>Principales cibles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35BEFB" w14:textId="77777777" w:rsidR="009204B7" w:rsidRPr="00D54EF1" w:rsidRDefault="009204B7" w:rsidP="00F26FBE">
            <w:pPr>
              <w:spacing w:before="60" w:after="60" w:line="200" w:lineRule="exact"/>
              <w:ind w:left="57" w:right="57"/>
              <w:rPr>
                <w:rFonts w:eastAsia="MS PGothic"/>
                <w:i/>
                <w:sz w:val="16"/>
                <w:szCs w:val="16"/>
              </w:rPr>
            </w:pPr>
            <w:r>
              <w:rPr>
                <w:rFonts w:eastAsia="MS PGothic"/>
                <w:i/>
                <w:sz w:val="16"/>
                <w:szCs w:val="16"/>
              </w:rPr>
              <w:t>Observations</w:t>
            </w:r>
          </w:p>
        </w:tc>
      </w:tr>
      <w:tr w:rsidR="00D24C00" w:rsidRPr="00A32EEB" w14:paraId="29119B0E" w14:textId="77777777" w:rsidTr="00585079">
        <w:trPr>
          <w:tblHeader/>
          <w:jc w:val="center"/>
        </w:trPr>
        <w:tc>
          <w:tcPr>
            <w:tcW w:w="15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AFD8467" w14:textId="77777777" w:rsidR="00D24C00" w:rsidRPr="00580629" w:rsidRDefault="00D24C00" w:rsidP="00F26FBE">
            <w:pPr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5C20C8">
              <w:rPr>
                <w:sz w:val="18"/>
                <w:szCs w:val="18"/>
              </w:rPr>
              <w:t xml:space="preserve">Document-cadre sur </w:t>
            </w:r>
            <w:r>
              <w:rPr>
                <w:sz w:val="18"/>
                <w:szCs w:val="18"/>
              </w:rPr>
              <w:t xml:space="preserve">les </w:t>
            </w:r>
            <w:r w:rsidRPr="005C20C8">
              <w:rPr>
                <w:sz w:val="18"/>
                <w:szCs w:val="18"/>
              </w:rPr>
              <w:t>véhicules automatisés/</w:t>
            </w:r>
            <w:r>
              <w:rPr>
                <w:sz w:val="18"/>
                <w:szCs w:val="18"/>
              </w:rPr>
              <w:t xml:space="preserve"> </w:t>
            </w:r>
            <w:r w:rsidRPr="005C20C8">
              <w:rPr>
                <w:sz w:val="18"/>
                <w:szCs w:val="18"/>
              </w:rPr>
              <w:t>autonomes</w:t>
            </w:r>
            <w:r w:rsidR="00956E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CD2488" w14:textId="77777777" w:rsidR="00D24C00" w:rsidRPr="00580629" w:rsidRDefault="00D24C00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580629">
              <w:rPr>
                <w:rFonts w:eastAsia="MS PGothic"/>
                <w:bCs/>
                <w:sz w:val="18"/>
                <w:szCs w:val="18"/>
              </w:rPr>
              <w:t>GRVA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FF4953" w14:textId="77777777" w:rsidR="00D24C00" w:rsidRPr="00580629" w:rsidRDefault="00D24C00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V</w:t>
            </w:r>
            <w:r w:rsidRPr="005C20C8">
              <w:rPr>
                <w:rFonts w:eastAsia="MS PGothic"/>
                <w:bCs/>
                <w:sz w:val="18"/>
                <w:szCs w:val="18"/>
              </w:rPr>
              <w:t>éhicules automatisés/</w:t>
            </w:r>
            <w:r>
              <w:rPr>
                <w:rFonts w:eastAsia="MS PGothic"/>
                <w:bCs/>
                <w:sz w:val="18"/>
                <w:szCs w:val="18"/>
              </w:rPr>
              <w:t xml:space="preserve"> </w:t>
            </w:r>
            <w:r w:rsidRPr="005C20C8">
              <w:rPr>
                <w:rFonts w:eastAsia="MS PGothic"/>
                <w:bCs/>
                <w:sz w:val="18"/>
                <w:szCs w:val="18"/>
              </w:rPr>
              <w:t xml:space="preserve">autonomes 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CDFC6" w14:textId="77777777" w:rsidR="00D24C00" w:rsidRPr="00A32EEB" w:rsidRDefault="00D24C00" w:rsidP="00D24C00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A32EEB">
              <w:rPr>
                <w:rFonts w:eastAsia="MS PGothic"/>
                <w:bCs/>
                <w:sz w:val="18"/>
                <w:szCs w:val="18"/>
              </w:rPr>
              <w:t>Le trava</w:t>
            </w:r>
            <w:r>
              <w:rPr>
                <w:rFonts w:eastAsia="MS PGothic"/>
                <w:bCs/>
                <w:sz w:val="18"/>
                <w:szCs w:val="18"/>
              </w:rPr>
              <w:t xml:space="preserve">il </w:t>
            </w:r>
            <w:r w:rsidRPr="00A32EEB">
              <w:rPr>
                <w:rFonts w:eastAsia="MS PGothic"/>
                <w:bCs/>
                <w:sz w:val="18"/>
                <w:szCs w:val="18"/>
              </w:rPr>
              <w:t xml:space="preserve">dans ce domaine </w:t>
            </w:r>
            <w:r>
              <w:rPr>
                <w:rFonts w:eastAsia="MS PGothic"/>
                <w:bCs/>
                <w:sz w:val="18"/>
                <w:szCs w:val="18"/>
              </w:rPr>
              <w:t>devrait se concentrer sur l’élaboration de principes et de lignes directrices concernant les v</w:t>
            </w:r>
            <w:r w:rsidRPr="00A32EEB">
              <w:rPr>
                <w:rFonts w:eastAsia="MS PGothic"/>
                <w:bCs/>
                <w:sz w:val="18"/>
                <w:szCs w:val="18"/>
              </w:rPr>
              <w:t>éhicules automatisés/ autonomes</w:t>
            </w:r>
            <w:r>
              <w:rPr>
                <w:rFonts w:eastAsia="MS PGothic"/>
                <w:bCs/>
                <w:sz w:val="18"/>
                <w:szCs w:val="18"/>
              </w:rPr>
              <w:t xml:space="preserve"> et surtout leur sécurité.</w:t>
            </w:r>
          </w:p>
        </w:tc>
      </w:tr>
      <w:tr w:rsidR="00D24C00" w:rsidRPr="00A32EEB" w14:paraId="3F6604A1" w14:textId="77777777" w:rsidTr="0004271F">
        <w:trPr>
          <w:tblHeader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 w14:paraId="23761FAF" w14:textId="77777777" w:rsidR="00D24C00" w:rsidRPr="005C20C8" w:rsidRDefault="00D24C00" w:rsidP="00F26FBE">
            <w:pPr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AA4DE0" w14:textId="77777777" w:rsidR="00D24C00" w:rsidRPr="00580629" w:rsidRDefault="00D24C00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7A40EC" w14:textId="77777777" w:rsidR="00D24C00" w:rsidRDefault="00D24C00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8090" w14:textId="77777777" w:rsidR="00D24C00" w:rsidRPr="00A32EEB" w:rsidRDefault="00D24C00" w:rsidP="00585079">
            <w:pPr>
              <w:spacing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A32EEB">
              <w:rPr>
                <w:rFonts w:eastAsia="MS PGothic"/>
                <w:bCs/>
                <w:sz w:val="18"/>
                <w:szCs w:val="18"/>
              </w:rPr>
              <w:t>Il couvre tous les principaux éléments et méthodes d’évaluation.</w:t>
            </w:r>
          </w:p>
        </w:tc>
      </w:tr>
      <w:tr w:rsidR="0004271F" w:rsidRPr="004576F6" w14:paraId="0D97526A" w14:textId="77777777" w:rsidTr="0004271F">
        <w:trPr>
          <w:tblHeader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47CC791E" w14:textId="77777777" w:rsidR="0004271F" w:rsidRPr="00767E53" w:rsidRDefault="0004271F" w:rsidP="008D33E7">
            <w:pPr>
              <w:spacing w:before="60" w:after="60" w:line="220" w:lineRule="exact"/>
              <w:ind w:left="57" w:right="57"/>
              <w:rPr>
                <w:rFonts w:eastAsia="MS PGothic"/>
                <w:sz w:val="18"/>
                <w:szCs w:val="18"/>
              </w:rPr>
            </w:pPr>
            <w:r w:rsidRPr="00767E53">
              <w:rPr>
                <w:rFonts w:eastAsia="MS PGothic"/>
                <w:sz w:val="18"/>
                <w:szCs w:val="18"/>
              </w:rPr>
              <w:t>Prescriptions fonctionnelles applicables aux</w:t>
            </w:r>
            <w:r w:rsidR="008D33E7">
              <w:rPr>
                <w:rFonts w:eastAsia="MS PGothic"/>
                <w:sz w:val="18"/>
                <w:szCs w:val="18"/>
              </w:rPr>
              <w:t> </w:t>
            </w:r>
            <w:r w:rsidRPr="00767E53">
              <w:rPr>
                <w:rFonts w:eastAsia="MS PGothic"/>
                <w:sz w:val="18"/>
                <w:szCs w:val="18"/>
              </w:rPr>
              <w:t xml:space="preserve">véhicules automatisés/ autonomes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4F4B91" w14:textId="77777777" w:rsidR="0004271F" w:rsidRPr="00315086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GRVA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12C116" w14:textId="77777777" w:rsidR="0004271F" w:rsidRPr="00315086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5C20C8">
              <w:rPr>
                <w:rFonts w:eastAsia="MS PGothic"/>
                <w:bCs/>
                <w:sz w:val="18"/>
                <w:szCs w:val="18"/>
              </w:rPr>
              <w:t xml:space="preserve">Véhicules automatisés/ autonomes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62071" w14:textId="77777777" w:rsidR="0004271F" w:rsidRPr="00740EDF" w:rsidRDefault="0004271F" w:rsidP="009E131A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740EDF">
              <w:rPr>
                <w:rFonts w:eastAsia="MS PGothic"/>
                <w:bCs/>
                <w:sz w:val="18"/>
                <w:szCs w:val="18"/>
              </w:rPr>
              <w:t>Le travail dans ce domaine devrait porter sur les</w:t>
            </w:r>
            <w:r w:rsidRPr="00740EDF">
              <w:rPr>
                <w:rFonts w:eastAsia="MS PGothic"/>
                <w:sz w:val="18"/>
                <w:szCs w:val="18"/>
              </w:rPr>
              <w:t xml:space="preserve"> p</w:t>
            </w:r>
            <w:r w:rsidRPr="00740EDF">
              <w:rPr>
                <w:rFonts w:eastAsia="MS PGothic"/>
                <w:bCs/>
                <w:sz w:val="18"/>
                <w:szCs w:val="18"/>
              </w:rPr>
              <w:t>rescriptions fonctionnelles applicables à la combinaison des différentes fonctions liées à la conduite : contrôle longitudinal (accélération, freinage, vitesse sur route), contrôle latéral</w:t>
            </w:r>
            <w:r w:rsidRPr="00740EDF">
              <w:rPr>
                <w:sz w:val="18"/>
                <w:szCs w:val="18"/>
              </w:rPr>
              <w:t xml:space="preserve"> (</w:t>
            </w:r>
            <w:r w:rsidRPr="00740EDF">
              <w:rPr>
                <w:rFonts w:eastAsia="MS PGothic"/>
                <w:bCs/>
                <w:sz w:val="18"/>
                <w:szCs w:val="18"/>
              </w:rPr>
              <w:t>respect des règles d’utilisation des</w:t>
            </w:r>
            <w:r w:rsidR="009E131A">
              <w:rPr>
                <w:rFonts w:eastAsia="MS PGothic"/>
                <w:bCs/>
                <w:sz w:val="18"/>
                <w:szCs w:val="18"/>
              </w:rPr>
              <w:t> </w:t>
            </w:r>
            <w:r w:rsidRPr="00740EDF">
              <w:rPr>
                <w:rFonts w:eastAsia="MS PGothic"/>
                <w:bCs/>
                <w:sz w:val="18"/>
                <w:szCs w:val="18"/>
              </w:rPr>
              <w:t xml:space="preserve">voies), surveillance de l’environnement (espace devant le véhicule, </w:t>
            </w:r>
            <w:r>
              <w:rPr>
                <w:rFonts w:eastAsia="MS PGothic"/>
                <w:bCs/>
                <w:sz w:val="18"/>
                <w:szCs w:val="18"/>
              </w:rPr>
              <w:t>sur les côtés,</w:t>
            </w:r>
            <w:r w:rsidRPr="00740EDF">
              <w:rPr>
                <w:rFonts w:eastAsia="MS PGothic"/>
                <w:bCs/>
                <w:sz w:val="18"/>
                <w:szCs w:val="18"/>
              </w:rPr>
              <w:t xml:space="preserve"> ou derrière lui),</w:t>
            </w:r>
            <w:r w:rsidR="00956E9A">
              <w:rPr>
                <w:rFonts w:eastAsia="MS PGothic"/>
                <w:bCs/>
                <w:sz w:val="18"/>
                <w:szCs w:val="18"/>
              </w:rPr>
              <w:t xml:space="preserve"> </w:t>
            </w:r>
            <w:r w:rsidRPr="00740EDF">
              <w:rPr>
                <w:rFonts w:eastAsia="MS PGothic"/>
                <w:bCs/>
                <w:sz w:val="18"/>
                <w:szCs w:val="18"/>
              </w:rPr>
              <w:t>manœuvre à risque minimum, demande de reprise de contrôle, interface homme-machine (interne et externe) et</w:t>
            </w:r>
            <w:r w:rsidR="009E131A">
              <w:rPr>
                <w:rFonts w:ascii="Segoe UI" w:hAnsi="Segoe UI" w:cs="Segoe UI"/>
                <w:sz w:val="18"/>
                <w:szCs w:val="18"/>
              </w:rPr>
              <w:t> </w:t>
            </w:r>
            <w:r w:rsidRPr="00740EDF">
              <w:rPr>
                <w:rFonts w:eastAsia="MS PGothic"/>
                <w:bCs/>
                <w:sz w:val="18"/>
                <w:szCs w:val="18"/>
              </w:rPr>
              <w:t>surveillance du conducteur.</w:t>
            </w:r>
          </w:p>
        </w:tc>
      </w:tr>
      <w:tr w:rsidR="0004271F" w:rsidRPr="004576F6" w14:paraId="7C68E45C" w14:textId="77777777" w:rsidTr="0004271F">
        <w:trPr>
          <w:tblHeader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1416B4D" w14:textId="77777777" w:rsidR="0004271F" w:rsidRPr="00767E53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BE24B1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926B3A" w14:textId="77777777" w:rsidR="0004271F" w:rsidRPr="005C20C8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59A" w14:textId="77777777" w:rsidR="0004271F" w:rsidRPr="00740EDF" w:rsidRDefault="0004271F" w:rsidP="00585079">
            <w:pPr>
              <w:spacing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740EDF">
              <w:rPr>
                <w:rFonts w:eastAsia="MS PGothic"/>
                <w:bCs/>
                <w:sz w:val="18"/>
                <w:szCs w:val="18"/>
              </w:rPr>
              <w:t>Il doit aussi porter sur les prescriptions en matière de sécurité fonctionnelle.</w:t>
            </w:r>
          </w:p>
        </w:tc>
      </w:tr>
      <w:tr w:rsidR="0004271F" w:rsidRPr="00740EDF" w14:paraId="1180E68D" w14:textId="77777777" w:rsidTr="0004271F">
        <w:trPr>
          <w:tblHeader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5F0DA172" w14:textId="77777777" w:rsidR="0004271F" w:rsidRPr="00D54EF1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Nouvelle méthode d’évaluation/ d’essai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F76E5A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GRVA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5147AA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5C20C8">
              <w:rPr>
                <w:rFonts w:eastAsia="MS PGothic"/>
                <w:bCs/>
                <w:sz w:val="18"/>
                <w:szCs w:val="18"/>
              </w:rPr>
              <w:t xml:space="preserve">Véhicules automatisés/ autonomes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71DD9" w14:textId="77777777" w:rsidR="0004271F" w:rsidRPr="00740EDF" w:rsidRDefault="0004271F" w:rsidP="009E131A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740EDF">
              <w:rPr>
                <w:rFonts w:eastAsia="MS PGothic"/>
                <w:bCs/>
                <w:sz w:val="18"/>
                <w:szCs w:val="18"/>
              </w:rPr>
              <w:t>Concept à plusieurs piliers</w:t>
            </w:r>
            <w:r w:rsidR="0091316C">
              <w:rPr>
                <w:rFonts w:eastAsia="MS PGothic"/>
                <w:bCs/>
                <w:sz w:val="18"/>
                <w:szCs w:val="18"/>
              </w:rPr>
              <w:t> </w:t>
            </w:r>
            <w:r w:rsidRPr="00740EDF">
              <w:rPr>
                <w:rFonts w:eastAsia="MS PGothic"/>
                <w:bCs/>
                <w:sz w:val="18"/>
                <w:szCs w:val="18"/>
              </w:rPr>
              <w:t>: vérification, simulation, conformité des</w:t>
            </w:r>
            <w:r w:rsidR="009E131A">
              <w:rPr>
                <w:rFonts w:eastAsia="MS PGothic"/>
                <w:bCs/>
                <w:sz w:val="18"/>
                <w:szCs w:val="18"/>
              </w:rPr>
              <w:t> </w:t>
            </w:r>
            <w:r w:rsidRPr="00740EDF">
              <w:rPr>
                <w:rFonts w:eastAsia="MS PGothic"/>
                <w:bCs/>
                <w:sz w:val="18"/>
                <w:szCs w:val="18"/>
              </w:rPr>
              <w:t>systèmes électroniques, identité numérique,</w:t>
            </w:r>
            <w:r w:rsidRPr="00740EDF">
              <w:rPr>
                <w:sz w:val="18"/>
                <w:szCs w:val="18"/>
              </w:rPr>
              <w:t xml:space="preserve"> é</w:t>
            </w:r>
            <w:r w:rsidRPr="00740EDF">
              <w:rPr>
                <w:rFonts w:eastAsia="MS PGothic"/>
                <w:bCs/>
                <w:sz w:val="18"/>
                <w:szCs w:val="18"/>
              </w:rPr>
              <w:t>valuation de la</w:t>
            </w:r>
            <w:r w:rsidR="009E131A">
              <w:rPr>
                <w:rFonts w:eastAsia="MS PGothic"/>
                <w:bCs/>
                <w:sz w:val="18"/>
                <w:szCs w:val="18"/>
              </w:rPr>
              <w:t> </w:t>
            </w:r>
            <w:r w:rsidRPr="00740EDF">
              <w:rPr>
                <w:rFonts w:eastAsia="MS PGothic"/>
                <w:bCs/>
                <w:sz w:val="18"/>
                <w:szCs w:val="18"/>
              </w:rPr>
              <w:t>conduite sur piste et en situation réelle</w:t>
            </w:r>
            <w:r>
              <w:rPr>
                <w:rFonts w:eastAsia="MS PGothic"/>
                <w:bCs/>
                <w:sz w:val="18"/>
                <w:szCs w:val="18"/>
              </w:rPr>
              <w:t>.</w:t>
            </w:r>
          </w:p>
        </w:tc>
      </w:tr>
      <w:tr w:rsidR="0004271F" w:rsidRPr="00740EDF" w14:paraId="20C1B384" w14:textId="77777777" w:rsidTr="0004271F">
        <w:trPr>
          <w:tblHeader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19196519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483A8F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FB6EEB" w14:textId="77777777" w:rsidR="0004271F" w:rsidRPr="005C20C8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07A9" w14:textId="77777777" w:rsidR="0004271F" w:rsidRPr="00740EDF" w:rsidRDefault="0004271F" w:rsidP="00585079">
            <w:pPr>
              <w:spacing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740EDF">
              <w:rPr>
                <w:rFonts w:eastAsia="MS PGothic"/>
                <w:bCs/>
                <w:sz w:val="18"/>
                <w:szCs w:val="18"/>
              </w:rPr>
              <w:t xml:space="preserve">Il doit aussi porter sur </w:t>
            </w:r>
            <w:r>
              <w:rPr>
                <w:rFonts w:eastAsia="MS PGothic"/>
                <w:bCs/>
                <w:sz w:val="18"/>
                <w:szCs w:val="18"/>
              </w:rPr>
              <w:t xml:space="preserve">l’évaluation de la </w:t>
            </w:r>
            <w:r w:rsidRPr="00740EDF">
              <w:rPr>
                <w:rFonts w:eastAsia="MS PGothic"/>
                <w:bCs/>
                <w:sz w:val="18"/>
                <w:szCs w:val="18"/>
              </w:rPr>
              <w:t>sécurité fonctionnelle.</w:t>
            </w:r>
          </w:p>
        </w:tc>
      </w:tr>
      <w:tr w:rsidR="0004271F" w:rsidRPr="00355B0F" w14:paraId="179D1D73" w14:textId="77777777" w:rsidTr="0004271F">
        <w:trPr>
          <w:tblHeader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42108F9E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Cybersécurité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6270E0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GRVA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90F800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V</w:t>
            </w:r>
            <w:r w:rsidRPr="005C20C8">
              <w:rPr>
                <w:rFonts w:eastAsia="MS PGothic"/>
                <w:bCs/>
                <w:sz w:val="18"/>
                <w:szCs w:val="18"/>
              </w:rPr>
              <w:t>éhicules conventionnel</w:t>
            </w:r>
            <w:r>
              <w:rPr>
                <w:rFonts w:eastAsia="MS PGothic"/>
                <w:bCs/>
                <w:sz w:val="18"/>
                <w:szCs w:val="18"/>
              </w:rPr>
              <w:t>s et v</w:t>
            </w:r>
            <w:r w:rsidRPr="005C20C8">
              <w:rPr>
                <w:rFonts w:eastAsia="MS PGothic"/>
                <w:bCs/>
                <w:sz w:val="18"/>
                <w:szCs w:val="18"/>
              </w:rPr>
              <w:t>éhicules automatisés/ autonomes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6DB6F" w14:textId="77777777" w:rsidR="0004271F" w:rsidRPr="00355B0F" w:rsidRDefault="0004271F" w:rsidP="009E131A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Le travail de m</w:t>
            </w:r>
            <w:r w:rsidRPr="002E41AD">
              <w:rPr>
                <w:rFonts w:eastAsia="MS PGothic"/>
                <w:bCs/>
                <w:sz w:val="18"/>
                <w:szCs w:val="18"/>
              </w:rPr>
              <w:t>ise à jour de</w:t>
            </w:r>
            <w:r>
              <w:rPr>
                <w:rFonts w:eastAsia="MS PGothic"/>
                <w:bCs/>
                <w:sz w:val="18"/>
                <w:szCs w:val="18"/>
              </w:rPr>
              <w:t>s</w:t>
            </w:r>
            <w:r w:rsidRPr="002E41AD">
              <w:rPr>
                <w:rFonts w:eastAsia="MS PGothic"/>
                <w:bCs/>
                <w:sz w:val="18"/>
                <w:szCs w:val="18"/>
              </w:rPr>
              <w:t xml:space="preserve"> logiciels élaboré par le Groupe spécial pour la cybersécurité et les questions de sûreté des transmissions</w:t>
            </w:r>
            <w:r>
              <w:rPr>
                <w:rFonts w:eastAsia="MS PGothic"/>
                <w:bCs/>
                <w:sz w:val="18"/>
                <w:szCs w:val="18"/>
              </w:rPr>
              <w:t xml:space="preserve"> est</w:t>
            </w:r>
            <w:r w:rsidR="009E131A">
              <w:rPr>
                <w:rFonts w:eastAsia="MS PGothic"/>
                <w:bCs/>
                <w:sz w:val="18"/>
                <w:szCs w:val="18"/>
              </w:rPr>
              <w:t> </w:t>
            </w:r>
            <w:r>
              <w:rPr>
                <w:rFonts w:eastAsia="MS PGothic"/>
                <w:bCs/>
                <w:sz w:val="18"/>
                <w:szCs w:val="18"/>
              </w:rPr>
              <w:t>en</w:t>
            </w:r>
            <w:r w:rsidR="009E131A">
              <w:rPr>
                <w:rFonts w:eastAsia="MS PGothic"/>
                <w:bCs/>
                <w:sz w:val="18"/>
                <w:szCs w:val="18"/>
              </w:rPr>
              <w:t> </w:t>
            </w:r>
            <w:r>
              <w:rPr>
                <w:rFonts w:eastAsia="MS PGothic"/>
                <w:bCs/>
                <w:sz w:val="18"/>
                <w:szCs w:val="18"/>
              </w:rPr>
              <w:t>cours.</w:t>
            </w:r>
          </w:p>
        </w:tc>
      </w:tr>
      <w:tr w:rsidR="0004271F" w:rsidRPr="00355B0F" w14:paraId="584FFB8A" w14:textId="77777777" w:rsidTr="0004271F">
        <w:trPr>
          <w:tblHeader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17F7C74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D6200C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981ECA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F3BA" w14:textId="77777777" w:rsidR="0004271F" w:rsidRDefault="0004271F" w:rsidP="00585079">
            <w:pPr>
              <w:spacing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355B0F">
              <w:rPr>
                <w:rFonts w:eastAsia="MS PGothic"/>
                <w:bCs/>
                <w:sz w:val="18"/>
                <w:szCs w:val="18"/>
              </w:rPr>
              <w:t>Projet de recommandations concernant l’approche législative et projet de Règlement remis au GRVA.</w:t>
            </w:r>
          </w:p>
        </w:tc>
      </w:tr>
      <w:tr w:rsidR="0004271F" w:rsidRPr="002E41AD" w14:paraId="6E207571" w14:textId="77777777" w:rsidTr="0004271F">
        <w:trPr>
          <w:tblHeader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F71B63A" w14:textId="77777777" w:rsidR="0004271F" w:rsidRPr="00740EDF" w:rsidRDefault="0004271F" w:rsidP="008D33E7">
            <w:pPr>
              <w:spacing w:before="60" w:after="60" w:line="220" w:lineRule="exact"/>
              <w:ind w:left="57" w:right="57"/>
              <w:rPr>
                <w:rFonts w:eastAsia="MS PGothic"/>
                <w:sz w:val="18"/>
                <w:szCs w:val="18"/>
              </w:rPr>
            </w:pPr>
            <w:r w:rsidRPr="00740EDF">
              <w:rPr>
                <w:rFonts w:eastAsia="MS PGothic"/>
                <w:sz w:val="18"/>
                <w:szCs w:val="18"/>
              </w:rPr>
              <w:t>Mises à jour de</w:t>
            </w:r>
            <w:r>
              <w:rPr>
                <w:rFonts w:eastAsia="MS PGothic"/>
                <w:sz w:val="18"/>
                <w:szCs w:val="18"/>
              </w:rPr>
              <w:t>s</w:t>
            </w:r>
            <w:r w:rsidR="008D33E7">
              <w:rPr>
                <w:rFonts w:eastAsia="MS PGothic"/>
                <w:sz w:val="18"/>
                <w:szCs w:val="18"/>
              </w:rPr>
              <w:t> </w:t>
            </w:r>
            <w:r w:rsidRPr="00740EDF">
              <w:rPr>
                <w:rFonts w:eastAsia="MS PGothic"/>
                <w:sz w:val="18"/>
                <w:szCs w:val="18"/>
              </w:rPr>
              <w:t>logiciels</w:t>
            </w:r>
            <w:r w:rsidR="00956E9A">
              <w:rPr>
                <w:rFonts w:eastAsia="MS PGothic"/>
                <w:sz w:val="18"/>
                <w:szCs w:val="18"/>
              </w:rPr>
              <w:t xml:space="preserve"> </w:t>
            </w:r>
            <w:r w:rsidRPr="00740EDF">
              <w:rPr>
                <w:rFonts w:eastAsia="MS PGothic"/>
                <w:sz w:val="18"/>
                <w:szCs w:val="18"/>
              </w:rPr>
              <w:t>(à</w:t>
            </w:r>
            <w:r w:rsidR="008D33E7">
              <w:rPr>
                <w:rFonts w:eastAsia="MS PGothic"/>
                <w:sz w:val="18"/>
                <w:szCs w:val="18"/>
              </w:rPr>
              <w:t> </w:t>
            </w:r>
            <w:r w:rsidRPr="00740EDF">
              <w:rPr>
                <w:rFonts w:eastAsia="MS PGothic"/>
                <w:sz w:val="18"/>
                <w:szCs w:val="18"/>
              </w:rPr>
              <w:t>distance)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68816D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GRVA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39E878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A32EEB">
              <w:rPr>
                <w:rFonts w:eastAsia="MS PGothic"/>
                <w:bCs/>
                <w:sz w:val="18"/>
                <w:szCs w:val="18"/>
              </w:rPr>
              <w:t>Véhicules conventionnels et véhicules automatisés/ autonomes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8346F" w14:textId="77777777" w:rsidR="0004271F" w:rsidRPr="002E41AD" w:rsidRDefault="0004271F" w:rsidP="009E131A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355B0F">
              <w:rPr>
                <w:rFonts w:eastAsia="MS PGothic"/>
                <w:bCs/>
                <w:sz w:val="18"/>
                <w:szCs w:val="18"/>
              </w:rPr>
              <w:t xml:space="preserve">Le travail de mise à jour des logiciels élaboré par le Groupe spécial pour la cybersécurité et les questions de sûreté </w:t>
            </w:r>
            <w:r>
              <w:rPr>
                <w:rFonts w:eastAsia="MS PGothic"/>
                <w:bCs/>
                <w:sz w:val="18"/>
                <w:szCs w:val="18"/>
              </w:rPr>
              <w:t>des transmissions est</w:t>
            </w:r>
            <w:r w:rsidR="009E131A">
              <w:rPr>
                <w:rFonts w:eastAsia="MS PGothic"/>
                <w:bCs/>
                <w:sz w:val="18"/>
                <w:szCs w:val="18"/>
              </w:rPr>
              <w:t> </w:t>
            </w:r>
            <w:r>
              <w:rPr>
                <w:rFonts w:eastAsia="MS PGothic"/>
                <w:bCs/>
                <w:sz w:val="18"/>
                <w:szCs w:val="18"/>
              </w:rPr>
              <w:t>en</w:t>
            </w:r>
            <w:r w:rsidR="009E131A">
              <w:rPr>
                <w:rFonts w:eastAsia="MS PGothic"/>
                <w:bCs/>
                <w:sz w:val="18"/>
                <w:szCs w:val="18"/>
              </w:rPr>
              <w:t> </w:t>
            </w:r>
            <w:r>
              <w:rPr>
                <w:rFonts w:eastAsia="MS PGothic"/>
                <w:bCs/>
                <w:sz w:val="18"/>
                <w:szCs w:val="18"/>
              </w:rPr>
              <w:t>cours.</w:t>
            </w:r>
          </w:p>
        </w:tc>
      </w:tr>
      <w:tr w:rsidR="0004271F" w:rsidRPr="002E41AD" w14:paraId="64D1179C" w14:textId="77777777" w:rsidTr="0004271F">
        <w:trPr>
          <w:tblHeader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6E465833" w14:textId="77777777" w:rsidR="0004271F" w:rsidRPr="00740ED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B288F3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3CA5D3" w14:textId="77777777" w:rsidR="0004271F" w:rsidRPr="00A32EEB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576F" w14:textId="77777777" w:rsidR="0004271F" w:rsidRPr="00355B0F" w:rsidRDefault="0004271F" w:rsidP="00585079">
            <w:pPr>
              <w:spacing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2E41AD">
              <w:rPr>
                <w:rFonts w:eastAsia="MS PGothic"/>
                <w:bCs/>
                <w:sz w:val="18"/>
                <w:szCs w:val="18"/>
              </w:rPr>
              <w:t>Projet de recommandations concernant l’approche législative et projet de Règlement remis au GRVA.</w:t>
            </w:r>
          </w:p>
        </w:tc>
      </w:tr>
      <w:tr w:rsidR="00F26FBE" w:rsidRPr="00AE7B6A" w14:paraId="5AE2D053" w14:textId="77777777" w:rsidTr="0004271F">
        <w:trPr>
          <w:tblHeader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4483B727" w14:textId="77777777" w:rsidR="009204B7" w:rsidRDefault="009204B7" w:rsidP="00F26FBE">
            <w:pPr>
              <w:spacing w:before="60" w:after="60" w:line="220" w:lineRule="exact"/>
              <w:ind w:left="57" w:right="57"/>
              <w:rPr>
                <w:rFonts w:eastAsia="MS PGothic"/>
                <w:sz w:val="18"/>
                <w:szCs w:val="18"/>
              </w:rPr>
            </w:pPr>
            <w:r w:rsidRPr="002E41AD">
              <w:rPr>
                <w:rFonts w:eastAsia="MS PGothic"/>
                <w:sz w:val="18"/>
                <w:szCs w:val="18"/>
              </w:rPr>
              <w:t xml:space="preserve">Enregistreur de données de route </w:t>
            </w:r>
            <w:r>
              <w:rPr>
                <w:rFonts w:eastAsia="MS PGothic"/>
                <w:sz w:val="18"/>
                <w:szCs w:val="18"/>
              </w:rPr>
              <w:t>(EDR)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163A33" w14:textId="77777777" w:rsidR="009204B7" w:rsidRDefault="009204B7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GRSG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C360A3" w14:textId="77777777" w:rsidR="009204B7" w:rsidRDefault="009204B7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A32EEB">
              <w:rPr>
                <w:rFonts w:eastAsia="MS PGothic"/>
                <w:bCs/>
                <w:sz w:val="18"/>
                <w:szCs w:val="18"/>
              </w:rPr>
              <w:t>Véhicules conventionnels et véhicules automatisés/ autonomes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A34" w14:textId="77777777" w:rsidR="009204B7" w:rsidRPr="00AE7B6A" w:rsidRDefault="009204B7" w:rsidP="00974197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AE7B6A">
              <w:rPr>
                <w:rFonts w:eastAsia="MS PGothic"/>
                <w:bCs/>
                <w:sz w:val="18"/>
                <w:szCs w:val="18"/>
              </w:rPr>
              <w:t xml:space="preserve">Systèmes existants </w:t>
            </w:r>
            <w:r w:rsidR="00974197">
              <w:rPr>
                <w:rFonts w:eastAsia="MS PGothic"/>
                <w:bCs/>
                <w:sz w:val="18"/>
                <w:szCs w:val="18"/>
              </w:rPr>
              <w:t>−</w:t>
            </w:r>
            <w:r w:rsidRPr="00AE7B6A">
              <w:rPr>
                <w:rFonts w:eastAsia="MS PGothic"/>
                <w:bCs/>
                <w:sz w:val="18"/>
                <w:szCs w:val="18"/>
              </w:rPr>
              <w:t xml:space="preserve"> en tant que </w:t>
            </w:r>
            <w:r w:rsidRPr="002E41AD">
              <w:rPr>
                <w:rFonts w:eastAsia="MS PGothic"/>
                <w:bCs/>
                <w:sz w:val="18"/>
                <w:szCs w:val="18"/>
              </w:rPr>
              <w:t>mesure de la sécurité routière</w:t>
            </w:r>
            <w:r w:rsidRPr="00AE7B6A">
              <w:rPr>
                <w:rFonts w:eastAsia="MS PGothic"/>
                <w:bCs/>
                <w:sz w:val="18"/>
                <w:szCs w:val="18"/>
              </w:rPr>
              <w:t xml:space="preserve"> (</w:t>
            </w:r>
            <w:r>
              <w:rPr>
                <w:rFonts w:eastAsia="MS PGothic"/>
                <w:bCs/>
                <w:sz w:val="18"/>
                <w:szCs w:val="18"/>
              </w:rPr>
              <w:t>p</w:t>
            </w:r>
            <w:r w:rsidR="00903D68">
              <w:rPr>
                <w:rFonts w:eastAsia="MS PGothic"/>
                <w:bCs/>
                <w:sz w:val="18"/>
                <w:szCs w:val="18"/>
              </w:rPr>
              <w:t xml:space="preserve">ar exemple </w:t>
            </w:r>
            <w:r w:rsidRPr="00AE7B6A">
              <w:rPr>
                <w:rFonts w:eastAsia="MS PGothic"/>
                <w:bCs/>
                <w:sz w:val="18"/>
                <w:szCs w:val="18"/>
              </w:rPr>
              <w:t>relevé des accidents).</w:t>
            </w:r>
          </w:p>
        </w:tc>
      </w:tr>
      <w:tr w:rsidR="0004271F" w:rsidRPr="001A035E" w14:paraId="6186BF19" w14:textId="77777777" w:rsidTr="0004271F">
        <w:trPr>
          <w:tblHeader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4A5EEC46" w14:textId="77777777" w:rsidR="0004271F" w:rsidRPr="00AE7B6A" w:rsidRDefault="0004271F" w:rsidP="008D33E7">
            <w:pPr>
              <w:spacing w:before="60" w:after="60" w:line="220" w:lineRule="exact"/>
              <w:ind w:left="57" w:right="57"/>
              <w:rPr>
                <w:rFonts w:eastAsia="MS PGothic"/>
                <w:sz w:val="18"/>
                <w:szCs w:val="18"/>
              </w:rPr>
            </w:pPr>
            <w:r>
              <w:rPr>
                <w:rFonts w:eastAsia="MS PGothic"/>
                <w:sz w:val="18"/>
                <w:szCs w:val="18"/>
              </w:rPr>
              <w:t>S</w:t>
            </w:r>
            <w:r w:rsidRPr="00AE7B6A">
              <w:rPr>
                <w:rFonts w:eastAsia="MS PGothic"/>
                <w:sz w:val="18"/>
                <w:szCs w:val="18"/>
              </w:rPr>
              <w:t>ystème de</w:t>
            </w:r>
            <w:r w:rsidR="008D33E7">
              <w:rPr>
                <w:rFonts w:eastAsia="MS PGothic"/>
                <w:sz w:val="18"/>
                <w:szCs w:val="18"/>
              </w:rPr>
              <w:t> </w:t>
            </w:r>
            <w:r w:rsidRPr="00AE7B6A">
              <w:rPr>
                <w:rFonts w:eastAsia="MS PGothic"/>
                <w:sz w:val="18"/>
                <w:szCs w:val="18"/>
              </w:rPr>
              <w:t>stockage des</w:t>
            </w:r>
            <w:r w:rsidR="008D33E7">
              <w:rPr>
                <w:rFonts w:eastAsia="MS PGothic"/>
                <w:sz w:val="18"/>
                <w:szCs w:val="18"/>
              </w:rPr>
              <w:t> </w:t>
            </w:r>
            <w:r w:rsidRPr="00AE7B6A">
              <w:rPr>
                <w:rFonts w:eastAsia="MS PGothic"/>
                <w:sz w:val="18"/>
                <w:szCs w:val="18"/>
              </w:rPr>
              <w:t>données pour</w:t>
            </w:r>
            <w:r w:rsidR="008D33E7">
              <w:rPr>
                <w:rFonts w:eastAsia="MS PGothic"/>
                <w:sz w:val="18"/>
                <w:szCs w:val="18"/>
              </w:rPr>
              <w:t> </w:t>
            </w:r>
            <w:r>
              <w:rPr>
                <w:rFonts w:eastAsia="MS PGothic"/>
                <w:sz w:val="18"/>
                <w:szCs w:val="18"/>
              </w:rPr>
              <w:t xml:space="preserve">la </w:t>
            </w:r>
            <w:r w:rsidRPr="00AE7B6A">
              <w:rPr>
                <w:rFonts w:eastAsia="MS PGothic"/>
                <w:sz w:val="18"/>
                <w:szCs w:val="18"/>
              </w:rPr>
              <w:t>conduite automati</w:t>
            </w:r>
            <w:r>
              <w:rPr>
                <w:rFonts w:eastAsia="MS PGothic"/>
                <w:sz w:val="18"/>
                <w:szCs w:val="18"/>
              </w:rPr>
              <w:t xml:space="preserve">que </w:t>
            </w:r>
            <w:r w:rsidRPr="00AE7B6A">
              <w:rPr>
                <w:rFonts w:eastAsia="MS PGothic"/>
                <w:sz w:val="18"/>
                <w:szCs w:val="18"/>
              </w:rPr>
              <w:t>(SSD</w:t>
            </w:r>
            <w:r>
              <w:rPr>
                <w:rFonts w:eastAsia="MS PGothic"/>
                <w:sz w:val="18"/>
                <w:szCs w:val="18"/>
              </w:rPr>
              <w:t>CA</w:t>
            </w:r>
            <w:r w:rsidRPr="00AE7B6A">
              <w:rPr>
                <w:rFonts w:eastAsia="MS PGothic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9B1764" w14:textId="77777777" w:rsidR="0004271F" w:rsidRPr="00AE7B6A" w:rsidRDefault="0004271F" w:rsidP="008D33E7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D14055">
              <w:rPr>
                <w:rFonts w:eastAsia="MS PGothic"/>
                <w:bCs/>
                <w:sz w:val="18"/>
                <w:szCs w:val="18"/>
                <w:u w:val="single"/>
              </w:rPr>
              <w:t>D’abord</w:t>
            </w:r>
            <w:r w:rsidR="0091316C" w:rsidRPr="00D14055">
              <w:rPr>
                <w:rFonts w:eastAsia="MS PGothic"/>
                <w:bCs/>
                <w:sz w:val="18"/>
                <w:szCs w:val="18"/>
                <w:u w:val="single"/>
              </w:rPr>
              <w:t> </w:t>
            </w:r>
            <w:r w:rsidRPr="00D14055">
              <w:rPr>
                <w:rFonts w:eastAsia="MS PGothic"/>
                <w:bCs/>
                <w:sz w:val="18"/>
                <w:szCs w:val="18"/>
              </w:rPr>
              <w:t xml:space="preserve">: GRVA </w:t>
            </w:r>
            <w:r w:rsidRPr="00D14055">
              <w:rPr>
                <w:rFonts w:eastAsia="MS PGothic"/>
                <w:bCs/>
                <w:sz w:val="18"/>
                <w:szCs w:val="18"/>
              </w:rPr>
              <w:br/>
            </w:r>
            <w:r w:rsidRPr="00AE7B6A">
              <w:rPr>
                <w:rFonts w:eastAsia="MS PGothic"/>
                <w:bCs/>
                <w:sz w:val="18"/>
                <w:szCs w:val="18"/>
                <w:u w:val="single"/>
              </w:rPr>
              <w:t>Ensuite</w:t>
            </w:r>
            <w:r w:rsidR="0091316C">
              <w:rPr>
                <w:rFonts w:eastAsia="MS PGothic"/>
                <w:bCs/>
                <w:sz w:val="18"/>
                <w:szCs w:val="18"/>
                <w:u w:val="single"/>
              </w:rPr>
              <w:t> </w:t>
            </w:r>
            <w:r w:rsidRPr="00AE7B6A">
              <w:rPr>
                <w:rFonts w:eastAsia="MS PGothic"/>
                <w:bCs/>
                <w:sz w:val="18"/>
                <w:szCs w:val="18"/>
              </w:rPr>
              <w:t>:</w:t>
            </w:r>
            <w:r>
              <w:rPr>
                <w:rFonts w:eastAsia="MS PGothic"/>
                <w:bCs/>
                <w:sz w:val="18"/>
                <w:szCs w:val="18"/>
              </w:rPr>
              <w:t xml:space="preserve"> </w:t>
            </w:r>
            <w:r w:rsidRPr="00AE7B6A">
              <w:rPr>
                <w:rFonts w:eastAsia="MS PGothic"/>
                <w:bCs/>
                <w:sz w:val="18"/>
                <w:szCs w:val="18"/>
              </w:rPr>
              <w:br/>
              <w:t>GRSG (en</w:t>
            </w:r>
            <w:r w:rsidR="008D33E7">
              <w:rPr>
                <w:rFonts w:eastAsia="MS PGothic"/>
                <w:bCs/>
                <w:sz w:val="18"/>
                <w:szCs w:val="18"/>
              </w:rPr>
              <w:t> </w:t>
            </w:r>
            <w:r w:rsidRPr="00AE7B6A">
              <w:rPr>
                <w:rFonts w:eastAsia="MS PGothic"/>
                <w:bCs/>
                <w:sz w:val="18"/>
                <w:szCs w:val="18"/>
              </w:rPr>
              <w:t>coordination avec le GRVA)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DD289F" w14:textId="77777777" w:rsidR="0004271F" w:rsidRPr="00733A68" w:rsidRDefault="0004271F" w:rsidP="008D33E7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 w:rsidRPr="005C20C8">
              <w:rPr>
                <w:rFonts w:eastAsia="MS PGothic"/>
                <w:bCs/>
                <w:sz w:val="18"/>
                <w:szCs w:val="18"/>
              </w:rPr>
              <w:t>Véhicules automatisés/ autonomes et</w:t>
            </w:r>
            <w:r w:rsidR="008D33E7">
              <w:rPr>
                <w:rFonts w:eastAsia="MS PGothic"/>
                <w:bCs/>
                <w:sz w:val="18"/>
                <w:szCs w:val="18"/>
              </w:rPr>
              <w:t> </w:t>
            </w:r>
            <w:r w:rsidRPr="005C20C8">
              <w:rPr>
                <w:rFonts w:eastAsia="MS PGothic"/>
                <w:bCs/>
                <w:sz w:val="18"/>
                <w:szCs w:val="18"/>
              </w:rPr>
              <w:t>connectés</w:t>
            </w:r>
            <w:r w:rsidR="00956E9A">
              <w:rPr>
                <w:rFonts w:eastAsia="MS PGothic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C5F0A" w14:textId="77777777" w:rsidR="0004271F" w:rsidRPr="001A035E" w:rsidRDefault="0004271F" w:rsidP="009406A3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 xml:space="preserve">Le </w:t>
            </w:r>
            <w:r w:rsidRPr="00AE7B6A">
              <w:rPr>
                <w:rFonts w:eastAsia="MS PGothic"/>
                <w:bCs/>
                <w:sz w:val="18"/>
                <w:szCs w:val="18"/>
              </w:rPr>
              <w:t>SSDCA est destiné aux véhicule</w:t>
            </w:r>
            <w:r>
              <w:rPr>
                <w:rFonts w:eastAsia="MS PGothic"/>
                <w:bCs/>
                <w:sz w:val="18"/>
                <w:szCs w:val="18"/>
              </w:rPr>
              <w:t>s</w:t>
            </w:r>
            <w:r w:rsidRPr="00AE7B6A">
              <w:rPr>
                <w:rFonts w:eastAsia="MS PGothic"/>
                <w:bCs/>
                <w:sz w:val="18"/>
                <w:szCs w:val="18"/>
              </w:rPr>
              <w:t xml:space="preserve"> autonomes (</w:t>
            </w:r>
            <w:r w:rsidR="009406A3">
              <w:rPr>
                <w:rFonts w:eastAsia="MS PGothic"/>
                <w:bCs/>
                <w:sz w:val="18"/>
                <w:szCs w:val="18"/>
              </w:rPr>
              <w:t xml:space="preserve">par exemple </w:t>
            </w:r>
            <w:r w:rsidRPr="00AE7B6A">
              <w:rPr>
                <w:rFonts w:eastAsia="MS PGothic"/>
                <w:bCs/>
                <w:sz w:val="18"/>
                <w:szCs w:val="18"/>
              </w:rPr>
              <w:t>relevé des accidents).</w:t>
            </w:r>
            <w:r>
              <w:rPr>
                <w:rFonts w:eastAsia="MS PGothic"/>
                <w:bCs/>
                <w:sz w:val="18"/>
                <w:szCs w:val="18"/>
              </w:rPr>
              <w:t xml:space="preserve"> </w:t>
            </w:r>
            <w:r w:rsidRPr="00AE7B6A">
              <w:rPr>
                <w:rFonts w:eastAsia="MS PGothic"/>
                <w:bCs/>
                <w:sz w:val="18"/>
                <w:szCs w:val="18"/>
              </w:rPr>
              <w:t>Le travail dans ce domaine devrait</w:t>
            </w:r>
            <w:r>
              <w:rPr>
                <w:rFonts w:eastAsia="MS PGothic"/>
                <w:bCs/>
                <w:sz w:val="18"/>
                <w:szCs w:val="18"/>
              </w:rPr>
              <w:t xml:space="preserve"> tenir compte des</w:t>
            </w:r>
            <w:r w:rsidR="009406A3">
              <w:rPr>
                <w:rFonts w:eastAsia="MS PGothic"/>
                <w:bCs/>
                <w:sz w:val="18"/>
                <w:szCs w:val="18"/>
              </w:rPr>
              <w:t> </w:t>
            </w:r>
            <w:r>
              <w:rPr>
                <w:rFonts w:eastAsia="MS PGothic"/>
                <w:bCs/>
                <w:sz w:val="18"/>
                <w:szCs w:val="18"/>
              </w:rPr>
              <w:t xml:space="preserve">discussions menées dans le cadre du </w:t>
            </w:r>
            <w:r w:rsidRPr="00AE7B6A">
              <w:rPr>
                <w:rFonts w:eastAsia="MS PGothic"/>
                <w:bCs/>
                <w:sz w:val="18"/>
                <w:szCs w:val="18"/>
              </w:rPr>
              <w:t>GRVA et de s</w:t>
            </w:r>
            <w:r>
              <w:rPr>
                <w:rFonts w:eastAsia="MS PGothic"/>
                <w:bCs/>
                <w:sz w:val="18"/>
                <w:szCs w:val="18"/>
              </w:rPr>
              <w:t>on</w:t>
            </w:r>
            <w:r w:rsidRPr="00AE7B6A">
              <w:rPr>
                <w:rFonts w:eastAsia="MS PGothic"/>
                <w:bCs/>
                <w:sz w:val="18"/>
                <w:szCs w:val="18"/>
              </w:rPr>
              <w:t xml:space="preserve"> </w:t>
            </w:r>
            <w:r>
              <w:rPr>
                <w:rFonts w:eastAsia="MS PGothic"/>
                <w:bCs/>
                <w:sz w:val="18"/>
                <w:szCs w:val="18"/>
              </w:rPr>
              <w:t>G</w:t>
            </w:r>
            <w:r w:rsidRPr="00AE7B6A">
              <w:rPr>
                <w:rFonts w:eastAsia="MS PGothic"/>
                <w:bCs/>
                <w:sz w:val="18"/>
                <w:szCs w:val="18"/>
              </w:rPr>
              <w:t>roup</w:t>
            </w:r>
            <w:r>
              <w:rPr>
                <w:rFonts w:eastAsia="MS PGothic"/>
                <w:bCs/>
                <w:sz w:val="18"/>
                <w:szCs w:val="18"/>
              </w:rPr>
              <w:t>e de</w:t>
            </w:r>
            <w:r w:rsidR="009406A3">
              <w:rPr>
                <w:rFonts w:eastAsia="MS PGothic"/>
                <w:bCs/>
                <w:sz w:val="18"/>
                <w:szCs w:val="18"/>
              </w:rPr>
              <w:t> </w:t>
            </w:r>
            <w:r>
              <w:rPr>
                <w:rFonts w:eastAsia="MS PGothic"/>
                <w:bCs/>
                <w:sz w:val="18"/>
                <w:szCs w:val="18"/>
              </w:rPr>
              <w:t xml:space="preserve">travail informel </w:t>
            </w:r>
            <w:r w:rsidRPr="00AE7B6A">
              <w:rPr>
                <w:rFonts w:eastAsia="MS PGothic"/>
                <w:bCs/>
                <w:sz w:val="18"/>
                <w:szCs w:val="18"/>
              </w:rPr>
              <w:t>de</w:t>
            </w:r>
            <w:r>
              <w:rPr>
                <w:rFonts w:eastAsia="MS PGothic"/>
                <w:bCs/>
                <w:sz w:val="18"/>
                <w:szCs w:val="18"/>
              </w:rPr>
              <w:t xml:space="preserve"> la</w:t>
            </w:r>
            <w:r w:rsidRPr="00AE7B6A">
              <w:rPr>
                <w:rFonts w:eastAsia="MS PGothic"/>
                <w:bCs/>
                <w:sz w:val="18"/>
                <w:szCs w:val="18"/>
              </w:rPr>
              <w:t xml:space="preserve"> fonction de direction à commande automatique</w:t>
            </w:r>
            <w:r>
              <w:rPr>
                <w:rFonts w:eastAsia="MS PGothic"/>
                <w:bCs/>
                <w:sz w:val="18"/>
                <w:szCs w:val="18"/>
              </w:rPr>
              <w:t>.</w:t>
            </w:r>
          </w:p>
        </w:tc>
      </w:tr>
      <w:tr w:rsidR="0004271F" w:rsidRPr="001A035E" w14:paraId="67C679C6" w14:textId="77777777" w:rsidTr="0004271F">
        <w:trPr>
          <w:tblHeader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5" w:type="dxa"/>
              <w:bottom w:w="43" w:type="dxa"/>
              <w:right w:w="85" w:type="dxa"/>
            </w:tcMar>
          </w:tcPr>
          <w:p w14:paraId="095E1254" w14:textId="77777777" w:rsidR="0004271F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8F1D7BC" w14:textId="77777777" w:rsidR="0004271F" w:rsidRPr="00D14055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EE427A" w14:textId="77777777" w:rsidR="0004271F" w:rsidRPr="005C20C8" w:rsidRDefault="0004271F" w:rsidP="00F26FBE">
            <w:pPr>
              <w:spacing w:before="60"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933D5" w14:textId="77777777" w:rsidR="0004271F" w:rsidRDefault="0004271F" w:rsidP="009406A3">
            <w:pPr>
              <w:spacing w:after="60" w:line="220" w:lineRule="exact"/>
              <w:ind w:left="57" w:right="57"/>
              <w:rPr>
                <w:rFonts w:eastAsia="MS PGothic"/>
                <w:bCs/>
                <w:sz w:val="18"/>
                <w:szCs w:val="18"/>
              </w:rPr>
            </w:pPr>
            <w:r>
              <w:rPr>
                <w:rFonts w:eastAsia="MS PGothic"/>
                <w:bCs/>
                <w:sz w:val="18"/>
                <w:szCs w:val="18"/>
              </w:rPr>
              <w:t>Objectifs clairs, délai et identification des différences avec l’EDR à</w:t>
            </w:r>
            <w:r w:rsidR="009406A3">
              <w:rPr>
                <w:rFonts w:eastAsia="MS PGothic"/>
                <w:bCs/>
                <w:sz w:val="18"/>
                <w:szCs w:val="18"/>
              </w:rPr>
              <w:t> </w:t>
            </w:r>
            <w:r>
              <w:rPr>
                <w:rFonts w:eastAsia="MS PGothic"/>
                <w:bCs/>
                <w:sz w:val="18"/>
                <w:szCs w:val="18"/>
              </w:rPr>
              <w:t>déterminer avant d’entamer la discussion sur les informations détaillées.</w:t>
            </w:r>
          </w:p>
        </w:tc>
      </w:tr>
    </w:tbl>
    <w:p w14:paraId="443A8376" w14:textId="77777777" w:rsidR="009204B7" w:rsidRPr="006F26F3" w:rsidRDefault="006F26F3" w:rsidP="006F26F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04B7" w:rsidRPr="006F26F3" w:rsidSect="00B043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E617" w14:textId="77777777" w:rsidR="00CA0A5E" w:rsidRDefault="00CA0A5E" w:rsidP="00F95C08">
      <w:pPr>
        <w:spacing w:line="240" w:lineRule="auto"/>
      </w:pPr>
    </w:p>
  </w:endnote>
  <w:endnote w:type="continuationSeparator" w:id="0">
    <w:p w14:paraId="69052384" w14:textId="77777777" w:rsidR="00CA0A5E" w:rsidRPr="00AC3823" w:rsidRDefault="00CA0A5E" w:rsidP="00AC3823">
      <w:pPr>
        <w:pStyle w:val="Footer"/>
      </w:pPr>
    </w:p>
  </w:endnote>
  <w:endnote w:type="continuationNotice" w:id="1">
    <w:p w14:paraId="2D017BF1" w14:textId="77777777" w:rsidR="00CA0A5E" w:rsidRDefault="00CA0A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0CC7" w14:textId="77777777" w:rsidR="00B043F4" w:rsidRPr="00B043F4" w:rsidRDefault="00B043F4" w:rsidP="00B043F4">
    <w:pPr>
      <w:pStyle w:val="Footer"/>
      <w:tabs>
        <w:tab w:val="right" w:pos="9638"/>
      </w:tabs>
    </w:pPr>
    <w:r w:rsidRPr="00B043F4">
      <w:rPr>
        <w:b/>
        <w:sz w:val="18"/>
      </w:rPr>
      <w:fldChar w:fldCharType="begin"/>
    </w:r>
    <w:r w:rsidRPr="00B043F4">
      <w:rPr>
        <w:b/>
        <w:sz w:val="18"/>
      </w:rPr>
      <w:instrText xml:space="preserve"> PAGE  \* MERGEFORMAT </w:instrText>
    </w:r>
    <w:r w:rsidRPr="00B043F4">
      <w:rPr>
        <w:b/>
        <w:sz w:val="18"/>
      </w:rPr>
      <w:fldChar w:fldCharType="separate"/>
    </w:r>
    <w:r w:rsidR="000C7C84">
      <w:rPr>
        <w:b/>
        <w:noProof/>
        <w:sz w:val="18"/>
      </w:rPr>
      <w:t>2</w:t>
    </w:r>
    <w:r w:rsidRPr="00B043F4">
      <w:rPr>
        <w:b/>
        <w:sz w:val="18"/>
      </w:rPr>
      <w:fldChar w:fldCharType="end"/>
    </w:r>
    <w:r>
      <w:rPr>
        <w:b/>
        <w:sz w:val="18"/>
      </w:rPr>
      <w:tab/>
    </w:r>
    <w:r>
      <w:t>GE.18-22420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E1A8" w14:textId="77777777" w:rsidR="00B043F4" w:rsidRPr="00B043F4" w:rsidRDefault="00B043F4" w:rsidP="00B043F4">
    <w:pPr>
      <w:pStyle w:val="Footer"/>
      <w:tabs>
        <w:tab w:val="right" w:pos="9638"/>
      </w:tabs>
      <w:rPr>
        <w:b/>
        <w:sz w:val="18"/>
      </w:rPr>
    </w:pPr>
    <w:r>
      <w:t>GE.18-22420</w:t>
    </w:r>
    <w:r>
      <w:tab/>
    </w:r>
    <w:r w:rsidRPr="00B043F4">
      <w:rPr>
        <w:b/>
        <w:sz w:val="18"/>
      </w:rPr>
      <w:fldChar w:fldCharType="begin"/>
    </w:r>
    <w:r w:rsidRPr="00B043F4">
      <w:rPr>
        <w:b/>
        <w:sz w:val="18"/>
      </w:rPr>
      <w:instrText xml:space="preserve"> PAGE  \* MERGEFORMAT </w:instrText>
    </w:r>
    <w:r w:rsidRPr="00B043F4">
      <w:rPr>
        <w:b/>
        <w:sz w:val="18"/>
      </w:rPr>
      <w:fldChar w:fldCharType="separate"/>
    </w:r>
    <w:r w:rsidR="000C7C84">
      <w:rPr>
        <w:b/>
        <w:noProof/>
        <w:sz w:val="18"/>
      </w:rPr>
      <w:t>3</w:t>
    </w:r>
    <w:r w:rsidRPr="00B043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201A" w14:textId="77777777" w:rsidR="007F20FA" w:rsidRPr="00B043F4" w:rsidRDefault="00B043F4" w:rsidP="00B043F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ja-JP"/>
      </w:rPr>
      <w:drawing>
        <wp:anchor distT="0" distB="0" distL="114300" distR="114300" simplePos="0" relativeHeight="251660288" behindDoc="0" locked="0" layoutInCell="1" allowOverlap="0" wp14:anchorId="7AFE2D54" wp14:editId="041DF77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22420  (</w:t>
    </w:r>
    <w:proofErr w:type="gramEnd"/>
    <w:r>
      <w:rPr>
        <w:sz w:val="20"/>
      </w:rPr>
      <w:t>F)</w:t>
    </w:r>
    <w:r w:rsidR="00956E9A">
      <w:rPr>
        <w:sz w:val="20"/>
      </w:rPr>
      <w:t xml:space="preserve">    230119    040219</w:t>
    </w:r>
    <w:r>
      <w:rPr>
        <w:sz w:val="20"/>
      </w:rPr>
      <w:br/>
    </w:r>
    <w:r w:rsidRPr="00B043F4">
      <w:rPr>
        <w:rFonts w:ascii="C39T30Lfz" w:hAnsi="C39T30Lfz"/>
        <w:sz w:val="56"/>
      </w:rPr>
      <w:t></w:t>
    </w:r>
    <w:r w:rsidRPr="00B043F4">
      <w:rPr>
        <w:rFonts w:ascii="C39T30Lfz" w:hAnsi="C39T30Lfz"/>
        <w:sz w:val="56"/>
      </w:rPr>
      <w:t></w:t>
    </w:r>
    <w:r w:rsidRPr="00B043F4">
      <w:rPr>
        <w:rFonts w:ascii="C39T30Lfz" w:hAnsi="C39T30Lfz"/>
        <w:sz w:val="56"/>
      </w:rPr>
      <w:t></w:t>
    </w:r>
    <w:r w:rsidRPr="00B043F4">
      <w:rPr>
        <w:rFonts w:ascii="C39T30Lfz" w:hAnsi="C39T30Lfz"/>
        <w:sz w:val="56"/>
      </w:rPr>
      <w:t></w:t>
    </w:r>
    <w:r w:rsidRPr="00B043F4">
      <w:rPr>
        <w:rFonts w:ascii="C39T30Lfz" w:hAnsi="C39T30Lfz"/>
        <w:sz w:val="56"/>
      </w:rPr>
      <w:t></w:t>
    </w:r>
    <w:r w:rsidRPr="00B043F4">
      <w:rPr>
        <w:rFonts w:ascii="C39T30Lfz" w:hAnsi="C39T30Lfz"/>
        <w:sz w:val="56"/>
      </w:rPr>
      <w:t></w:t>
    </w:r>
    <w:r w:rsidRPr="00B043F4">
      <w:rPr>
        <w:rFonts w:ascii="C39T30Lfz" w:hAnsi="C39T30Lfz"/>
        <w:sz w:val="56"/>
      </w:rPr>
      <w:t></w:t>
    </w:r>
    <w:r w:rsidRPr="00B043F4">
      <w:rPr>
        <w:rFonts w:ascii="C39T30Lfz" w:hAnsi="C39T30Lfz"/>
        <w:sz w:val="56"/>
      </w:rPr>
      <w:t></w:t>
    </w:r>
    <w:r w:rsidRPr="00B043F4">
      <w:rPr>
        <w:rFonts w:ascii="C39T30Lfz" w:hAnsi="C39T30Lfz"/>
        <w:sz w:val="56"/>
      </w:rPr>
      <w:t></w:t>
    </w:r>
    <w:r>
      <w:rPr>
        <w:noProof/>
        <w:sz w:val="20"/>
        <w:lang w:eastAsia="ja-JP"/>
      </w:rPr>
      <w:drawing>
        <wp:anchor distT="0" distB="0" distL="114300" distR="114300" simplePos="0" relativeHeight="251658240" behindDoc="0" locked="0" layoutInCell="1" allowOverlap="1" wp14:anchorId="0CAA55BD" wp14:editId="7DA7E32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EE0F8" w14:textId="77777777" w:rsidR="00CA0A5E" w:rsidRPr="00AC3823" w:rsidRDefault="00CA0A5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E49A88" w14:textId="77777777" w:rsidR="00CA0A5E" w:rsidRPr="00AC3823" w:rsidRDefault="00CA0A5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3965A5" w14:textId="77777777" w:rsidR="00CA0A5E" w:rsidRPr="00AC3823" w:rsidRDefault="00CA0A5E">
      <w:pPr>
        <w:spacing w:line="240" w:lineRule="auto"/>
        <w:rPr>
          <w:sz w:val="2"/>
          <w:szCs w:val="2"/>
        </w:rPr>
      </w:pPr>
    </w:p>
  </w:footnote>
  <w:footnote w:id="2">
    <w:p w14:paraId="2CC2A23E" w14:textId="77777777" w:rsidR="008D33E7" w:rsidRPr="008D33E7" w:rsidRDefault="008D33E7">
      <w:pPr>
        <w:pStyle w:val="FootnoteText"/>
      </w:pPr>
      <w:r>
        <w:rPr>
          <w:rStyle w:val="FootnoteReference"/>
        </w:rPr>
        <w:tab/>
      </w:r>
      <w:r w:rsidRPr="008D33E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8C2087">
        <w:t>Conformément au programme de travail du Comité des transports intérieurs pour la période 2018-2019 (ECE/TRANS/274, par. 123, et ECE/TRANS/2018/21/Add.1, module 3.1), le Forum mondial a pour mission d’élaborer, d’harmoniser et de mettre à jour les Règlements ONU en vue d’améliorer les caractéristiques fonctionnelles des véhicules.</w:t>
      </w:r>
      <w:r w:rsidRPr="008C2087">
        <w:rPr>
          <w:rFonts w:ascii="Segoe UI" w:hAnsi="Segoe UI" w:cs="Segoe UI"/>
          <w:sz w:val="20"/>
        </w:rPr>
        <w:t xml:space="preserve"> </w:t>
      </w:r>
      <w:r w:rsidRPr="008C2087"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84782" w14:textId="2AF93D83" w:rsidR="00B043F4" w:rsidRPr="00B043F4" w:rsidRDefault="001C675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B982" w14:textId="0A420902" w:rsidR="00B043F4" w:rsidRPr="00B043F4" w:rsidRDefault="001C6757" w:rsidP="00B043F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5E"/>
    <w:rsid w:val="00017F94"/>
    <w:rsid w:val="00023842"/>
    <w:rsid w:val="000334F9"/>
    <w:rsid w:val="0004271F"/>
    <w:rsid w:val="00045FEB"/>
    <w:rsid w:val="0007796D"/>
    <w:rsid w:val="000B7790"/>
    <w:rsid w:val="000C7C84"/>
    <w:rsid w:val="00111F2F"/>
    <w:rsid w:val="0014365E"/>
    <w:rsid w:val="00143C66"/>
    <w:rsid w:val="00176178"/>
    <w:rsid w:val="001C6757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4472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5079"/>
    <w:rsid w:val="00586ED3"/>
    <w:rsid w:val="00596AA9"/>
    <w:rsid w:val="006C3F93"/>
    <w:rsid w:val="006F26F3"/>
    <w:rsid w:val="0071601D"/>
    <w:rsid w:val="007A62E6"/>
    <w:rsid w:val="007F20FA"/>
    <w:rsid w:val="0080684C"/>
    <w:rsid w:val="00871C75"/>
    <w:rsid w:val="008776DC"/>
    <w:rsid w:val="008D33E7"/>
    <w:rsid w:val="00903D68"/>
    <w:rsid w:val="0091316C"/>
    <w:rsid w:val="009204B7"/>
    <w:rsid w:val="009406A3"/>
    <w:rsid w:val="009446C0"/>
    <w:rsid w:val="00956E9A"/>
    <w:rsid w:val="009705C8"/>
    <w:rsid w:val="00974197"/>
    <w:rsid w:val="009C1CF4"/>
    <w:rsid w:val="009E131A"/>
    <w:rsid w:val="009F6B74"/>
    <w:rsid w:val="00A3029F"/>
    <w:rsid w:val="00A30353"/>
    <w:rsid w:val="00A474FC"/>
    <w:rsid w:val="00A83130"/>
    <w:rsid w:val="00AC3823"/>
    <w:rsid w:val="00AE323C"/>
    <w:rsid w:val="00AF0CB5"/>
    <w:rsid w:val="00B00181"/>
    <w:rsid w:val="00B00B0D"/>
    <w:rsid w:val="00B043F4"/>
    <w:rsid w:val="00B45F2E"/>
    <w:rsid w:val="00B765F7"/>
    <w:rsid w:val="00BA0CA9"/>
    <w:rsid w:val="00C02897"/>
    <w:rsid w:val="00C97039"/>
    <w:rsid w:val="00CA0A5E"/>
    <w:rsid w:val="00D14055"/>
    <w:rsid w:val="00D24C00"/>
    <w:rsid w:val="00D3439C"/>
    <w:rsid w:val="00DB1831"/>
    <w:rsid w:val="00DC794E"/>
    <w:rsid w:val="00DD3BFD"/>
    <w:rsid w:val="00DF6678"/>
    <w:rsid w:val="00E0299A"/>
    <w:rsid w:val="00E85C74"/>
    <w:rsid w:val="00EA6547"/>
    <w:rsid w:val="00EF2E22"/>
    <w:rsid w:val="00F26FBE"/>
    <w:rsid w:val="00F35BAF"/>
    <w:rsid w:val="00F43210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40EA9C"/>
  <w15:docId w15:val="{BA4B55E9-B59C-4E1E-A71B-B3AE9F81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ECE/TRANS/WP.29/2019/2</vt:lpstr>
      <vt:lpstr>ECE/TRANS/WP.29/2019/2</vt:lpstr>
    </vt:vector>
  </TitlesOfParts>
  <Company>DCM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</dc:title>
  <dc:subject/>
  <dc:creator>Pascale BEYSARD</dc:creator>
  <cp:keywords/>
  <cp:lastModifiedBy>Marie-Claude Collet</cp:lastModifiedBy>
  <cp:revision>3</cp:revision>
  <cp:lastPrinted>2019-02-04T13:33:00Z</cp:lastPrinted>
  <dcterms:created xsi:type="dcterms:W3CDTF">2019-02-04T13:32:00Z</dcterms:created>
  <dcterms:modified xsi:type="dcterms:W3CDTF">2019-02-04T13:34:00Z</dcterms:modified>
</cp:coreProperties>
</file>