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28EF53B5" w:rsidR="00E044BA" w:rsidRPr="00945015" w:rsidRDefault="00E044BA" w:rsidP="00DC14EA">
            <w:pPr>
              <w:jc w:val="right"/>
              <w:rPr>
                <w:color w:val="FF0000"/>
              </w:rPr>
            </w:pPr>
            <w:r w:rsidRPr="00525E6C">
              <w:rPr>
                <w:sz w:val="40"/>
              </w:rPr>
              <w:t>ECE</w:t>
            </w:r>
            <w:r w:rsidRPr="00525E6C">
              <w:t>/TRANS/WP.29/201</w:t>
            </w:r>
            <w:r w:rsidR="006175AB">
              <w:t>9</w:t>
            </w:r>
            <w:r w:rsidRPr="00525E6C">
              <w:t>/</w:t>
            </w:r>
            <w:r w:rsidR="00CB7AAB">
              <w:t>8</w:t>
            </w:r>
            <w:r w:rsidR="00327497">
              <w:t>1</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6FA70D5E" w:rsidR="00E044BA" w:rsidRPr="00A96F13" w:rsidRDefault="00CB7AAB" w:rsidP="00E044BA">
            <w:pPr>
              <w:spacing w:line="240" w:lineRule="exact"/>
            </w:pPr>
            <w:r>
              <w:t>2</w:t>
            </w:r>
            <w:r w:rsidR="00F367E0">
              <w:t>7</w:t>
            </w:r>
            <w:r w:rsidR="00FD1CAC">
              <w:t xml:space="preserve"> </w:t>
            </w:r>
            <w:r w:rsidR="006900FE">
              <w:t xml:space="preserve">August </w:t>
            </w:r>
            <w:r w:rsidR="00FD1CAC">
              <w:t>201</w:t>
            </w:r>
            <w:r w:rsidR="006900FE">
              <w:t>9</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351B52E9" w14:textId="77777777" w:rsidR="006900FE" w:rsidRDefault="006900FE" w:rsidP="006900FE">
      <w:pPr>
        <w:tabs>
          <w:tab w:val="center" w:pos="4819"/>
        </w:tabs>
        <w:spacing w:before="120"/>
        <w:rPr>
          <w:b/>
          <w:lang w:val="en-US"/>
        </w:rPr>
      </w:pPr>
      <w:r>
        <w:rPr>
          <w:b/>
          <w:lang w:val="en-US"/>
        </w:rPr>
        <w:t>179th session</w:t>
      </w:r>
    </w:p>
    <w:p w14:paraId="7448832B" w14:textId="2B6A7C45" w:rsidR="006900FE" w:rsidRDefault="006900FE" w:rsidP="006900FE">
      <w:pPr>
        <w:rPr>
          <w:lang w:val="en-US"/>
        </w:rPr>
      </w:pPr>
      <w:r>
        <w:rPr>
          <w:lang w:val="en-US"/>
        </w:rPr>
        <w:t>Geneva, 12-1</w:t>
      </w:r>
      <w:r w:rsidR="00F367E0">
        <w:rPr>
          <w:lang w:val="en-US"/>
        </w:rPr>
        <w:t>4</w:t>
      </w:r>
      <w:r>
        <w:rPr>
          <w:lang w:val="en-US"/>
        </w:rPr>
        <w:t xml:space="preserve"> November 2019</w:t>
      </w:r>
    </w:p>
    <w:p w14:paraId="1CDCF040" w14:textId="6BDCF90B" w:rsidR="006900FE" w:rsidRDefault="006900FE" w:rsidP="006900FE">
      <w:r>
        <w:t>Item 4.6.</w:t>
      </w:r>
      <w:r w:rsidR="00327497">
        <w:t>3</w:t>
      </w:r>
      <w:r>
        <w:t xml:space="preserve"> of the provisional agenda</w:t>
      </w:r>
    </w:p>
    <w:p w14:paraId="6CB4C467" w14:textId="1B2B6A3C" w:rsidR="008405E4" w:rsidRDefault="006900FE" w:rsidP="006900FE">
      <w:pPr>
        <w:rPr>
          <w:b/>
        </w:rPr>
      </w:pPr>
      <w:r>
        <w:rPr>
          <w:b/>
        </w:rPr>
        <w:t>1958 Agreement:</w:t>
      </w:r>
      <w:r>
        <w:rPr>
          <w:b/>
        </w:rPr>
        <w:br/>
      </w:r>
      <w:r w:rsidR="00F367E0">
        <w:rPr>
          <w:b/>
        </w:rPr>
        <w:t>c</w:t>
      </w:r>
      <w:r w:rsidRPr="008405E4">
        <w:rPr>
          <w:b/>
        </w:rPr>
        <w:t>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GRE</w:t>
      </w:r>
      <w:r w:rsidRPr="008405E4">
        <w:rPr>
          <w:b/>
        </w:rPr>
        <w:t xml:space="preserve"> </w:t>
      </w:r>
    </w:p>
    <w:p w14:paraId="6DDF9C20" w14:textId="4B2A22BC" w:rsidR="00E044BA" w:rsidRPr="00525E6C" w:rsidRDefault="00E044BA" w:rsidP="00E044BA">
      <w:pPr>
        <w:pStyle w:val="HChG"/>
      </w:pPr>
      <w:r w:rsidRPr="00525E6C">
        <w:tab/>
      </w:r>
      <w:r w:rsidRPr="00525E6C">
        <w:tab/>
      </w:r>
      <w:r w:rsidR="007B4633" w:rsidRPr="007B4633">
        <w:t xml:space="preserve">Proposal for Supplement </w:t>
      </w:r>
      <w:r w:rsidR="00F737E6">
        <w:t>1</w:t>
      </w:r>
      <w:r w:rsidR="007B4633" w:rsidRPr="007B4633">
        <w:t xml:space="preserve"> to </w:t>
      </w:r>
      <w:r w:rsidR="00327497">
        <w:t>UN Regulation No. [148] (Light-Signalling Devices)</w:t>
      </w:r>
      <w:r w:rsidR="007B4633">
        <w:t xml:space="preserve"> </w:t>
      </w:r>
    </w:p>
    <w:p w14:paraId="36756971" w14:textId="2904C47C"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n Lighting and Light-Signalling</w:t>
      </w:r>
      <w:r w:rsidRPr="004A70AD">
        <w:rPr>
          <w:b w:val="0"/>
          <w:bCs/>
          <w:sz w:val="20"/>
        </w:rPr>
        <w:footnoteReference w:customMarkFollows="1" w:id="2"/>
        <w:t>*</w:t>
      </w:r>
    </w:p>
    <w:p w14:paraId="321E6D70" w14:textId="74B00343" w:rsidR="006900FE" w:rsidRPr="003C3794" w:rsidRDefault="006900FE" w:rsidP="00327497">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w:t>
      </w:r>
      <w:r w:rsidR="00327497">
        <w:rPr>
          <w:lang w:val="en-US"/>
        </w:rPr>
        <w:t xml:space="preserve">its eightieth session </w:t>
      </w:r>
      <w:r w:rsidR="00327497" w:rsidRPr="00327497">
        <w:rPr>
          <w:lang w:val="en-US"/>
        </w:rPr>
        <w:t xml:space="preserve">(ECE/TRANS/WP.29/GRE/80, paras. 11, 12, 20 </w:t>
      </w:r>
      <w:r w:rsidR="00327497" w:rsidRPr="00116160">
        <w:rPr>
          <w:spacing w:val="-6"/>
          <w:lang w:val="en-US"/>
        </w:rPr>
        <w:t>and</w:t>
      </w:r>
      <w:r w:rsidR="00116160">
        <w:rPr>
          <w:spacing w:val="-6"/>
          <w:lang w:val="en-US"/>
        </w:rPr>
        <w:t> </w:t>
      </w:r>
      <w:r w:rsidR="00327497" w:rsidRPr="00116160">
        <w:rPr>
          <w:spacing w:val="-6"/>
          <w:lang w:val="en-US"/>
        </w:rPr>
        <w:t xml:space="preserve">28). It is based on </w:t>
      </w:r>
      <w:r w:rsidR="00CC29FD" w:rsidRPr="00116160">
        <w:rPr>
          <w:spacing w:val="-6"/>
          <w:lang w:val="en-US"/>
        </w:rPr>
        <w:t>ECE/TRANS/WP.29/GRE/2018/33,</w:t>
      </w:r>
      <w:r w:rsidR="00CC29FD">
        <w:rPr>
          <w:lang w:val="en-US"/>
        </w:rPr>
        <w:t xml:space="preserve"> </w:t>
      </w:r>
      <w:r w:rsidR="00327497" w:rsidRPr="00327497">
        <w:rPr>
          <w:lang w:val="en-US"/>
        </w:rPr>
        <w:t>ECE/TRANS/WP.29/GRE/2018/36, ECE/TRANS/WP.29/GRE/2018/42 as amended by Annex III</w:t>
      </w:r>
      <w:r w:rsidR="00327497">
        <w:rPr>
          <w:lang w:val="en-US"/>
        </w:rPr>
        <w:t xml:space="preserve"> to the report</w:t>
      </w:r>
      <w:r w:rsidR="00327497" w:rsidRPr="00327497">
        <w:rPr>
          <w:lang w:val="en-US"/>
        </w:rPr>
        <w:t>,</w:t>
      </w:r>
      <w:r w:rsidR="00327497">
        <w:rPr>
          <w:lang w:val="en-US"/>
        </w:rPr>
        <w:t xml:space="preserve"> and </w:t>
      </w:r>
      <w:r w:rsidR="00327497" w:rsidRPr="00327497">
        <w:rPr>
          <w:lang w:val="en-US"/>
        </w:rPr>
        <w:t>ECE/TRANS/WP.29/GRE/2018/50</w:t>
      </w:r>
      <w:r w:rsidR="00327497">
        <w:rPr>
          <w:lang w:val="en-US"/>
        </w:rPr>
        <w: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r>
        <w:rPr>
          <w:lang w:val="en-US"/>
        </w:rPr>
        <w:t xml:space="preserve"> </w:t>
      </w:r>
      <w:r w:rsidRPr="008405E4">
        <w:rPr>
          <w:lang w:val="en-US"/>
        </w:rPr>
        <w:t xml:space="preserve"> </w:t>
      </w:r>
    </w:p>
    <w:p w14:paraId="515AEA98" w14:textId="59DDEEC9" w:rsidR="00E044BA" w:rsidRPr="003C3794" w:rsidRDefault="0009346C" w:rsidP="003C3794">
      <w:pPr>
        <w:pStyle w:val="SingleTxtG"/>
        <w:ind w:firstLine="567"/>
        <w:rPr>
          <w:lang w:val="en-US"/>
        </w:rPr>
      </w:pPr>
      <w:r>
        <w:rPr>
          <w:lang w:val="en-US"/>
        </w:rPr>
        <w:t xml:space="preserve"> </w:t>
      </w:r>
      <w:r w:rsidR="008405E4" w:rsidRPr="008405E4">
        <w:rPr>
          <w:lang w:val="en-US"/>
        </w:rPr>
        <w:t xml:space="preserve"> </w:t>
      </w:r>
    </w:p>
    <w:p w14:paraId="27E69B31" w14:textId="77777777" w:rsidR="008935CB" w:rsidRDefault="008935CB" w:rsidP="00864545">
      <w:pPr>
        <w:pStyle w:val="HChG"/>
      </w:pPr>
      <w:bookmarkStart w:id="0" w:name="_Toc354410587"/>
      <w:r>
        <w:br w:type="page"/>
      </w:r>
    </w:p>
    <w:p w14:paraId="54DC75B3" w14:textId="2ED12925" w:rsidR="00962893" w:rsidRDefault="00860D1C" w:rsidP="00864545">
      <w:pPr>
        <w:pStyle w:val="HChG"/>
      </w:pPr>
      <w:r w:rsidRPr="004E2AF7">
        <w:lastRenderedPageBreak/>
        <w:tab/>
      </w:r>
      <w:bookmarkStart w:id="1" w:name="_Toc473483449"/>
      <w:bookmarkEnd w:id="0"/>
      <w:r w:rsidR="00962893">
        <w:tab/>
      </w:r>
      <w:r w:rsidR="00327497" w:rsidRPr="00327497">
        <w:t>Supplement 1 to UN Regulation No. [148] (Light-Signalling Devices)</w:t>
      </w:r>
      <w:r w:rsidR="007B4633" w:rsidRPr="007B4633">
        <w:t xml:space="preserve"> </w:t>
      </w:r>
    </w:p>
    <w:p w14:paraId="6FCAE61C" w14:textId="77777777" w:rsidR="00BE5168" w:rsidRPr="00137502" w:rsidRDefault="00BE5168" w:rsidP="00BE5168">
      <w:pPr>
        <w:keepNext/>
        <w:tabs>
          <w:tab w:val="left" w:pos="-1242"/>
          <w:tab w:val="left" w:pos="-720"/>
        </w:tabs>
        <w:spacing w:before="120" w:after="120"/>
        <w:ind w:left="1134" w:right="-2"/>
      </w:pPr>
      <w:r w:rsidRPr="00137502">
        <w:rPr>
          <w:i/>
        </w:rPr>
        <w:t xml:space="preserve">Paragraph 2.1., </w:t>
      </w:r>
      <w:r w:rsidRPr="00137502">
        <w:t>amend to read:</w:t>
      </w:r>
    </w:p>
    <w:p w14:paraId="55EAAB3E" w14:textId="5068E705" w:rsidR="00BE5168" w:rsidRPr="00137502" w:rsidRDefault="00BE5168" w:rsidP="00BE5168">
      <w:pPr>
        <w:pStyle w:val="SingleTxtG"/>
        <w:ind w:left="2268" w:right="1467" w:hanging="1134"/>
        <w:rPr>
          <w:bCs/>
        </w:rPr>
      </w:pPr>
      <w:r w:rsidRPr="00137502">
        <w:t>"2</w:t>
      </w:r>
      <w:r w:rsidRPr="00137502">
        <w:rPr>
          <w:bCs/>
        </w:rPr>
        <w:t>.1.</w:t>
      </w:r>
      <w:r w:rsidRPr="00137502">
        <w:rPr>
          <w:bCs/>
        </w:rPr>
        <w:tab/>
        <w:t xml:space="preserve">All the definitions given in </w:t>
      </w:r>
      <w:r w:rsidRPr="00137502">
        <w:t xml:space="preserve">the latest series of amendments to </w:t>
      </w:r>
      <w:r w:rsidRPr="00137502">
        <w:rPr>
          <w:bCs/>
        </w:rPr>
        <w:t xml:space="preserve">UN Regulation No. 48 in force at the time of application for type approval shall apply, unless otherwise specified </w:t>
      </w:r>
      <w:r w:rsidRPr="00BF3DF0">
        <w:t>in this Regulation or in the pertinent installation UN Regulations Nos. 53, 74 and 86."</w:t>
      </w:r>
    </w:p>
    <w:p w14:paraId="0FDD76BE" w14:textId="77777777" w:rsidR="00934B9A" w:rsidRPr="00646A33" w:rsidRDefault="00934B9A" w:rsidP="00934B9A">
      <w:pPr>
        <w:spacing w:after="120"/>
        <w:ind w:left="2268" w:right="1134" w:hanging="1134"/>
        <w:jc w:val="both"/>
      </w:pPr>
      <w:r w:rsidRPr="00646A33">
        <w:rPr>
          <w:i/>
        </w:rPr>
        <w:t>Paragraph 2.2.,</w:t>
      </w:r>
      <w:r w:rsidRPr="00646A33">
        <w:t xml:space="preserve"> amend to read:</w:t>
      </w:r>
    </w:p>
    <w:p w14:paraId="3E211B49" w14:textId="77777777" w:rsidR="00934B9A" w:rsidRPr="00646A33" w:rsidRDefault="00934B9A" w:rsidP="00934B9A">
      <w:pPr>
        <w:pStyle w:val="SingleTxtG"/>
        <w:ind w:left="2268" w:hanging="1134"/>
      </w:pPr>
      <w:bookmarkStart w:id="2" w:name="_Toc473483452"/>
      <w:r w:rsidRPr="00646A33">
        <w:t>"</w:t>
      </w:r>
      <w:r w:rsidRPr="00646A33">
        <w:rPr>
          <w:bCs/>
        </w:rPr>
        <w:t>2</w:t>
      </w:r>
      <w:r w:rsidRPr="00646A33">
        <w:t>.2.</w:t>
      </w:r>
      <w:r w:rsidRPr="00646A33">
        <w:tab/>
      </w:r>
      <w:r w:rsidRPr="00646A33">
        <w:rPr>
          <w:i/>
        </w:rPr>
        <w:t>"Lamps of different types"</w:t>
      </w:r>
      <w:r w:rsidRPr="00646A33">
        <w:t xml:space="preserve"> means ….</w:t>
      </w:r>
    </w:p>
    <w:p w14:paraId="17208535" w14:textId="77777777" w:rsidR="00934B9A" w:rsidRPr="00571091" w:rsidRDefault="00934B9A" w:rsidP="00934B9A">
      <w:pPr>
        <w:pStyle w:val="SingleTxtG"/>
        <w:ind w:left="2268"/>
      </w:pPr>
      <w:r>
        <w:t>….</w:t>
      </w:r>
    </w:p>
    <w:p w14:paraId="55A2F2E2" w14:textId="77777777" w:rsidR="00934B9A" w:rsidRPr="00571091" w:rsidRDefault="00934B9A" w:rsidP="00934B9A">
      <w:pPr>
        <w:pStyle w:val="SingleTxtG"/>
        <w:ind w:left="2268"/>
        <w:rPr>
          <w:bCs/>
        </w:rPr>
      </w:pPr>
      <w:r w:rsidRPr="00571091">
        <w:rPr>
          <w:bCs/>
        </w:rPr>
        <w:t>A change of the colour of the light source or the colour of any filter does n</w:t>
      </w:r>
      <w:r>
        <w:rPr>
          <w:bCs/>
        </w:rPr>
        <w:t>ot constitute a change of type.</w:t>
      </w:r>
    </w:p>
    <w:bookmarkEnd w:id="2"/>
    <w:p w14:paraId="674C9D85" w14:textId="483E8AB5" w:rsidR="00934B9A" w:rsidRPr="00BF3DF0" w:rsidRDefault="00934B9A" w:rsidP="00934B9A">
      <w:pPr>
        <w:pStyle w:val="para"/>
        <w:ind w:firstLine="0"/>
        <w:rPr>
          <w:bCs/>
        </w:rPr>
      </w:pPr>
      <w:r w:rsidRPr="00BF3DF0">
        <w:rPr>
          <w:bCs/>
        </w:rPr>
        <w:t xml:space="preserve">The use of LED substitute light source(s) does not constitute a change of type. </w:t>
      </w:r>
      <w:r w:rsidR="00BF3DF0" w:rsidRPr="00BF3DF0">
        <w:rPr>
          <w:bCs/>
        </w:rPr>
        <w:t>However,</w:t>
      </w:r>
      <w:r w:rsidRPr="00BF3DF0">
        <w:rPr>
          <w:bCs/>
        </w:rPr>
        <w:t xml:space="preserve"> paragraph 4.7.7. applies."</w:t>
      </w:r>
    </w:p>
    <w:p w14:paraId="0143D3DB" w14:textId="77777777" w:rsidR="00934B9A" w:rsidRPr="00571091" w:rsidRDefault="00934B9A" w:rsidP="00934B9A">
      <w:pPr>
        <w:widowControl w:val="0"/>
        <w:spacing w:after="120"/>
        <w:ind w:left="2268" w:right="1134" w:hanging="1134"/>
        <w:jc w:val="both"/>
        <w:rPr>
          <w:i/>
        </w:rPr>
      </w:pPr>
      <w:r w:rsidRPr="00571091">
        <w:rPr>
          <w:i/>
        </w:rPr>
        <w:t>Paragraph 3.1.2.2</w:t>
      </w:r>
      <w:r w:rsidRPr="00F367E0">
        <w:rPr>
          <w:iCs/>
        </w:rPr>
        <w:t>., amend to read:</w:t>
      </w:r>
    </w:p>
    <w:p w14:paraId="2223388D" w14:textId="77777777" w:rsidR="00934B9A" w:rsidRPr="00571091" w:rsidRDefault="00934B9A" w:rsidP="00934B9A">
      <w:pPr>
        <w:pStyle w:val="SingleTxtG"/>
        <w:ind w:left="2268" w:hanging="1134"/>
        <w:rPr>
          <w:bCs/>
        </w:rPr>
      </w:pPr>
      <w:r>
        <w:t>"</w:t>
      </w:r>
      <w:r>
        <w:rPr>
          <w:bCs/>
        </w:rPr>
        <w:t>3.1.2.2.</w:t>
      </w:r>
      <w:r>
        <w:rPr>
          <w:bCs/>
        </w:rPr>
        <w:tab/>
        <w:t>A</w:t>
      </w:r>
      <w:r w:rsidRPr="00571091">
        <w:rPr>
          <w:bCs/>
        </w:rPr>
        <w:t xml:space="preserve"> brief technical description stating in particular, with the exception of lamps with non-replaceable light sources:</w:t>
      </w:r>
    </w:p>
    <w:p w14:paraId="3C3D3158" w14:textId="77777777" w:rsidR="00934B9A" w:rsidRPr="00571091" w:rsidRDefault="00934B9A" w:rsidP="00934B9A">
      <w:pPr>
        <w:pStyle w:val="SingleTxtG"/>
        <w:ind w:left="2835" w:hanging="567"/>
        <w:rPr>
          <w:bCs/>
        </w:rPr>
      </w:pPr>
      <w:r>
        <w:rPr>
          <w:bCs/>
        </w:rPr>
        <w:t>(a)</w:t>
      </w:r>
      <w:r>
        <w:rPr>
          <w:bCs/>
        </w:rPr>
        <w:tab/>
        <w:t>T</w:t>
      </w:r>
      <w:r w:rsidRPr="00571091">
        <w:rPr>
          <w:bCs/>
        </w:rPr>
        <w:t xml:space="preserve">he category or categories of filament light source(s) prescribed; this filament light source category shall </w:t>
      </w:r>
      <w:r>
        <w:rPr>
          <w:bCs/>
        </w:rPr>
        <w:t xml:space="preserve">be one of those contained in </w:t>
      </w:r>
      <w:r w:rsidRPr="00646A33">
        <w:rPr>
          <w:bCs/>
        </w:rPr>
        <w:t>R</w:t>
      </w:r>
      <w:r w:rsidRPr="00571091">
        <w:rPr>
          <w:bCs/>
        </w:rPr>
        <w:t>egulation No. 37;</w:t>
      </w:r>
    </w:p>
    <w:p w14:paraId="129AE430" w14:textId="77777777" w:rsidR="00934B9A" w:rsidRPr="00571091" w:rsidRDefault="00934B9A" w:rsidP="00934B9A">
      <w:pPr>
        <w:pStyle w:val="SingleTxtG"/>
        <w:ind w:left="2835" w:hanging="567"/>
        <w:rPr>
          <w:bCs/>
        </w:rPr>
      </w:pPr>
      <w:r>
        <w:rPr>
          <w:bCs/>
        </w:rPr>
        <w:t>(b)</w:t>
      </w:r>
      <w:r>
        <w:rPr>
          <w:bCs/>
        </w:rPr>
        <w:tab/>
        <w:t>T</w:t>
      </w:r>
      <w:r w:rsidRPr="00571091">
        <w:rPr>
          <w:bCs/>
        </w:rPr>
        <w:t xml:space="preserve">he category or categories of LED light source(s) prescribed; this LED light source category shall </w:t>
      </w:r>
      <w:r>
        <w:rPr>
          <w:bCs/>
        </w:rPr>
        <w:t xml:space="preserve">be one of those contained in </w:t>
      </w:r>
      <w:r w:rsidRPr="00646A33">
        <w:rPr>
          <w:bCs/>
        </w:rPr>
        <w:t>R</w:t>
      </w:r>
      <w:r>
        <w:rPr>
          <w:bCs/>
        </w:rPr>
        <w:t>egulation No. 128;</w:t>
      </w:r>
    </w:p>
    <w:p w14:paraId="5B30ADBF" w14:textId="77777777" w:rsidR="00934B9A" w:rsidRPr="00571091" w:rsidRDefault="00934B9A" w:rsidP="00934B9A">
      <w:pPr>
        <w:widowControl w:val="0"/>
        <w:spacing w:after="120"/>
        <w:ind w:left="2835" w:right="1134" w:hanging="567"/>
        <w:jc w:val="both"/>
        <w:rPr>
          <w:b/>
        </w:rPr>
      </w:pPr>
      <w:r>
        <w:rPr>
          <w:bCs/>
        </w:rPr>
        <w:t>(c)</w:t>
      </w:r>
      <w:r>
        <w:rPr>
          <w:bCs/>
        </w:rPr>
        <w:tab/>
        <w:t>T</w:t>
      </w:r>
      <w:r w:rsidRPr="00571091">
        <w:rPr>
          <w:bCs/>
        </w:rPr>
        <w:t>he light source module specific identification code</w:t>
      </w:r>
      <w:r w:rsidRPr="00D37F8F">
        <w:t>;</w:t>
      </w:r>
    </w:p>
    <w:p w14:paraId="75866DF2" w14:textId="77777777" w:rsidR="00934B9A" w:rsidRPr="00BF3DF0" w:rsidRDefault="00934B9A" w:rsidP="00934B9A">
      <w:pPr>
        <w:pStyle w:val="SingleTxtG"/>
        <w:ind w:left="2835" w:hanging="567"/>
        <w:rPr>
          <w:bCs/>
        </w:rPr>
      </w:pPr>
      <w:r w:rsidRPr="00BF3DF0">
        <w:rPr>
          <w:bCs/>
        </w:rPr>
        <w:t>(d)</w:t>
      </w:r>
      <w:r w:rsidRPr="00BF3DF0">
        <w:rPr>
          <w:bCs/>
        </w:rPr>
        <w:tab/>
        <w:t>In the case where, at the discretion of the applicant, the lamp also has to be approved with the LED substitute light source(s) according to Regulation No. 128, this shall be specified in the description;</w:t>
      </w:r>
    </w:p>
    <w:p w14:paraId="4134DCE4" w14:textId="77777777" w:rsidR="00934B9A" w:rsidRPr="00571091" w:rsidRDefault="00934B9A" w:rsidP="00934B9A">
      <w:pPr>
        <w:pStyle w:val="SingleTxtG"/>
        <w:ind w:left="2835" w:hanging="567"/>
      </w:pPr>
      <w:r w:rsidRPr="00BF3DF0">
        <w:rPr>
          <w:bCs/>
        </w:rPr>
        <w:t>(e)</w:t>
      </w:r>
      <w:r w:rsidRPr="00571091">
        <w:rPr>
          <w:b/>
          <w:bCs/>
        </w:rPr>
        <w:tab/>
      </w:r>
      <w:r>
        <w:rPr>
          <w:bCs/>
        </w:rPr>
        <w:t>I</w:t>
      </w:r>
      <w:r w:rsidRPr="00571091">
        <w:rPr>
          <w:bCs/>
        </w:rPr>
        <w:t>n the case of a category S3 or S4 stop lamp, which is intended to be mounted inside the vehicle, the technical description shall contain the specification of the optical properties (transmission, colour, inclination, etc.) of the rear window(s).</w:t>
      </w:r>
      <w:r>
        <w:t>"</w:t>
      </w:r>
    </w:p>
    <w:p w14:paraId="240AF9F6" w14:textId="77777777" w:rsidR="00934B9A" w:rsidRPr="008A06FF" w:rsidRDefault="00934B9A" w:rsidP="00934B9A">
      <w:pPr>
        <w:spacing w:after="120"/>
        <w:ind w:left="2268" w:right="1134" w:hanging="1134"/>
        <w:jc w:val="both"/>
      </w:pPr>
      <w:r w:rsidRPr="008A06FF">
        <w:rPr>
          <w:i/>
        </w:rPr>
        <w:t xml:space="preserve">Paragraph 3.3.4.1.1., </w:t>
      </w:r>
      <w:r w:rsidRPr="008A06FF">
        <w:t>amend to read:</w:t>
      </w:r>
    </w:p>
    <w:p w14:paraId="542411C1" w14:textId="77777777" w:rsidR="00934B9A" w:rsidRPr="00116160" w:rsidRDefault="00934B9A" w:rsidP="00934B9A">
      <w:pPr>
        <w:spacing w:after="120"/>
        <w:ind w:left="2268" w:right="1134" w:hanging="1134"/>
        <w:jc w:val="both"/>
        <w:rPr>
          <w:shd w:val="pct15" w:color="auto" w:fill="FFFFFF"/>
        </w:rPr>
      </w:pPr>
      <w:r w:rsidRPr="008A06FF">
        <w:t>"3.3.4.1.1.</w:t>
      </w:r>
      <w:r w:rsidRPr="008A06FF">
        <w:tab/>
        <w:t xml:space="preserve">In any case the approval </w:t>
      </w:r>
      <w:r w:rsidRPr="00646A33">
        <w:t xml:space="preserve">marking or the </w:t>
      </w:r>
      <w:r w:rsidRPr="008A06FF">
        <w:t>Unique Identifier</w:t>
      </w:r>
      <w:r w:rsidRPr="008A06FF">
        <w:rPr>
          <w:b/>
        </w:rPr>
        <w:t xml:space="preserve"> </w:t>
      </w:r>
      <w:r w:rsidRPr="00BF3DF0">
        <w:rPr>
          <w:bCs/>
        </w:rPr>
        <w:t>as well as the category or categories of LED substitute light source(s) prescribed, if any,</w:t>
      </w:r>
      <w:r w:rsidRPr="008735E3">
        <w:t xml:space="preserve"> shall be visible when the lamp is fitted on the vehicle or when a movable part such as the hood or boot lid or a door is opened."</w:t>
      </w:r>
    </w:p>
    <w:p w14:paraId="06CA0C95" w14:textId="77777777" w:rsidR="00934B9A" w:rsidRPr="00571091" w:rsidRDefault="00934B9A" w:rsidP="00934B9A">
      <w:pPr>
        <w:spacing w:after="120"/>
        <w:ind w:left="2268" w:right="1134" w:hanging="1134"/>
        <w:jc w:val="both"/>
      </w:pPr>
      <w:r w:rsidRPr="00571091">
        <w:rPr>
          <w:i/>
        </w:rPr>
        <w:t xml:space="preserve">Paragraph 3.3.4.3., </w:t>
      </w:r>
      <w:r w:rsidRPr="00571091">
        <w:t>amend to read:</w:t>
      </w:r>
    </w:p>
    <w:p w14:paraId="10516016" w14:textId="77777777" w:rsidR="00934B9A" w:rsidRPr="00571091" w:rsidRDefault="00934B9A" w:rsidP="00934B9A">
      <w:pPr>
        <w:pStyle w:val="para"/>
      </w:pPr>
      <w:r w:rsidRPr="00496FEA">
        <w:t>"</w:t>
      </w:r>
      <w:r w:rsidRPr="00571091">
        <w:t>3.3.4.3.</w:t>
      </w:r>
      <w:r w:rsidRPr="00571091">
        <w:tab/>
        <w:t>With the exception of lamps with non-replaceable light sources, bear a clearly legible and indelible marking indicating:</w:t>
      </w:r>
    </w:p>
    <w:p w14:paraId="1CDFE910" w14:textId="77777777" w:rsidR="00934B9A" w:rsidRDefault="00934B9A" w:rsidP="00934B9A">
      <w:pPr>
        <w:widowControl w:val="0"/>
        <w:spacing w:after="120"/>
        <w:ind w:left="2835" w:right="1134" w:hanging="567"/>
        <w:jc w:val="both"/>
        <w:rPr>
          <w:snapToGrid w:val="0"/>
        </w:rPr>
      </w:pPr>
      <w:r>
        <w:rPr>
          <w:snapToGrid w:val="0"/>
        </w:rPr>
        <w:t>(a)</w:t>
      </w:r>
      <w:r>
        <w:rPr>
          <w:snapToGrid w:val="0"/>
        </w:rPr>
        <w:tab/>
      </w:r>
      <w:r w:rsidRPr="00BF3DF0">
        <w:rPr>
          <w:snapToGrid w:val="0"/>
        </w:rPr>
        <w:t xml:space="preserve">The category or categories of light source(s) prescribed; </w:t>
      </w:r>
      <w:r w:rsidRPr="00BF3DF0">
        <w:rPr>
          <w:snapToGrid w:val="0"/>
          <w:color w:val="FF0000"/>
        </w:rPr>
        <w:tab/>
      </w:r>
      <w:r w:rsidRPr="00BF3DF0">
        <w:rPr>
          <w:snapToGrid w:val="0"/>
        </w:rPr>
        <w:t>i</w:t>
      </w:r>
      <w:r w:rsidRPr="00BF3DF0">
        <w:t>n the case where the lamp has been approved for LED substitute light source(s), also the category or categories of the LED substitute light source(s);</w:t>
      </w:r>
      <w:r w:rsidRPr="00F367E0">
        <w:rPr>
          <w:b/>
          <w:bCs/>
        </w:rPr>
        <w:t xml:space="preserve"> </w:t>
      </w:r>
      <w:r w:rsidRPr="00571091">
        <w:rPr>
          <w:snapToGrid w:val="0"/>
        </w:rPr>
        <w:t>and/or</w:t>
      </w:r>
    </w:p>
    <w:p w14:paraId="54FCBFB6" w14:textId="77777777" w:rsidR="00934B9A" w:rsidRPr="00571091" w:rsidRDefault="00934B9A" w:rsidP="00934B9A">
      <w:pPr>
        <w:widowControl w:val="0"/>
        <w:spacing w:after="120"/>
        <w:ind w:left="2268" w:right="1134" w:hanging="1134"/>
        <w:jc w:val="both"/>
        <w:rPr>
          <w:b/>
        </w:rPr>
      </w:pPr>
      <w:r>
        <w:rPr>
          <w:snapToGrid w:val="0"/>
        </w:rPr>
        <w:tab/>
      </w:r>
      <w:r w:rsidRPr="008F7268">
        <w:rPr>
          <w:snapToGrid w:val="0"/>
        </w:rPr>
        <w:t>(</w:t>
      </w:r>
      <w:r>
        <w:rPr>
          <w:snapToGrid w:val="0"/>
        </w:rPr>
        <w:t>b</w:t>
      </w:r>
      <w:r w:rsidRPr="008F7268">
        <w:rPr>
          <w:snapToGrid w:val="0"/>
        </w:rPr>
        <w:t>)</w:t>
      </w:r>
      <w:r>
        <w:rPr>
          <w:snapToGrid w:val="0"/>
        </w:rPr>
        <w:tab/>
        <w:t>T</w:t>
      </w:r>
      <w:r w:rsidRPr="00571091">
        <w:rPr>
          <w:snapToGrid w:val="0"/>
        </w:rPr>
        <w:t>he light source module specific identification code.</w:t>
      </w:r>
      <w:r>
        <w:t>"</w:t>
      </w:r>
    </w:p>
    <w:p w14:paraId="2EE94B13" w14:textId="77777777" w:rsidR="00BF3DF0" w:rsidRPr="00BB2385" w:rsidRDefault="00BF3DF0" w:rsidP="00BF3DF0">
      <w:pPr>
        <w:spacing w:after="120"/>
        <w:ind w:left="2127" w:right="1134" w:hanging="993"/>
        <w:jc w:val="both"/>
        <w:rPr>
          <w:rFonts w:eastAsia="MS PMincho"/>
        </w:rPr>
      </w:pPr>
      <w:r w:rsidRPr="00BB2385">
        <w:rPr>
          <w:rFonts w:eastAsia="MS PMincho"/>
          <w:i/>
          <w:iCs/>
        </w:rPr>
        <w:t xml:space="preserve">Insert </w:t>
      </w:r>
      <w:r>
        <w:rPr>
          <w:rFonts w:eastAsia="MS PMincho"/>
          <w:i/>
          <w:iCs/>
        </w:rPr>
        <w:t xml:space="preserve">a </w:t>
      </w:r>
      <w:r w:rsidRPr="00BB2385">
        <w:rPr>
          <w:rFonts w:eastAsia="MS PMincho"/>
          <w:i/>
          <w:iCs/>
        </w:rPr>
        <w:t xml:space="preserve">new paragraph </w:t>
      </w:r>
      <w:r w:rsidRPr="00BB2385">
        <w:rPr>
          <w:rFonts w:eastAsia="MS PMincho" w:hint="eastAsia"/>
          <w:i/>
          <w:iCs/>
          <w:lang w:eastAsia="ja-JP"/>
        </w:rPr>
        <w:t>3.</w:t>
      </w:r>
      <w:r w:rsidRPr="00BB2385">
        <w:rPr>
          <w:rFonts w:eastAsia="MS PMincho" w:hint="eastAsia"/>
          <w:i/>
          <w:iCs/>
        </w:rPr>
        <w:t>5.1</w:t>
      </w:r>
      <w:r w:rsidRPr="00BB2385">
        <w:rPr>
          <w:rFonts w:eastAsia="MS PMincho" w:hint="eastAsia"/>
          <w:i/>
          <w:iCs/>
          <w:lang w:eastAsia="ja-JP"/>
        </w:rPr>
        <w:t>.</w:t>
      </w:r>
      <w:r w:rsidRPr="00BB2385">
        <w:rPr>
          <w:rFonts w:eastAsia="MS PMincho" w:hint="eastAsia"/>
          <w:i/>
          <w:iCs/>
        </w:rPr>
        <w:t>1</w:t>
      </w:r>
      <w:r w:rsidRPr="00BB2385">
        <w:rPr>
          <w:rFonts w:eastAsia="MS PMincho"/>
          <w:i/>
          <w:iCs/>
        </w:rPr>
        <w:t>.</w:t>
      </w:r>
      <w:r w:rsidRPr="00BB2385">
        <w:rPr>
          <w:rFonts w:eastAsia="MS PMincho" w:hint="eastAsia"/>
          <w:i/>
          <w:iCs/>
          <w:lang w:eastAsia="ja-JP"/>
        </w:rPr>
        <w:t>1</w:t>
      </w:r>
      <w:r w:rsidRPr="00BB2385">
        <w:rPr>
          <w:rFonts w:eastAsia="MS PMincho"/>
          <w:i/>
          <w:iCs/>
        </w:rPr>
        <w:t>.</w:t>
      </w:r>
      <w:r w:rsidRPr="00BB2385">
        <w:rPr>
          <w:rFonts w:eastAsia="MS PMincho"/>
          <w:i/>
        </w:rPr>
        <w:t>,</w:t>
      </w:r>
      <w:r w:rsidRPr="00BB2385">
        <w:rPr>
          <w:rFonts w:eastAsia="MS PMincho"/>
        </w:rPr>
        <w:t xml:space="preserve"> to read:</w:t>
      </w:r>
    </w:p>
    <w:p w14:paraId="46F1E8FA" w14:textId="2C320763" w:rsidR="00BF3DF0" w:rsidRPr="00BF3DF0" w:rsidRDefault="00BF3DF0" w:rsidP="00BF3DF0">
      <w:pPr>
        <w:spacing w:after="120"/>
        <w:ind w:left="2268" w:right="1134" w:hanging="1134"/>
        <w:jc w:val="both"/>
        <w:rPr>
          <w:rFonts w:eastAsia="MS PMincho"/>
        </w:rPr>
      </w:pPr>
      <w:r w:rsidRPr="00BF3DF0">
        <w:rPr>
          <w:rFonts w:eastAsia="MS PMincho"/>
          <w:iCs/>
        </w:rPr>
        <w:t>"</w:t>
      </w:r>
      <w:r w:rsidRPr="00BF3DF0">
        <w:rPr>
          <w:rFonts w:eastAsia="MS PMincho"/>
        </w:rPr>
        <w:t>3.5.1.1.1</w:t>
      </w:r>
      <w:r w:rsidRPr="00BF3DF0">
        <w:rPr>
          <w:rFonts w:eastAsia="MS PMincho"/>
        </w:rPr>
        <w:tab/>
        <w:t xml:space="preserve">In the case of daytime running lamp whose maximum luminous intensity </w:t>
      </w:r>
      <w:r w:rsidRPr="00BF3DF0">
        <w:rPr>
          <w:rFonts w:eastAsia="MS PMincho" w:hint="eastAsia"/>
          <w:lang w:eastAsia="ja-JP"/>
        </w:rPr>
        <w:t xml:space="preserve">does not exceed </w:t>
      </w:r>
      <w:r w:rsidRPr="00BF3DF0">
        <w:rPr>
          <w:rFonts w:eastAsia="MS PMincho"/>
        </w:rPr>
        <w:t>700 cd as identified in Annex 1, 700 cd shall be applied as maximum luminous intensity for conformity of production procedures set forth in Annex 4.</w:t>
      </w:r>
      <w:r w:rsidRPr="00BF3DF0">
        <w:rPr>
          <w:rFonts w:eastAsia="MS PMincho" w:hint="eastAsia"/>
          <w:lang w:eastAsia="ja-JP"/>
        </w:rPr>
        <w:t xml:space="preserve"> </w:t>
      </w:r>
      <w:r w:rsidRPr="00BF3DF0">
        <w:rPr>
          <w:rFonts w:eastAsia="MS PMincho"/>
        </w:rPr>
        <w:t>"</w:t>
      </w:r>
    </w:p>
    <w:p w14:paraId="7F538C18" w14:textId="4F19E9A8" w:rsidR="00934B9A" w:rsidRPr="00571091" w:rsidRDefault="00934B9A" w:rsidP="00934B9A">
      <w:pPr>
        <w:spacing w:after="120"/>
        <w:ind w:left="2268" w:right="1134" w:hanging="1134"/>
        <w:jc w:val="both"/>
      </w:pPr>
      <w:r w:rsidRPr="00571091">
        <w:rPr>
          <w:i/>
        </w:rPr>
        <w:t>Insert a new paragraph 3.5.4.,</w:t>
      </w:r>
      <w:r w:rsidRPr="00571091">
        <w:t xml:space="preserve"> to read:</w:t>
      </w:r>
    </w:p>
    <w:p w14:paraId="433272E6" w14:textId="77777777" w:rsidR="00934B9A" w:rsidRPr="00BF3DF0" w:rsidRDefault="00934B9A" w:rsidP="00934B9A">
      <w:pPr>
        <w:spacing w:after="120"/>
        <w:ind w:left="2268" w:right="1134" w:hanging="1134"/>
        <w:jc w:val="both"/>
      </w:pPr>
      <w:r w:rsidRPr="00BF3DF0">
        <w:t>"3.5.4.</w:t>
      </w:r>
      <w:r w:rsidRPr="00BF3DF0">
        <w:tab/>
        <w:t>Testing with LED substitute light sources is exempted from conformity of production control."</w:t>
      </w:r>
    </w:p>
    <w:p w14:paraId="016EB6E7" w14:textId="77777777" w:rsidR="00934B9A" w:rsidRPr="00646A33" w:rsidRDefault="00934B9A" w:rsidP="00934B9A">
      <w:pPr>
        <w:spacing w:after="120"/>
        <w:ind w:left="2268" w:right="1134" w:hanging="1134"/>
        <w:jc w:val="both"/>
      </w:pPr>
      <w:r w:rsidRPr="00646A33">
        <w:rPr>
          <w:i/>
        </w:rPr>
        <w:t xml:space="preserve">Paragraph 4.3.1.4., </w:t>
      </w:r>
      <w:r w:rsidRPr="00646A33">
        <w:t>amend to read:</w:t>
      </w:r>
    </w:p>
    <w:p w14:paraId="0F6B6B20" w14:textId="4F543D99" w:rsidR="00934B9A" w:rsidRPr="00BF3DF0" w:rsidRDefault="00F367E0" w:rsidP="00934B9A">
      <w:pPr>
        <w:pStyle w:val="SingleTxtG"/>
        <w:ind w:left="2268" w:hanging="1134"/>
        <w:rPr>
          <w:rFonts w:asciiTheme="majorBidi" w:hAnsiTheme="majorBidi" w:cstheme="majorBidi"/>
        </w:rPr>
      </w:pPr>
      <w:r w:rsidRPr="00BF3DF0">
        <w:t>"</w:t>
      </w:r>
      <w:r w:rsidR="00934B9A" w:rsidRPr="004B5A45">
        <w:rPr>
          <w:rFonts w:asciiTheme="majorBidi" w:hAnsiTheme="majorBidi" w:cstheme="majorBidi"/>
        </w:rPr>
        <w:t xml:space="preserve">4.3.1.4. </w:t>
      </w:r>
      <w:r w:rsidR="00934B9A" w:rsidRPr="004B5A45">
        <w:rPr>
          <w:rFonts w:asciiTheme="majorBidi" w:hAnsiTheme="majorBidi" w:cstheme="majorBidi"/>
        </w:rPr>
        <w:tab/>
      </w:r>
      <w:r w:rsidR="00934B9A" w:rsidRPr="00BF3DF0">
        <w:rPr>
          <w:rFonts w:asciiTheme="majorBidi" w:hAnsiTheme="majorBidi" w:cstheme="majorBidi"/>
        </w:rPr>
        <w:t>The light source(s) holder shall conform to the characteristics given in IEC Publication 60061. The holder data sheet relevant to the category of light source(s) prescribed applies.</w:t>
      </w:r>
    </w:p>
    <w:p w14:paraId="26F96EBD" w14:textId="7F34741F" w:rsidR="00934B9A" w:rsidRPr="00BF3DF0" w:rsidRDefault="00934B9A" w:rsidP="00934B9A">
      <w:pPr>
        <w:pStyle w:val="SingleTxtG"/>
        <w:ind w:left="2268"/>
        <w:rPr>
          <w:rFonts w:asciiTheme="majorBidi" w:hAnsiTheme="majorBidi" w:cstheme="majorBidi"/>
        </w:rPr>
      </w:pPr>
      <w:r w:rsidRPr="00BF3DF0">
        <w:rPr>
          <w:rFonts w:asciiTheme="majorBidi" w:hAnsiTheme="majorBidi" w:cstheme="majorBidi"/>
        </w:rPr>
        <w:t>Alternatively, where a category of LED substitute light source(s) is also prescribed, the holder data sheet relevant to the category of LED substitute light source(s) applies.</w:t>
      </w:r>
      <w:r w:rsidR="00F367E0" w:rsidRPr="00BF3DF0">
        <w:t>"</w:t>
      </w:r>
    </w:p>
    <w:p w14:paraId="4A1A0BE8" w14:textId="77777777" w:rsidR="00934B9A" w:rsidRPr="00571091" w:rsidRDefault="00934B9A" w:rsidP="00934B9A">
      <w:pPr>
        <w:spacing w:after="120"/>
        <w:ind w:left="2268" w:right="1134" w:hanging="1134"/>
        <w:jc w:val="both"/>
      </w:pPr>
      <w:r w:rsidRPr="00571091">
        <w:rPr>
          <w:i/>
        </w:rPr>
        <w:t>Insert a new paragraph 4.7.7.,</w:t>
      </w:r>
      <w:r w:rsidRPr="00571091">
        <w:t xml:space="preserve"> to read:</w:t>
      </w:r>
    </w:p>
    <w:p w14:paraId="6447B129" w14:textId="77777777" w:rsidR="00934B9A" w:rsidRPr="00BF3DF0" w:rsidRDefault="00934B9A" w:rsidP="00934B9A">
      <w:pPr>
        <w:spacing w:after="120"/>
        <w:ind w:left="2268" w:right="1134" w:hanging="1134"/>
        <w:jc w:val="both"/>
      </w:pPr>
      <w:r w:rsidRPr="00BF3DF0">
        <w:t>"4.7.7.</w:t>
      </w:r>
      <w:r w:rsidRPr="00BF3DF0">
        <w:tab/>
        <w:t xml:space="preserve">In the case where the lamp, at the </w:t>
      </w:r>
      <w:r w:rsidRPr="00BF3DF0">
        <w:rPr>
          <w:lang w:eastAsia="ja-JP"/>
        </w:rPr>
        <w:t>discretion</w:t>
      </w:r>
      <w:r w:rsidRPr="00BF3DF0">
        <w:t xml:space="preserve"> of the applicant, also has to be approved with LED substitute light source(s), all measurements, photometric and colorimetric, shall be repeated using the LED substitute light source(s) </w:t>
      </w:r>
      <w:r w:rsidRPr="00BF3DF0">
        <w:rPr>
          <w:snapToGrid w:val="0"/>
        </w:rPr>
        <w:t>prescribed</w:t>
      </w:r>
      <w:r w:rsidRPr="00BF3DF0">
        <w:t>."</w:t>
      </w:r>
    </w:p>
    <w:p w14:paraId="091892D1" w14:textId="77777777" w:rsidR="00BF3DF0" w:rsidRDefault="00BF3DF0" w:rsidP="00BF3DF0">
      <w:pPr>
        <w:autoSpaceDE w:val="0"/>
        <w:autoSpaceDN w:val="0"/>
        <w:adjustRightInd w:val="0"/>
        <w:spacing w:after="120"/>
        <w:ind w:left="1134" w:right="1134"/>
        <w:jc w:val="both"/>
        <w:rPr>
          <w:i/>
          <w:lang w:val="en-US"/>
        </w:rPr>
      </w:pPr>
      <w:r w:rsidRPr="00BB2385">
        <w:rPr>
          <w:i/>
          <w:lang w:val="en-US"/>
        </w:rPr>
        <w:t xml:space="preserve">Annex 1, </w:t>
      </w:r>
    </w:p>
    <w:p w14:paraId="7CF587EF" w14:textId="2B72C7AF" w:rsidR="00BF3DF0" w:rsidRPr="00BB2385" w:rsidRDefault="00BF3DF0" w:rsidP="00BF3DF0">
      <w:pPr>
        <w:autoSpaceDE w:val="0"/>
        <w:autoSpaceDN w:val="0"/>
        <w:adjustRightInd w:val="0"/>
        <w:spacing w:after="120"/>
        <w:ind w:left="1134" w:right="1134"/>
        <w:jc w:val="both"/>
        <w:rPr>
          <w:lang w:val="en-US"/>
        </w:rPr>
      </w:pPr>
      <w:r>
        <w:rPr>
          <w:i/>
          <w:lang w:val="en-US"/>
        </w:rPr>
        <w:t xml:space="preserve">Insert a new item </w:t>
      </w:r>
      <w:r w:rsidRPr="00BB2385">
        <w:rPr>
          <w:i/>
          <w:lang w:val="en-US"/>
        </w:rPr>
        <w:t>9.</w:t>
      </w:r>
      <w:r>
        <w:rPr>
          <w:i/>
          <w:lang w:val="en-US"/>
        </w:rPr>
        <w:t>1.5</w:t>
      </w:r>
      <w:r w:rsidRPr="00BB2385">
        <w:rPr>
          <w:lang w:val="en-US"/>
        </w:rPr>
        <w:t xml:space="preserve"> to read:</w:t>
      </w:r>
    </w:p>
    <w:p w14:paraId="2647C4E6" w14:textId="55CE38F3" w:rsidR="00BF3DF0" w:rsidRPr="00BF3DF0" w:rsidRDefault="00BF3DF0" w:rsidP="00BF3DF0">
      <w:pPr>
        <w:spacing w:after="120"/>
        <w:ind w:left="2268" w:right="1134" w:hanging="1134"/>
        <w:jc w:val="both"/>
      </w:pPr>
      <w:r w:rsidRPr="00BB2385">
        <w:t>"</w:t>
      </w:r>
      <w:r w:rsidRPr="00BF3DF0">
        <w:rPr>
          <w:rFonts w:hint="eastAsia"/>
        </w:rPr>
        <w:t>9</w:t>
      </w:r>
      <w:r w:rsidRPr="00BF3DF0">
        <w:t>.</w:t>
      </w:r>
      <w:r w:rsidRPr="00BF3DF0">
        <w:rPr>
          <w:rFonts w:hint="eastAsia"/>
        </w:rPr>
        <w:t>1.</w:t>
      </w:r>
      <w:r w:rsidRPr="00BF3DF0">
        <w:t>5.</w:t>
      </w:r>
      <w:r w:rsidRPr="00BF3DF0">
        <w:rPr>
          <w:rFonts w:hint="eastAsia"/>
        </w:rPr>
        <w:t xml:space="preserve">　</w:t>
      </w:r>
      <w:r w:rsidRPr="00BF3DF0">
        <w:t xml:space="preserve">　　</w:t>
      </w:r>
      <w:r w:rsidRPr="00BF3DF0">
        <w:t xml:space="preserve">A </w:t>
      </w:r>
      <w:r>
        <w:t>d</w:t>
      </w:r>
      <w:r w:rsidRPr="00BF3DF0">
        <w:t xml:space="preserve">aytime </w:t>
      </w:r>
      <w:r>
        <w:t>r</w:t>
      </w:r>
      <w:r w:rsidRPr="00BF3DF0">
        <w:t xml:space="preserve">unning </w:t>
      </w:r>
      <w:proofErr w:type="gramStart"/>
      <w:r>
        <w:t>l</w:t>
      </w:r>
      <w:r w:rsidRPr="00BF3DF0">
        <w:t>amp</w:t>
      </w:r>
      <w:proofErr w:type="gramEnd"/>
    </w:p>
    <w:p w14:paraId="46B88CDD" w14:textId="1C2058CD" w:rsidR="00BF3DF0" w:rsidRPr="00BF3DF0" w:rsidRDefault="00BF3DF0" w:rsidP="00BF3DF0">
      <w:pPr>
        <w:spacing w:after="120"/>
        <w:ind w:left="2268" w:right="1134" w:hanging="1134"/>
        <w:jc w:val="both"/>
      </w:pPr>
      <w:r w:rsidRPr="00BF3DF0">
        <w:tab/>
      </w:r>
      <w:r w:rsidRPr="00BF3DF0">
        <w:tab/>
      </w:r>
      <w:r w:rsidRPr="00BF3DF0">
        <w:rPr>
          <w:rFonts w:hint="eastAsia"/>
        </w:rPr>
        <w:t>Maximum luminous intensity does not exceed 700 cd: yes/no</w:t>
      </w:r>
      <w:r w:rsidRPr="00BF3DF0">
        <w:t>"</w:t>
      </w:r>
    </w:p>
    <w:p w14:paraId="14BFC3A2" w14:textId="1AC516A6" w:rsidR="00934B9A" w:rsidRPr="00AC3BFA" w:rsidRDefault="00934B9A" w:rsidP="00934B9A">
      <w:pPr>
        <w:spacing w:after="120"/>
        <w:ind w:left="2268" w:right="1134" w:hanging="1134"/>
        <w:jc w:val="both"/>
      </w:pPr>
      <w:r w:rsidRPr="00AC3BFA">
        <w:rPr>
          <w:i/>
        </w:rPr>
        <w:t xml:space="preserve">Annex 1, item 9.2., </w:t>
      </w:r>
      <w:r w:rsidRPr="00AC3BFA">
        <w:t>amend to read:</w:t>
      </w:r>
    </w:p>
    <w:p w14:paraId="1BC0E3D6" w14:textId="77777777" w:rsidR="00934B9A" w:rsidRPr="00AC3BFA" w:rsidRDefault="00934B9A" w:rsidP="00934B9A">
      <w:pPr>
        <w:spacing w:after="120"/>
        <w:ind w:left="2268" w:right="1134" w:hanging="1134"/>
        <w:jc w:val="both"/>
      </w:pPr>
      <w:r w:rsidRPr="00AC3BFA">
        <w:t>"9.2</w:t>
      </w:r>
      <w:r>
        <w:t>.</w:t>
      </w:r>
      <w:r w:rsidRPr="00AC3BFA">
        <w:tab/>
        <w:t>By light signalling function and category:</w:t>
      </w:r>
    </w:p>
    <w:p w14:paraId="51F1553E" w14:textId="77777777" w:rsidR="00934B9A" w:rsidRPr="00AC3BFA" w:rsidRDefault="00934B9A" w:rsidP="00934B9A">
      <w:pPr>
        <w:spacing w:after="120"/>
        <w:ind w:left="2268" w:right="1134" w:hanging="1134"/>
        <w:jc w:val="both"/>
      </w:pPr>
      <w:r w:rsidRPr="00AC3BFA">
        <w:tab/>
        <w:t>For mounting either outside or inside or both</w:t>
      </w:r>
      <w:r w:rsidRPr="00AC3BFA">
        <w:rPr>
          <w:rStyle w:val="FootnoteReference"/>
        </w:rPr>
        <w:t>2</w:t>
      </w:r>
    </w:p>
    <w:p w14:paraId="326016D2" w14:textId="77777777" w:rsidR="00934B9A" w:rsidRPr="00AC3BFA" w:rsidRDefault="00934B9A" w:rsidP="00934B9A">
      <w:pPr>
        <w:spacing w:after="120"/>
        <w:ind w:left="2268" w:right="1134" w:hanging="1134"/>
        <w:jc w:val="both"/>
      </w:pPr>
      <w:r w:rsidRPr="00AC3BFA">
        <w:tab/>
        <w:t>Colour of light emitted: red/white/amber/colourless</w:t>
      </w:r>
      <w:r w:rsidRPr="00AC3BFA">
        <w:rPr>
          <w:rStyle w:val="FootnoteReference"/>
        </w:rPr>
        <w:t>2</w:t>
      </w:r>
    </w:p>
    <w:p w14:paraId="2B585453" w14:textId="77777777" w:rsidR="00934B9A" w:rsidRPr="00AC3BFA" w:rsidRDefault="00934B9A" w:rsidP="00934B9A">
      <w:pPr>
        <w:spacing w:after="120"/>
        <w:ind w:left="2268" w:right="1134"/>
        <w:jc w:val="both"/>
      </w:pPr>
      <w:r w:rsidRPr="00AC3BFA">
        <w:t>Number, category and kind of light source(s):</w:t>
      </w:r>
    </w:p>
    <w:p w14:paraId="76A7CC6A" w14:textId="77777777" w:rsidR="00934B9A" w:rsidRPr="00AC3BFA" w:rsidRDefault="00934B9A" w:rsidP="00934B9A">
      <w:pPr>
        <w:spacing w:after="120"/>
        <w:ind w:left="2268" w:right="1134"/>
        <w:jc w:val="both"/>
      </w:pPr>
      <w:r w:rsidRPr="00AC3BFA">
        <w:rPr>
          <w:bCs/>
        </w:rPr>
        <w:t xml:space="preserve">Lamp approved for LED substitute light source(s): </w:t>
      </w:r>
      <w:r w:rsidRPr="00AC3BFA">
        <w:t>yes/no</w:t>
      </w:r>
      <w:r w:rsidRPr="00AC3BFA">
        <w:tab/>
      </w:r>
    </w:p>
    <w:p w14:paraId="1E59FDAA" w14:textId="77777777" w:rsidR="00934B9A" w:rsidRPr="00AC3BFA" w:rsidRDefault="00934B9A" w:rsidP="00934B9A">
      <w:pPr>
        <w:spacing w:after="120"/>
        <w:ind w:left="2268" w:right="1134"/>
        <w:jc w:val="both"/>
      </w:pPr>
      <w:r w:rsidRPr="00AC3BFA">
        <w:t>If yes, category of LED substitute light source(s)</w:t>
      </w:r>
    </w:p>
    <w:p w14:paraId="7D651FAC" w14:textId="77777777" w:rsidR="00934B9A" w:rsidRPr="00AC3BFA" w:rsidRDefault="00934B9A" w:rsidP="00934B9A">
      <w:pPr>
        <w:spacing w:after="120"/>
        <w:ind w:left="2268" w:right="1134" w:hanging="1134"/>
        <w:jc w:val="both"/>
      </w:pPr>
      <w:r w:rsidRPr="00AC3BFA">
        <w:tab/>
        <w:t>Voltage and wattage:</w:t>
      </w:r>
    </w:p>
    <w:p w14:paraId="2B7CFD2D" w14:textId="1A57C32C" w:rsidR="00934B9A" w:rsidRDefault="00934B9A" w:rsidP="00934B9A">
      <w:pPr>
        <w:spacing w:after="120"/>
        <w:ind w:left="2268" w:right="1134"/>
        <w:jc w:val="both"/>
      </w:pPr>
      <w:r w:rsidRPr="00AC3BFA">
        <w:t>…."</w:t>
      </w:r>
    </w:p>
    <w:p w14:paraId="30135914" w14:textId="77777777" w:rsidR="00934B9A" w:rsidRDefault="00BE5168" w:rsidP="00BE5168">
      <w:pPr>
        <w:keepNext/>
        <w:tabs>
          <w:tab w:val="left" w:pos="-1242"/>
          <w:tab w:val="left" w:pos="-720"/>
        </w:tabs>
        <w:spacing w:before="120" w:after="120"/>
        <w:ind w:left="1134" w:right="-2"/>
        <w:rPr>
          <w:i/>
        </w:rPr>
      </w:pPr>
      <w:r>
        <w:rPr>
          <w:i/>
        </w:rPr>
        <w:t xml:space="preserve">Annex 2, </w:t>
      </w:r>
    </w:p>
    <w:p w14:paraId="3386897E" w14:textId="7835A153" w:rsidR="00BE5168" w:rsidRDefault="00BE5168" w:rsidP="00BE5168">
      <w:pPr>
        <w:keepNext/>
        <w:tabs>
          <w:tab w:val="left" w:pos="-1242"/>
          <w:tab w:val="left" w:pos="-720"/>
        </w:tabs>
        <w:spacing w:before="120" w:after="120"/>
        <w:ind w:left="1134" w:right="-2"/>
      </w:pPr>
      <w:r w:rsidRPr="008357CC">
        <w:rPr>
          <w:i/>
        </w:rPr>
        <w:t>Table A2-1</w:t>
      </w:r>
      <w:r w:rsidRPr="00FB12CB">
        <w:rPr>
          <w:i/>
        </w:rPr>
        <w:t xml:space="preserve">, line </w:t>
      </w:r>
      <w:r w:rsidRPr="00F748AA">
        <w:rPr>
          <w:i/>
        </w:rPr>
        <w:t>"</w:t>
      </w:r>
      <w:r w:rsidRPr="00FB12CB">
        <w:rPr>
          <w:i/>
        </w:rPr>
        <w:t>Rear position pair (MR)</w:t>
      </w:r>
      <w:r w:rsidRPr="00F748AA">
        <w:rPr>
          <w:i/>
        </w:rPr>
        <w:t>"</w:t>
      </w:r>
      <w:r>
        <w:t xml:space="preserve">, amend to </w:t>
      </w:r>
      <w:r w:rsidRPr="008357CC">
        <w:t>read:</w:t>
      </w:r>
    </w:p>
    <w:p w14:paraId="4B558183" w14:textId="77777777" w:rsidR="00BE5168" w:rsidRPr="00F748AA" w:rsidRDefault="00BE5168" w:rsidP="00BE5168">
      <w:pPr>
        <w:keepNext/>
        <w:tabs>
          <w:tab w:val="left" w:pos="-1242"/>
          <w:tab w:val="left" w:pos="-720"/>
        </w:tabs>
        <w:spacing w:before="120" w:after="120"/>
        <w:ind w:left="1134" w:right="-2"/>
        <w:rPr>
          <w:iCs/>
        </w:rPr>
      </w:pPr>
      <w:r w:rsidRPr="00F748AA">
        <w:rPr>
          <w:iCs/>
        </w:rPr>
        <w:t>"</w:t>
      </w:r>
    </w:p>
    <w:tbl>
      <w:tblPr>
        <w:tblStyle w:val="TableGrid"/>
        <w:tblW w:w="8188" w:type="dxa"/>
        <w:tblInd w:w="851" w:type="dxa"/>
        <w:tblLayout w:type="fixed"/>
        <w:tblLook w:val="04A0" w:firstRow="1" w:lastRow="0" w:firstColumn="1" w:lastColumn="0" w:noHBand="0" w:noVBand="1"/>
      </w:tblPr>
      <w:tblGrid>
        <w:gridCol w:w="3368"/>
        <w:gridCol w:w="1985"/>
        <w:gridCol w:w="1843"/>
        <w:gridCol w:w="992"/>
      </w:tblGrid>
      <w:tr w:rsidR="00BE5168" w:rsidRPr="004D0C28" w14:paraId="62E6081A" w14:textId="77777777" w:rsidTr="002509F8">
        <w:tc>
          <w:tcPr>
            <w:tcW w:w="3368" w:type="dxa"/>
            <w:tcBorders>
              <w:top w:val="single" w:sz="4" w:space="0" w:color="auto"/>
              <w:bottom w:val="single" w:sz="12" w:space="0" w:color="auto"/>
            </w:tcBorders>
            <w:vAlign w:val="center"/>
          </w:tcPr>
          <w:p w14:paraId="2A565728" w14:textId="77777777" w:rsidR="00BE5168" w:rsidRPr="004D0C28" w:rsidRDefault="00BE5168" w:rsidP="002509F8">
            <w:pPr>
              <w:ind w:left="147"/>
              <w:jc w:val="center"/>
              <w:rPr>
                <w:bCs/>
                <w:i/>
                <w:sz w:val="16"/>
              </w:rPr>
            </w:pPr>
            <w:r w:rsidRPr="004D0C28">
              <w:rPr>
                <w:bCs/>
                <w:i/>
                <w:sz w:val="16"/>
              </w:rPr>
              <w:t>Lamp</w:t>
            </w:r>
          </w:p>
        </w:tc>
        <w:tc>
          <w:tcPr>
            <w:tcW w:w="1985" w:type="dxa"/>
            <w:tcBorders>
              <w:top w:val="single" w:sz="4" w:space="0" w:color="auto"/>
              <w:bottom w:val="single" w:sz="12" w:space="0" w:color="auto"/>
            </w:tcBorders>
            <w:vAlign w:val="center"/>
          </w:tcPr>
          <w:p w14:paraId="4D5A67D5" w14:textId="77777777" w:rsidR="00BE5168" w:rsidRPr="00317261" w:rsidRDefault="00BE5168" w:rsidP="002509F8">
            <w:pPr>
              <w:ind w:left="147"/>
              <w:jc w:val="center"/>
              <w:rPr>
                <w:bCs/>
                <w:i/>
                <w:sz w:val="16"/>
              </w:rPr>
            </w:pPr>
            <w:r w:rsidRPr="00317261">
              <w:rPr>
                <w:bCs/>
                <w:i/>
                <w:sz w:val="16"/>
              </w:rPr>
              <w:t>Minimum horizontal angles</w:t>
            </w:r>
          </w:p>
          <w:p w14:paraId="204E291A" w14:textId="77777777" w:rsidR="00BE5168" w:rsidRPr="00317261" w:rsidRDefault="00BE5168" w:rsidP="002509F8">
            <w:pPr>
              <w:ind w:left="147"/>
              <w:jc w:val="center"/>
              <w:rPr>
                <w:bCs/>
                <w:i/>
                <w:sz w:val="16"/>
              </w:rPr>
            </w:pPr>
            <w:r w:rsidRPr="00317261">
              <w:rPr>
                <w:bCs/>
                <w:i/>
                <w:sz w:val="16"/>
              </w:rPr>
              <w:t>(inboard / outboard)</w:t>
            </w:r>
          </w:p>
        </w:tc>
        <w:tc>
          <w:tcPr>
            <w:tcW w:w="1843" w:type="dxa"/>
            <w:tcBorders>
              <w:top w:val="single" w:sz="4" w:space="0" w:color="auto"/>
              <w:bottom w:val="single" w:sz="12" w:space="0" w:color="auto"/>
            </w:tcBorders>
            <w:vAlign w:val="center"/>
          </w:tcPr>
          <w:p w14:paraId="718B924D" w14:textId="77777777" w:rsidR="00BE5168" w:rsidRPr="00317261" w:rsidRDefault="00BE5168" w:rsidP="002509F8">
            <w:pPr>
              <w:ind w:left="147"/>
              <w:jc w:val="center"/>
              <w:rPr>
                <w:bCs/>
                <w:i/>
                <w:sz w:val="16"/>
              </w:rPr>
            </w:pPr>
            <w:r w:rsidRPr="00317261">
              <w:rPr>
                <w:bCs/>
                <w:i/>
                <w:sz w:val="16"/>
              </w:rPr>
              <w:t>Minimum vertical angles</w:t>
            </w:r>
          </w:p>
          <w:p w14:paraId="1278753C" w14:textId="77777777" w:rsidR="00BE5168" w:rsidRPr="00317261" w:rsidRDefault="00BE5168" w:rsidP="002509F8">
            <w:pPr>
              <w:ind w:left="147"/>
              <w:jc w:val="center"/>
              <w:rPr>
                <w:bCs/>
                <w:i/>
                <w:sz w:val="16"/>
              </w:rPr>
            </w:pPr>
            <w:r w:rsidRPr="00317261">
              <w:rPr>
                <w:bCs/>
                <w:i/>
                <w:sz w:val="16"/>
              </w:rPr>
              <w:t>(above / below)</w:t>
            </w:r>
          </w:p>
        </w:tc>
        <w:tc>
          <w:tcPr>
            <w:tcW w:w="992" w:type="dxa"/>
            <w:tcBorders>
              <w:top w:val="single" w:sz="4" w:space="0" w:color="auto"/>
              <w:bottom w:val="single" w:sz="12" w:space="0" w:color="auto"/>
            </w:tcBorders>
            <w:vAlign w:val="center"/>
          </w:tcPr>
          <w:p w14:paraId="32362995" w14:textId="77777777" w:rsidR="00BE5168" w:rsidRPr="004D0C28" w:rsidRDefault="00BE5168" w:rsidP="002509F8">
            <w:pPr>
              <w:ind w:left="147"/>
              <w:jc w:val="center"/>
              <w:rPr>
                <w:bCs/>
                <w:i/>
                <w:sz w:val="16"/>
              </w:rPr>
            </w:pPr>
            <w:r w:rsidRPr="004D0C28">
              <w:rPr>
                <w:bCs/>
                <w:i/>
                <w:sz w:val="16"/>
              </w:rPr>
              <w:t>Additional information</w:t>
            </w:r>
          </w:p>
        </w:tc>
      </w:tr>
      <w:tr w:rsidR="00BE5168" w:rsidRPr="00C15BEC" w14:paraId="3CEDBF2A" w14:textId="77777777" w:rsidTr="002509F8">
        <w:tc>
          <w:tcPr>
            <w:tcW w:w="3368" w:type="dxa"/>
            <w:vAlign w:val="center"/>
          </w:tcPr>
          <w:p w14:paraId="2DD1B885" w14:textId="77777777" w:rsidR="00BE5168" w:rsidRPr="00C15BEC" w:rsidRDefault="00BE5168" w:rsidP="002509F8">
            <w:pPr>
              <w:ind w:left="147"/>
              <w:rPr>
                <w:sz w:val="18"/>
                <w:szCs w:val="18"/>
              </w:rPr>
            </w:pPr>
            <w:r>
              <w:rPr>
                <w:sz w:val="18"/>
                <w:szCs w:val="18"/>
              </w:rPr>
              <w:t>…</w:t>
            </w:r>
          </w:p>
        </w:tc>
        <w:tc>
          <w:tcPr>
            <w:tcW w:w="1985" w:type="dxa"/>
            <w:vAlign w:val="center"/>
          </w:tcPr>
          <w:p w14:paraId="61A08F72" w14:textId="77777777" w:rsidR="00BE5168" w:rsidRPr="00B13E56" w:rsidRDefault="00BE5168" w:rsidP="002509F8">
            <w:pPr>
              <w:ind w:left="147"/>
              <w:jc w:val="center"/>
              <w:rPr>
                <w:sz w:val="18"/>
                <w:szCs w:val="18"/>
              </w:rPr>
            </w:pPr>
          </w:p>
        </w:tc>
        <w:tc>
          <w:tcPr>
            <w:tcW w:w="1843" w:type="dxa"/>
            <w:vAlign w:val="center"/>
          </w:tcPr>
          <w:p w14:paraId="67ABED0A" w14:textId="77777777" w:rsidR="00BE5168" w:rsidRPr="00E80283" w:rsidRDefault="00BE5168" w:rsidP="002509F8">
            <w:pPr>
              <w:ind w:left="147"/>
              <w:jc w:val="center"/>
              <w:rPr>
                <w:sz w:val="18"/>
                <w:szCs w:val="18"/>
              </w:rPr>
            </w:pPr>
          </w:p>
        </w:tc>
        <w:tc>
          <w:tcPr>
            <w:tcW w:w="992" w:type="dxa"/>
            <w:vAlign w:val="center"/>
          </w:tcPr>
          <w:p w14:paraId="49B196A9" w14:textId="77777777" w:rsidR="00BE5168" w:rsidRPr="00C15BEC" w:rsidRDefault="00BE5168" w:rsidP="002509F8">
            <w:pPr>
              <w:ind w:left="147"/>
              <w:jc w:val="center"/>
              <w:rPr>
                <w:sz w:val="18"/>
                <w:szCs w:val="18"/>
              </w:rPr>
            </w:pPr>
          </w:p>
        </w:tc>
      </w:tr>
      <w:tr w:rsidR="00BE5168" w:rsidRPr="00C15BEC" w14:paraId="69906ADF" w14:textId="77777777" w:rsidTr="002509F8">
        <w:tc>
          <w:tcPr>
            <w:tcW w:w="3368" w:type="dxa"/>
            <w:vAlign w:val="center"/>
          </w:tcPr>
          <w:p w14:paraId="07CB8C12" w14:textId="77777777" w:rsidR="00BE5168" w:rsidRPr="00C15BEC" w:rsidRDefault="00BE5168" w:rsidP="002509F8">
            <w:pPr>
              <w:ind w:left="147"/>
              <w:rPr>
                <w:sz w:val="18"/>
                <w:szCs w:val="18"/>
              </w:rPr>
            </w:pPr>
            <w:r w:rsidRPr="00C15BEC">
              <w:rPr>
                <w:sz w:val="18"/>
                <w:szCs w:val="18"/>
              </w:rPr>
              <w:t>Rear position pair (MR)</w:t>
            </w:r>
          </w:p>
        </w:tc>
        <w:tc>
          <w:tcPr>
            <w:tcW w:w="1985" w:type="dxa"/>
            <w:vAlign w:val="center"/>
          </w:tcPr>
          <w:p w14:paraId="1457C9B6" w14:textId="1FC5CE96" w:rsidR="00BE5168" w:rsidRPr="00E80283" w:rsidRDefault="00BE5168" w:rsidP="00934B9A">
            <w:pPr>
              <w:ind w:left="147"/>
              <w:jc w:val="center"/>
              <w:rPr>
                <w:sz w:val="18"/>
                <w:szCs w:val="18"/>
              </w:rPr>
            </w:pPr>
            <w:r w:rsidRPr="00934B9A">
              <w:rPr>
                <w:rFonts w:hint="eastAsia"/>
                <w:bCs/>
                <w:sz w:val="18"/>
                <w:szCs w:val="18"/>
                <w:lang w:eastAsia="ja-JP"/>
              </w:rPr>
              <w:t>20</w:t>
            </w:r>
            <w:r w:rsidRPr="00934B9A">
              <w:rPr>
                <w:bCs/>
                <w:sz w:val="18"/>
                <w:szCs w:val="18"/>
              </w:rPr>
              <w:t>°</w:t>
            </w:r>
            <w:r w:rsidRPr="001B20E5">
              <w:rPr>
                <w:sz w:val="18"/>
                <w:szCs w:val="18"/>
              </w:rPr>
              <w:t xml:space="preserve"> / 80°</w:t>
            </w:r>
          </w:p>
        </w:tc>
        <w:tc>
          <w:tcPr>
            <w:tcW w:w="1843" w:type="dxa"/>
            <w:vAlign w:val="center"/>
          </w:tcPr>
          <w:p w14:paraId="06E206D7" w14:textId="77777777" w:rsidR="00BE5168" w:rsidRPr="00E80283" w:rsidRDefault="00BE5168" w:rsidP="002509F8">
            <w:pPr>
              <w:ind w:left="147"/>
              <w:jc w:val="center"/>
              <w:rPr>
                <w:sz w:val="18"/>
                <w:szCs w:val="18"/>
              </w:rPr>
            </w:pPr>
            <w:r w:rsidRPr="00E80283">
              <w:rPr>
                <w:sz w:val="18"/>
                <w:szCs w:val="18"/>
              </w:rPr>
              <w:t>15° / 15°</w:t>
            </w:r>
          </w:p>
          <w:p w14:paraId="282D10AB" w14:textId="5CEB895D" w:rsidR="00BE5168" w:rsidRPr="00E80283" w:rsidRDefault="00BE5168" w:rsidP="002509F8">
            <w:pPr>
              <w:ind w:left="147"/>
              <w:jc w:val="center"/>
              <w:rPr>
                <w:sz w:val="18"/>
                <w:szCs w:val="18"/>
              </w:rPr>
            </w:pPr>
            <w:r w:rsidRPr="00E80283">
              <w:rPr>
                <w:sz w:val="18"/>
                <w:szCs w:val="18"/>
              </w:rPr>
              <w:t>15° / 5°</w:t>
            </w:r>
            <w:r w:rsidR="00934B9A">
              <w:rPr>
                <w:sz w:val="18"/>
                <w:szCs w:val="18"/>
                <w:vertAlign w:val="superscript"/>
              </w:rPr>
              <w:t>2</w:t>
            </w:r>
          </w:p>
        </w:tc>
        <w:tc>
          <w:tcPr>
            <w:tcW w:w="992" w:type="dxa"/>
            <w:vAlign w:val="center"/>
          </w:tcPr>
          <w:p w14:paraId="63E52A30" w14:textId="77777777" w:rsidR="00BE5168" w:rsidRPr="00C15BEC" w:rsidRDefault="00BE5168" w:rsidP="002509F8">
            <w:pPr>
              <w:ind w:left="147"/>
              <w:jc w:val="center"/>
              <w:rPr>
                <w:sz w:val="18"/>
                <w:szCs w:val="18"/>
              </w:rPr>
            </w:pPr>
            <w:r w:rsidRPr="00C15BEC">
              <w:rPr>
                <w:sz w:val="18"/>
                <w:szCs w:val="18"/>
              </w:rPr>
              <w:t>-</w:t>
            </w:r>
          </w:p>
        </w:tc>
      </w:tr>
      <w:tr w:rsidR="00BE5168" w:rsidRPr="00C15BEC" w14:paraId="53C1BFA6" w14:textId="77777777" w:rsidTr="002509F8">
        <w:tc>
          <w:tcPr>
            <w:tcW w:w="3368" w:type="dxa"/>
            <w:vAlign w:val="center"/>
          </w:tcPr>
          <w:p w14:paraId="6460DB61" w14:textId="77777777" w:rsidR="00BE5168" w:rsidRPr="00C15BEC" w:rsidRDefault="00BE5168" w:rsidP="002509F8">
            <w:pPr>
              <w:ind w:left="147"/>
              <w:rPr>
                <w:sz w:val="18"/>
                <w:szCs w:val="18"/>
              </w:rPr>
            </w:pPr>
            <w:r>
              <w:rPr>
                <w:sz w:val="18"/>
                <w:szCs w:val="18"/>
              </w:rPr>
              <w:t>…</w:t>
            </w:r>
          </w:p>
        </w:tc>
        <w:tc>
          <w:tcPr>
            <w:tcW w:w="1985" w:type="dxa"/>
            <w:vAlign w:val="center"/>
          </w:tcPr>
          <w:p w14:paraId="72CD076E" w14:textId="77777777" w:rsidR="00BE5168" w:rsidRPr="00B13E56" w:rsidRDefault="00BE5168" w:rsidP="002509F8">
            <w:pPr>
              <w:ind w:left="147"/>
              <w:jc w:val="center"/>
              <w:rPr>
                <w:sz w:val="18"/>
                <w:szCs w:val="18"/>
              </w:rPr>
            </w:pPr>
          </w:p>
        </w:tc>
        <w:tc>
          <w:tcPr>
            <w:tcW w:w="1843" w:type="dxa"/>
            <w:vAlign w:val="center"/>
          </w:tcPr>
          <w:p w14:paraId="3EA2F614" w14:textId="77777777" w:rsidR="00BE5168" w:rsidRPr="00E80283" w:rsidRDefault="00BE5168" w:rsidP="002509F8">
            <w:pPr>
              <w:ind w:left="147"/>
              <w:jc w:val="center"/>
              <w:rPr>
                <w:sz w:val="18"/>
                <w:szCs w:val="18"/>
                <w:vertAlign w:val="superscript"/>
              </w:rPr>
            </w:pPr>
          </w:p>
        </w:tc>
        <w:tc>
          <w:tcPr>
            <w:tcW w:w="992" w:type="dxa"/>
            <w:vAlign w:val="center"/>
          </w:tcPr>
          <w:p w14:paraId="0CC7457F" w14:textId="77777777" w:rsidR="00BE5168" w:rsidRPr="00C15BEC" w:rsidRDefault="00BE5168" w:rsidP="002509F8">
            <w:pPr>
              <w:ind w:left="147"/>
              <w:jc w:val="center"/>
              <w:rPr>
                <w:sz w:val="18"/>
                <w:szCs w:val="18"/>
              </w:rPr>
            </w:pPr>
          </w:p>
        </w:tc>
      </w:tr>
    </w:tbl>
    <w:p w14:paraId="4AE22B14" w14:textId="714D0FAE" w:rsidR="00BE5168" w:rsidRPr="00F748AA" w:rsidRDefault="00BE5168" w:rsidP="00BE5168">
      <w:pPr>
        <w:keepNext/>
        <w:tabs>
          <w:tab w:val="left" w:pos="-1242"/>
          <w:tab w:val="left" w:pos="-720"/>
        </w:tabs>
        <w:spacing w:before="120" w:after="120"/>
        <w:ind w:left="1134" w:right="-2"/>
        <w:rPr>
          <w:iCs/>
        </w:rPr>
      </w:pPr>
      <w:r w:rsidRPr="00F748AA">
        <w:rPr>
          <w:iCs/>
        </w:rPr>
        <w:t>"</w:t>
      </w:r>
    </w:p>
    <w:bookmarkEnd w:id="1"/>
    <w:p w14:paraId="1CE1A716" w14:textId="699A3BC8" w:rsidR="004865D9" w:rsidRPr="00F367E0" w:rsidRDefault="00F367E0" w:rsidP="00F367E0">
      <w:pPr>
        <w:spacing w:before="240"/>
        <w:jc w:val="center"/>
        <w:rPr>
          <w:u w:val="single"/>
        </w:rPr>
      </w:pPr>
      <w:r>
        <w:rPr>
          <w:u w:val="single"/>
        </w:rPr>
        <w:tab/>
      </w:r>
      <w:r>
        <w:rPr>
          <w:u w:val="single"/>
        </w:rPr>
        <w:tab/>
      </w:r>
      <w:r>
        <w:rPr>
          <w:u w:val="single"/>
        </w:rPr>
        <w:tab/>
      </w:r>
      <w:bookmarkStart w:id="3" w:name="_GoBack"/>
      <w:bookmarkEnd w:id="3"/>
    </w:p>
    <w:sectPr w:rsidR="004865D9" w:rsidRPr="00F367E0" w:rsidSect="007F3EBE">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F367E0">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01D6B226" w:rsidR="008935CB" w:rsidRDefault="008935CB" w:rsidP="008935CB">
    <w:pPr>
      <w:pStyle w:val="Header"/>
    </w:pPr>
    <w:r>
      <w:t>ECE/TRANS/WP.29/201</w:t>
    </w:r>
    <w:r w:rsidR="006E4060">
      <w:t>9</w:t>
    </w:r>
    <w:r>
      <w:t>/</w:t>
    </w:r>
    <w:r w:rsidR="00CB7AAB">
      <w:t>8</w:t>
    </w:r>
    <w:r w:rsidR="0032749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15164C5B" w:rsidR="0009346C" w:rsidRDefault="0009346C" w:rsidP="0009346C">
    <w:pPr>
      <w:pStyle w:val="Header"/>
      <w:jc w:val="right"/>
    </w:pPr>
    <w:r>
      <w:t>ECE/TRANS/WP.29/2019/</w:t>
    </w:r>
    <w:r w:rsidR="00635273">
      <w:t>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0A51"/>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16160"/>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B7645"/>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27497"/>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4033"/>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253"/>
    <w:rsid w:val="00634F10"/>
    <w:rsid w:val="00635273"/>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0FE"/>
    <w:rsid w:val="00690FDF"/>
    <w:rsid w:val="006919E3"/>
    <w:rsid w:val="006944F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1F8C"/>
    <w:rsid w:val="006F24F3"/>
    <w:rsid w:val="006F384F"/>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3EBE"/>
    <w:rsid w:val="007F43E2"/>
    <w:rsid w:val="007F6611"/>
    <w:rsid w:val="00800E61"/>
    <w:rsid w:val="0080347D"/>
    <w:rsid w:val="00804DB7"/>
    <w:rsid w:val="00805314"/>
    <w:rsid w:val="00810C2E"/>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4B9A"/>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04C"/>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2C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5168"/>
    <w:rsid w:val="00BE618E"/>
    <w:rsid w:val="00BF1990"/>
    <w:rsid w:val="00BF3DF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B7AAB"/>
    <w:rsid w:val="00CC29FD"/>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7E0"/>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8AA"/>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550337620">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CEB5-D1FE-4D2D-AAD5-7FEB0CED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9</TotalTime>
  <Pages>3</Pages>
  <Words>839</Words>
  <Characters>4593</Characters>
  <Application>Microsoft Office Word</Application>
  <DocSecurity>0</DocSecurity>
  <Lines>135</Lines>
  <Paragraphs>90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5342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8</cp:revision>
  <cp:lastPrinted>2019-08-27T07:57:00Z</cp:lastPrinted>
  <dcterms:created xsi:type="dcterms:W3CDTF">2019-08-20T15:29:00Z</dcterms:created>
  <dcterms:modified xsi:type="dcterms:W3CDTF">2019-08-27T08:01:00Z</dcterms:modified>
</cp:coreProperties>
</file>