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BE34C5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B07760" w14:textId="77777777" w:rsidR="00F35BAF" w:rsidRPr="00DB58B5" w:rsidRDefault="00F35BAF" w:rsidP="00A756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E07D7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3ADAA8" w14:textId="77777777" w:rsidR="00F35BAF" w:rsidRPr="00DB58B5" w:rsidRDefault="00A756F5" w:rsidP="00A756F5">
            <w:pPr>
              <w:jc w:val="right"/>
            </w:pPr>
            <w:r w:rsidRPr="00A756F5">
              <w:rPr>
                <w:sz w:val="40"/>
              </w:rPr>
              <w:t>ECE</w:t>
            </w:r>
            <w:r>
              <w:t>/TRANS/WP.29/2019/94</w:t>
            </w:r>
          </w:p>
        </w:tc>
      </w:tr>
      <w:tr w:rsidR="00F35BAF" w:rsidRPr="00DB58B5" w14:paraId="0133C2F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F4F32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E2CA3E" wp14:editId="3E758F4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20426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06E90" w14:textId="77777777" w:rsidR="00F35BAF" w:rsidRDefault="00A756F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2BE81F9" w14:textId="77777777" w:rsidR="00A756F5" w:rsidRDefault="00A756F5" w:rsidP="00A756F5">
            <w:pPr>
              <w:spacing w:line="240" w:lineRule="exact"/>
            </w:pPr>
            <w:r>
              <w:t>22 août 2019</w:t>
            </w:r>
          </w:p>
          <w:p w14:paraId="518D0A71" w14:textId="77777777" w:rsidR="00A756F5" w:rsidRDefault="00A756F5" w:rsidP="00A756F5">
            <w:pPr>
              <w:spacing w:line="240" w:lineRule="exact"/>
            </w:pPr>
            <w:r>
              <w:t>Français</w:t>
            </w:r>
          </w:p>
          <w:p w14:paraId="2AD67ADA" w14:textId="77777777" w:rsidR="00A756F5" w:rsidRPr="00DB58B5" w:rsidRDefault="00A756F5" w:rsidP="00A756F5">
            <w:pPr>
              <w:spacing w:line="240" w:lineRule="exact"/>
            </w:pPr>
            <w:r>
              <w:t>Original : anglais</w:t>
            </w:r>
          </w:p>
        </w:tc>
      </w:tr>
    </w:tbl>
    <w:p w14:paraId="39CAE8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010D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84A2D3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B68BE7" w14:textId="77777777" w:rsidR="00A756F5" w:rsidRDefault="00A756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010D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621D15E" w14:textId="77777777" w:rsidR="00A756F5" w:rsidRPr="00E22104" w:rsidRDefault="00A756F5" w:rsidP="00A756F5">
      <w:pPr>
        <w:tabs>
          <w:tab w:val="center" w:pos="4819"/>
        </w:tabs>
        <w:spacing w:before="120"/>
        <w:rPr>
          <w:b/>
        </w:rPr>
      </w:pPr>
      <w:bookmarkStart w:id="1" w:name="_Hlk20489152"/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E22104">
        <w:rPr>
          <w:b/>
          <w:bCs/>
          <w:lang w:val="fr-FR"/>
        </w:rPr>
        <w:t>session</w:t>
      </w:r>
    </w:p>
    <w:p w14:paraId="1A69E2AF" w14:textId="77777777" w:rsidR="00A756F5" w:rsidRPr="00E22104" w:rsidRDefault="00A756F5" w:rsidP="00A756F5">
      <w:r>
        <w:rPr>
          <w:lang w:val="fr-FR"/>
        </w:rPr>
        <w:t>Genève, 12-</w:t>
      </w:r>
      <w:r w:rsidRPr="00E22104">
        <w:rPr>
          <w:lang w:val="fr-FR"/>
        </w:rPr>
        <w:t>14</w:t>
      </w:r>
      <w:r>
        <w:rPr>
          <w:lang w:val="fr-FR"/>
        </w:rPr>
        <w:t> </w:t>
      </w:r>
      <w:r w:rsidRPr="00E22104">
        <w:rPr>
          <w:lang w:val="fr-FR"/>
        </w:rPr>
        <w:t>novembre 2019</w:t>
      </w:r>
    </w:p>
    <w:p w14:paraId="6B2A1DC0" w14:textId="77777777" w:rsidR="00A756F5" w:rsidRPr="00E22104" w:rsidRDefault="00A756F5" w:rsidP="00A756F5">
      <w:r w:rsidRPr="00E22104">
        <w:rPr>
          <w:lang w:val="fr-FR"/>
        </w:rPr>
        <w:t>Point 4.7.2 de l</w:t>
      </w:r>
      <w:r w:rsidR="00B010D9">
        <w:rPr>
          <w:lang w:val="fr-FR"/>
        </w:rPr>
        <w:t>’</w:t>
      </w:r>
      <w:r w:rsidRPr="00E22104">
        <w:rPr>
          <w:lang w:val="fr-FR"/>
        </w:rPr>
        <w:t>ordre du jour provisoire</w:t>
      </w:r>
    </w:p>
    <w:p w14:paraId="49C44835" w14:textId="77777777" w:rsidR="00A756F5" w:rsidRPr="00E22104" w:rsidRDefault="00A756F5" w:rsidP="00A756F5">
      <w:pPr>
        <w:rPr>
          <w:b/>
        </w:rPr>
      </w:pPr>
      <w:r w:rsidRPr="00E22104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E22104">
        <w:rPr>
          <w:b/>
          <w:bCs/>
          <w:lang w:val="fr-FR"/>
        </w:rPr>
        <w:t>: Examen de projets d</w:t>
      </w:r>
      <w:r w:rsidR="00B010D9">
        <w:rPr>
          <w:b/>
          <w:bCs/>
          <w:lang w:val="fr-FR"/>
        </w:rPr>
        <w:t>’</w:t>
      </w:r>
      <w:r w:rsidRPr="00E22104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E22104">
        <w:rPr>
          <w:b/>
          <w:bCs/>
          <w:lang w:val="fr-FR"/>
        </w:rPr>
        <w:t xml:space="preserve">à des Règlements ONU </w:t>
      </w:r>
      <w:proofErr w:type="gramStart"/>
      <w:r w:rsidRPr="00E22104">
        <w:rPr>
          <w:b/>
          <w:bCs/>
          <w:lang w:val="fr-FR"/>
        </w:rPr>
        <w:t>existants,  soumis</w:t>
      </w:r>
      <w:proofErr w:type="gramEnd"/>
      <w:r w:rsidRPr="00E22104">
        <w:rPr>
          <w:b/>
          <w:bCs/>
          <w:lang w:val="fr-FR"/>
        </w:rPr>
        <w:t xml:space="preserve"> par le GRSG</w:t>
      </w:r>
    </w:p>
    <w:p w14:paraId="0A130408" w14:textId="77777777" w:rsidR="00A756F5" w:rsidRDefault="00A756F5" w:rsidP="00A756F5">
      <w:pPr>
        <w:pStyle w:val="HChG"/>
        <w:jc w:val="both"/>
        <w:rPr>
          <w:bCs/>
          <w:szCs w:val="28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série 03 d</w:t>
      </w:r>
      <w:r w:rsidR="00B010D9">
        <w:rPr>
          <w:bCs/>
          <w:lang w:val="fr-FR"/>
        </w:rPr>
        <w:t>’</w:t>
      </w:r>
      <w:r>
        <w:rPr>
          <w:bCs/>
          <w:lang w:val="fr-FR"/>
        </w:rPr>
        <w:t>amendements au Règlement ONU n</w:t>
      </w:r>
      <w:r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67 (Véhicules alimentés au GPL)</w:t>
      </w:r>
    </w:p>
    <w:p w14:paraId="168E542A" w14:textId="77777777" w:rsidR="00A756F5" w:rsidRDefault="00A756F5" w:rsidP="00A756F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E22104">
        <w:rPr>
          <w:bCs/>
          <w:szCs w:val="24"/>
          <w:lang w:val="fr-FR"/>
        </w:rPr>
        <w:t>Communication des experts du Groupe de travail des dispositions générales de sécurité</w:t>
      </w:r>
      <w:r w:rsidRPr="00A756F5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6D3F9E01" w14:textId="77777777" w:rsidR="00A756F5" w:rsidRDefault="00A756F5" w:rsidP="00A756F5">
      <w:pPr>
        <w:pStyle w:val="SingleTxtG"/>
        <w:ind w:firstLine="567"/>
        <w:rPr>
          <w:lang w:val="fr-FR"/>
        </w:rPr>
      </w:pPr>
      <w:r w:rsidRPr="00E22104">
        <w:rPr>
          <w:lang w:val="fr-FR"/>
        </w:rPr>
        <w:t>Le texte ci-après a été adopté par le Groupe de travail des dispositions générales de sécurité (GRSG) à sa 116</w:t>
      </w:r>
      <w:r w:rsidRPr="00E22104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E22104">
        <w:rPr>
          <w:lang w:val="fr-FR"/>
        </w:rPr>
        <w:t>session (ECE/TRANS/WP.29/GRSG/95, par.</w:t>
      </w:r>
      <w:r>
        <w:rPr>
          <w:lang w:val="fr-FR"/>
        </w:rPr>
        <w:t> </w:t>
      </w:r>
      <w:r w:rsidRPr="00E22104">
        <w:rPr>
          <w:lang w:val="fr-FR"/>
        </w:rPr>
        <w:t>39). Il est fondé sur le document ECE/TRANS/WP.29/GRSG/2017/22, tel qu</w:t>
      </w:r>
      <w:r w:rsidR="00B010D9">
        <w:rPr>
          <w:lang w:val="fr-FR"/>
        </w:rPr>
        <w:t>’</w:t>
      </w:r>
      <w:r w:rsidRPr="00E22104">
        <w:rPr>
          <w:lang w:val="fr-FR"/>
        </w:rPr>
        <w:t>il est reproduit à l</w:t>
      </w:r>
      <w:r w:rsidR="00B010D9">
        <w:rPr>
          <w:lang w:val="fr-FR"/>
        </w:rPr>
        <w:t>’</w:t>
      </w:r>
      <w:r w:rsidRPr="00E22104">
        <w:rPr>
          <w:lang w:val="fr-FR"/>
        </w:rPr>
        <w:t>annexe IV du rapport. Il est soumis au Forum mondial de l</w:t>
      </w:r>
      <w:r w:rsidR="00B010D9">
        <w:rPr>
          <w:lang w:val="fr-FR"/>
        </w:rPr>
        <w:t>’</w:t>
      </w:r>
      <w:r w:rsidRPr="00E22104">
        <w:rPr>
          <w:lang w:val="fr-FR"/>
        </w:rPr>
        <w:t>harmonisation des Règlements concernant les véhicules (WP.29) et au Comité</w:t>
      </w:r>
      <w:r>
        <w:rPr>
          <w:lang w:val="fr-FR"/>
        </w:rPr>
        <w:t xml:space="preserve"> </w:t>
      </w:r>
      <w:r w:rsidRPr="00E22104">
        <w:rPr>
          <w:lang w:val="fr-FR"/>
        </w:rPr>
        <w:t>d</w:t>
      </w:r>
      <w:r w:rsidR="00B010D9">
        <w:rPr>
          <w:lang w:val="fr-FR"/>
        </w:rPr>
        <w:t>’</w:t>
      </w:r>
      <w:r w:rsidRPr="00E22104">
        <w:rPr>
          <w:lang w:val="fr-FR"/>
        </w:rPr>
        <w:t>administration de l</w:t>
      </w:r>
      <w:r w:rsidR="00B010D9">
        <w:rPr>
          <w:lang w:val="fr-FR"/>
        </w:rPr>
        <w:t>’</w:t>
      </w:r>
      <w:r w:rsidRPr="00E22104">
        <w:rPr>
          <w:lang w:val="fr-FR"/>
        </w:rPr>
        <w:t>Accord de 1958 (AC.1) pour examen à leurs sessions de novembre 2019.</w:t>
      </w:r>
      <w:bookmarkEnd w:id="1"/>
    </w:p>
    <w:p w14:paraId="3C9D88E5" w14:textId="77777777" w:rsidR="00A756F5" w:rsidRPr="00A756F5" w:rsidRDefault="00A756F5" w:rsidP="00B010D9">
      <w:pPr>
        <w:pStyle w:val="HChG"/>
      </w:pPr>
      <w:r>
        <w:rPr>
          <w:lang w:val="fr-FR"/>
        </w:rPr>
        <w:br w:type="page"/>
      </w:r>
      <w:r w:rsidR="00B010D9">
        <w:rPr>
          <w:lang w:val="fr-FR"/>
        </w:rPr>
        <w:lastRenderedPageBreak/>
        <w:tab/>
      </w:r>
      <w:r w:rsidR="00B010D9">
        <w:rPr>
          <w:lang w:val="fr-FR"/>
        </w:rPr>
        <w:tab/>
      </w:r>
      <w:r w:rsidRPr="00A756F5">
        <w:rPr>
          <w:lang w:val="fr-FR"/>
        </w:rPr>
        <w:t>Série 03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 au Règlement ONU n</w:t>
      </w:r>
      <w:r w:rsidRPr="00A756F5">
        <w:rPr>
          <w:vertAlign w:val="superscript"/>
          <w:lang w:val="fr-FR"/>
        </w:rPr>
        <w:t>o</w:t>
      </w:r>
      <w:r w:rsidR="00B010D9">
        <w:rPr>
          <w:lang w:val="fr-FR"/>
        </w:rPr>
        <w:t> </w:t>
      </w:r>
      <w:r w:rsidRPr="00A756F5">
        <w:rPr>
          <w:lang w:val="fr-FR"/>
        </w:rPr>
        <w:t>67 (Véhicules alimentés au GPL)</w:t>
      </w:r>
    </w:p>
    <w:p w14:paraId="02998ED7" w14:textId="77777777" w:rsidR="00A756F5" w:rsidRPr="00A756F5" w:rsidRDefault="00A756F5" w:rsidP="00B010D9">
      <w:pPr>
        <w:pStyle w:val="SingleTxtG"/>
      </w:pPr>
      <w:r w:rsidRPr="00A756F5">
        <w:rPr>
          <w:i/>
          <w:iCs/>
          <w:lang w:val="fr-FR"/>
        </w:rPr>
        <w:t>Paragraphe 5.2</w:t>
      </w:r>
      <w:r w:rsidRPr="00A756F5">
        <w:rPr>
          <w:lang w:val="fr-FR"/>
        </w:rPr>
        <w:t>, remplacer le texte entre crochets par «</w:t>
      </w:r>
      <w:r w:rsidR="00B010D9">
        <w:rPr>
          <w:lang w:val="fr-FR"/>
        </w:rPr>
        <w:t> </w:t>
      </w:r>
      <w:r w:rsidRPr="00A756F5">
        <w:rPr>
          <w:lang w:val="fr-FR"/>
        </w:rPr>
        <w:t>(actuellement 03 pour la série 03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amendements)</w:t>
      </w:r>
      <w:r w:rsidR="00B010D9">
        <w:rPr>
          <w:lang w:val="fr-FR"/>
        </w:rPr>
        <w:t> </w:t>
      </w:r>
      <w:r w:rsidRPr="00A756F5">
        <w:rPr>
          <w:lang w:val="fr-FR"/>
        </w:rPr>
        <w:t>».</w:t>
      </w:r>
    </w:p>
    <w:p w14:paraId="580972D2" w14:textId="77777777" w:rsidR="00A756F5" w:rsidRPr="00A756F5" w:rsidRDefault="00A756F5" w:rsidP="00B010D9">
      <w:pPr>
        <w:pStyle w:val="SingleTxtG"/>
        <w:rPr>
          <w:iCs/>
        </w:rPr>
      </w:pPr>
      <w:r w:rsidRPr="00A756F5">
        <w:rPr>
          <w:i/>
          <w:iCs/>
          <w:lang w:val="fr-FR"/>
        </w:rPr>
        <w:t>Ajouter un nouveau paragraphe 6.15.10.8</w:t>
      </w:r>
      <w:r w:rsidRPr="00A756F5">
        <w:rPr>
          <w:lang w:val="fr-FR"/>
        </w:rPr>
        <w:t>, libellé comme suit :</w:t>
      </w:r>
    </w:p>
    <w:p w14:paraId="7D86BC47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« 6.15.10.8</w:t>
      </w:r>
      <w:r w:rsidRPr="00A756F5">
        <w:rPr>
          <w:lang w:val="fr-FR"/>
        </w:rPr>
        <w:tab/>
        <w:t>Pour les véhicules de la catégorie M</w:t>
      </w:r>
      <w:r w:rsidRPr="00B010D9">
        <w:rPr>
          <w:vertAlign w:val="subscript"/>
          <w:lang w:val="fr-FR"/>
        </w:rPr>
        <w:t>1</w:t>
      </w:r>
      <w:r w:rsidRPr="00A756F5">
        <w:rPr>
          <w:lang w:val="fr-FR"/>
        </w:rPr>
        <w:t>, l</w:t>
      </w:r>
      <w:r w:rsidR="00B010D9">
        <w:rPr>
          <w:lang w:val="fr-FR"/>
        </w:rPr>
        <w:t>’</w:t>
      </w:r>
      <w:r w:rsidRPr="00A756F5">
        <w:rPr>
          <w:lang w:val="fr-FR"/>
        </w:rPr>
        <w:t>embout de remplissage ne doit pas être situé au-dessous de la carrosserie du véhicule et doit respecter les prescriptions du paragraphe 17.4.5 relatives à la hauteur. »</w:t>
      </w:r>
      <w:r w:rsidR="00B010D9">
        <w:rPr>
          <w:lang w:val="fr-FR"/>
        </w:rPr>
        <w:t>.</w:t>
      </w:r>
    </w:p>
    <w:p w14:paraId="34F1E668" w14:textId="77777777" w:rsidR="00A756F5" w:rsidRPr="00A756F5" w:rsidRDefault="00A756F5" w:rsidP="00B010D9">
      <w:pPr>
        <w:pStyle w:val="SingleTxtG"/>
        <w:rPr>
          <w:iCs/>
        </w:rPr>
      </w:pPr>
      <w:r w:rsidRPr="00A756F5">
        <w:rPr>
          <w:i/>
          <w:iCs/>
          <w:lang w:val="fr-FR"/>
        </w:rPr>
        <w:t>Ajouter de nouveaux paragraphes 22.14 à 22.18</w:t>
      </w:r>
      <w:r w:rsidRPr="00A756F5">
        <w:rPr>
          <w:lang w:val="fr-FR"/>
        </w:rPr>
        <w:t>, libellés comme suit</w:t>
      </w:r>
      <w:r w:rsidR="00B010D9">
        <w:rPr>
          <w:lang w:val="fr-FR"/>
        </w:rPr>
        <w:t> </w:t>
      </w:r>
      <w:r w:rsidRPr="00A756F5">
        <w:rPr>
          <w:lang w:val="fr-FR"/>
        </w:rPr>
        <w:t>:</w:t>
      </w:r>
    </w:p>
    <w:p w14:paraId="3F20EBF0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«</w:t>
      </w:r>
      <w:r w:rsidR="00B010D9">
        <w:rPr>
          <w:lang w:val="fr-FR"/>
        </w:rPr>
        <w:t> </w:t>
      </w:r>
      <w:r w:rsidRPr="00A756F5">
        <w:rPr>
          <w:lang w:val="fr-FR"/>
        </w:rPr>
        <w:t>22.14</w:t>
      </w:r>
      <w:r w:rsidRPr="00A756F5">
        <w:rPr>
          <w:lang w:val="fr-FR"/>
        </w:rPr>
        <w:tab/>
        <w:t>À compter de la date officielle d</w:t>
      </w:r>
      <w:r w:rsidR="00B010D9">
        <w:rPr>
          <w:lang w:val="fr-FR"/>
        </w:rPr>
        <w:t>’</w:t>
      </w:r>
      <w:r w:rsidRPr="00A756F5">
        <w:rPr>
          <w:lang w:val="fr-FR"/>
        </w:rPr>
        <w:t>entrée en vigueur de la série 03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amendements, aucune Partie contractante appliquant le présent Règlement ne pourra refuser de délivrer ou d</w:t>
      </w:r>
      <w:r w:rsidR="00B010D9">
        <w:rPr>
          <w:lang w:val="fr-FR"/>
        </w:rPr>
        <w:t>’</w:t>
      </w:r>
      <w:r w:rsidRPr="00A756F5">
        <w:rPr>
          <w:lang w:val="fr-FR"/>
        </w:rPr>
        <w:t>accepter une homologation de type accordée en vertu du présent Règlement tel que modifié par la série 03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amendements.</w:t>
      </w:r>
    </w:p>
    <w:p w14:paraId="6D082CF4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22.15</w:t>
      </w:r>
      <w:r w:rsidRPr="00A756F5">
        <w:rPr>
          <w:lang w:val="fr-FR"/>
        </w:rPr>
        <w:tab/>
        <w:t>À compter du 1</w:t>
      </w:r>
      <w:r w:rsidRPr="00B010D9">
        <w:rPr>
          <w:vertAlign w:val="superscript"/>
          <w:lang w:val="fr-FR"/>
        </w:rPr>
        <w:t>er</w:t>
      </w:r>
      <w:r w:rsidR="00B010D9">
        <w:rPr>
          <w:lang w:val="fr-FR"/>
        </w:rPr>
        <w:t> </w:t>
      </w:r>
      <w:r w:rsidRPr="00A756F5">
        <w:rPr>
          <w:lang w:val="fr-FR"/>
        </w:rPr>
        <w:t>septembre 2021, les Parties contractantes appliquant le présent Règlement ne seront plus tenues d</w:t>
      </w:r>
      <w:r w:rsidR="00B010D9">
        <w:rPr>
          <w:lang w:val="fr-FR"/>
        </w:rPr>
        <w:t>’</w:t>
      </w:r>
      <w:r w:rsidRPr="00A756F5">
        <w:rPr>
          <w:lang w:val="fr-FR"/>
        </w:rPr>
        <w:t>accepter les homologations de type délivrées au titre des précédentes séries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 délivrées pour la première fois après le 1</w:t>
      </w:r>
      <w:r w:rsidRPr="00B010D9">
        <w:rPr>
          <w:vertAlign w:val="superscript"/>
          <w:lang w:val="fr-FR"/>
        </w:rPr>
        <w:t>er</w:t>
      </w:r>
      <w:r w:rsidR="00B010D9">
        <w:rPr>
          <w:lang w:val="fr-FR"/>
        </w:rPr>
        <w:t> </w:t>
      </w:r>
      <w:r w:rsidRPr="00A756F5">
        <w:rPr>
          <w:lang w:val="fr-FR"/>
        </w:rPr>
        <w:t>septembre 2021.</w:t>
      </w:r>
    </w:p>
    <w:p w14:paraId="6DB17384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22.16</w:t>
      </w:r>
      <w:r w:rsidRPr="00A756F5">
        <w:rPr>
          <w:lang w:val="fr-FR"/>
        </w:rPr>
        <w:tab/>
        <w:t>Jusqu</w:t>
      </w:r>
      <w:r w:rsidR="00B010D9">
        <w:rPr>
          <w:lang w:val="fr-FR"/>
        </w:rPr>
        <w:t>’</w:t>
      </w:r>
      <w:r w:rsidRPr="00A756F5">
        <w:rPr>
          <w:lang w:val="fr-FR"/>
        </w:rPr>
        <w:t>au 1</w:t>
      </w:r>
      <w:r w:rsidRPr="00B010D9">
        <w:rPr>
          <w:vertAlign w:val="superscript"/>
          <w:lang w:val="fr-FR"/>
        </w:rPr>
        <w:t>er</w:t>
      </w:r>
      <w:r w:rsidR="00B010D9">
        <w:rPr>
          <w:lang w:val="fr-FR"/>
        </w:rPr>
        <w:t> </w:t>
      </w:r>
      <w:r w:rsidRPr="00A756F5">
        <w:rPr>
          <w:lang w:val="fr-FR"/>
        </w:rPr>
        <w:t>septembre 2022, les Parties contractantes appliquant le présent Règlement devront accepter les homologations de type délivrées en vertu des précédentes séries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 avant le 1</w:t>
      </w:r>
      <w:r w:rsidRPr="00B010D9">
        <w:rPr>
          <w:vertAlign w:val="superscript"/>
          <w:lang w:val="fr-FR"/>
        </w:rPr>
        <w:t>er</w:t>
      </w:r>
      <w:r w:rsidR="00B010D9">
        <w:rPr>
          <w:lang w:val="fr-FR"/>
        </w:rPr>
        <w:t> </w:t>
      </w:r>
      <w:r w:rsidRPr="00A756F5">
        <w:rPr>
          <w:lang w:val="fr-FR"/>
        </w:rPr>
        <w:t>septembre 2021.</w:t>
      </w:r>
    </w:p>
    <w:p w14:paraId="4BA977ED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22.17</w:t>
      </w:r>
      <w:r w:rsidRPr="00A756F5">
        <w:rPr>
          <w:lang w:val="fr-FR"/>
        </w:rPr>
        <w:tab/>
        <w:t>À compter du 1</w:t>
      </w:r>
      <w:r w:rsidRPr="00B010D9">
        <w:rPr>
          <w:vertAlign w:val="superscript"/>
          <w:lang w:val="fr-FR"/>
        </w:rPr>
        <w:t>er</w:t>
      </w:r>
      <w:r w:rsidR="00B010D9">
        <w:rPr>
          <w:lang w:val="fr-FR"/>
        </w:rPr>
        <w:t> </w:t>
      </w:r>
      <w:r w:rsidRPr="00A756F5">
        <w:rPr>
          <w:lang w:val="fr-FR"/>
        </w:rPr>
        <w:t>septembre 2022, les Parties contractantes appliquant le présent Règlement ne seront plus tenues d</w:t>
      </w:r>
      <w:r w:rsidR="00B010D9">
        <w:rPr>
          <w:lang w:val="fr-FR"/>
        </w:rPr>
        <w:t>’</w:t>
      </w:r>
      <w:r w:rsidRPr="00A756F5">
        <w:rPr>
          <w:lang w:val="fr-FR"/>
        </w:rPr>
        <w:t>accepter les homologations de type délivrées en vertu des précédentes séries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 audit Règlement.</w:t>
      </w:r>
    </w:p>
    <w:p w14:paraId="3F6AAB5F" w14:textId="77777777" w:rsidR="00A756F5" w:rsidRPr="00A756F5" w:rsidRDefault="00A756F5" w:rsidP="00B010D9">
      <w:pPr>
        <w:pStyle w:val="SingleTxtG"/>
        <w:ind w:left="2268" w:hanging="1134"/>
        <w:rPr>
          <w:iCs/>
        </w:rPr>
      </w:pPr>
      <w:r w:rsidRPr="00A756F5">
        <w:rPr>
          <w:lang w:val="fr-FR"/>
        </w:rPr>
        <w:t>22.18</w:t>
      </w:r>
      <w:r w:rsidRPr="00A756F5">
        <w:rPr>
          <w:lang w:val="fr-FR"/>
        </w:rPr>
        <w:tab/>
        <w:t>Nonobstant les dispositions du paragraphe 22.15 ci-dessus, les Parties contractantes appliquant le présent Règlement ONU continueront de reconnaître les homologations de type délivrées au titre des précédentes séries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 audit Règlement ONU pour les véhicules ou les systèmes embarqués ou les composants de véhicule qui ne sont pas concernés par les modifications apportées par la série 03 d</w:t>
      </w:r>
      <w:r w:rsidR="00B010D9">
        <w:rPr>
          <w:lang w:val="fr-FR"/>
        </w:rPr>
        <w:t>’</w:t>
      </w:r>
      <w:r w:rsidRPr="00A756F5">
        <w:rPr>
          <w:lang w:val="fr-FR"/>
        </w:rPr>
        <w:t>amendements.</w:t>
      </w:r>
      <w:r w:rsidR="00B010D9">
        <w:rPr>
          <w:lang w:val="fr-FR"/>
        </w:rPr>
        <w:t> </w:t>
      </w:r>
      <w:r w:rsidRPr="00A756F5">
        <w:rPr>
          <w:lang w:val="fr-FR"/>
        </w:rPr>
        <w:t>»</w:t>
      </w:r>
      <w:r w:rsidR="00B010D9">
        <w:rPr>
          <w:lang w:val="fr-FR"/>
        </w:rPr>
        <w:t>.</w:t>
      </w:r>
    </w:p>
    <w:p w14:paraId="7A3D210B" w14:textId="77777777" w:rsidR="00F9573C" w:rsidRDefault="00A756F5" w:rsidP="00B010D9">
      <w:pPr>
        <w:pStyle w:val="SingleTxtG"/>
        <w:rPr>
          <w:lang w:val="fr-FR"/>
        </w:rPr>
      </w:pPr>
      <w:r w:rsidRPr="00A756F5">
        <w:rPr>
          <w:i/>
          <w:lang w:val="fr-FR"/>
        </w:rPr>
        <w:t>D</w:t>
      </w:r>
      <w:r w:rsidR="00B010D9">
        <w:rPr>
          <w:i/>
          <w:lang w:val="fr-FR"/>
        </w:rPr>
        <w:t>’</w:t>
      </w:r>
      <w:r w:rsidRPr="00A756F5">
        <w:rPr>
          <w:i/>
          <w:lang w:val="fr-FR"/>
        </w:rPr>
        <w:t>un bout à l</w:t>
      </w:r>
      <w:r w:rsidR="00B010D9">
        <w:rPr>
          <w:i/>
          <w:lang w:val="fr-FR"/>
        </w:rPr>
        <w:t>’</w:t>
      </w:r>
      <w:r w:rsidRPr="00A756F5">
        <w:rPr>
          <w:i/>
          <w:lang w:val="fr-FR"/>
        </w:rPr>
        <w:t>autre des annexes 2A et 2C (Modèle A et Modèle B)</w:t>
      </w:r>
      <w:r w:rsidRPr="00A756F5">
        <w:rPr>
          <w:lang w:val="fr-FR"/>
        </w:rPr>
        <w:t>, remplacer «</w:t>
      </w:r>
      <w:r w:rsidR="00B010D9">
        <w:rPr>
          <w:lang w:val="fr-FR"/>
        </w:rPr>
        <w:t> </w:t>
      </w:r>
      <w:r w:rsidRPr="00A756F5">
        <w:rPr>
          <w:lang w:val="fr-FR"/>
        </w:rPr>
        <w:t>02</w:t>
      </w:r>
      <w:r w:rsidR="00B010D9">
        <w:rPr>
          <w:lang w:val="fr-FR"/>
        </w:rPr>
        <w:t> </w:t>
      </w:r>
      <w:r w:rsidRPr="00A756F5">
        <w:rPr>
          <w:lang w:val="fr-FR"/>
        </w:rPr>
        <w:t>» par « 03 » (9 fois).</w:t>
      </w:r>
    </w:p>
    <w:p w14:paraId="1629926B" w14:textId="77777777" w:rsidR="003E27C9" w:rsidRPr="003E27C9" w:rsidRDefault="003E27C9" w:rsidP="003E27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27C9" w:rsidRPr="003E27C9" w:rsidSect="00A756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1062" w14:textId="77777777" w:rsidR="008102B0" w:rsidRDefault="008102B0" w:rsidP="00F95C08">
      <w:pPr>
        <w:spacing w:line="240" w:lineRule="auto"/>
      </w:pPr>
    </w:p>
  </w:endnote>
  <w:endnote w:type="continuationSeparator" w:id="0">
    <w:p w14:paraId="1E1DA5D1" w14:textId="77777777" w:rsidR="008102B0" w:rsidRPr="00AC3823" w:rsidRDefault="008102B0" w:rsidP="00AC3823">
      <w:pPr>
        <w:pStyle w:val="Footer"/>
      </w:pPr>
    </w:p>
  </w:endnote>
  <w:endnote w:type="continuationNotice" w:id="1">
    <w:p w14:paraId="2A67AB9F" w14:textId="77777777" w:rsidR="008102B0" w:rsidRDefault="008102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0453" w14:textId="77777777" w:rsidR="00A756F5" w:rsidRPr="00A756F5" w:rsidRDefault="00A756F5" w:rsidP="00A756F5">
    <w:pPr>
      <w:pStyle w:val="Footer"/>
      <w:tabs>
        <w:tab w:val="right" w:pos="9638"/>
      </w:tabs>
    </w:pPr>
    <w:r>
      <w:rPr>
        <w:b/>
        <w:sz w:val="18"/>
      </w:rPr>
      <w:t>2</w:t>
    </w:r>
    <w:r>
      <w:rPr>
        <w:b/>
        <w:sz w:val="18"/>
      </w:rPr>
      <w:tab/>
    </w:r>
    <w:r w:rsidR="003E27C9" w:rsidRPr="003E27C9">
      <w:rPr>
        <w:szCs w:val="16"/>
      </w:rPr>
      <w:t>GE.</w:t>
    </w:r>
    <w:r w:rsidRPr="003E27C9">
      <w:rPr>
        <w:szCs w:val="16"/>
      </w:rPr>
      <w:t>19</w:t>
    </w:r>
    <w:r w:rsidR="003E27C9" w:rsidRPr="003E27C9">
      <w:rPr>
        <w:szCs w:val="16"/>
      </w:rPr>
      <w:t>-</w:t>
    </w:r>
    <w:r w:rsidRPr="003E27C9">
      <w:rPr>
        <w:szCs w:val="16"/>
      </w:rPr>
      <w:t>14277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FBF1" w14:textId="77777777" w:rsidR="00A756F5" w:rsidRPr="00A756F5" w:rsidRDefault="00A756F5" w:rsidP="00A756F5">
    <w:pPr>
      <w:pStyle w:val="Footer"/>
      <w:tabs>
        <w:tab w:val="right" w:pos="9638"/>
      </w:tabs>
      <w:rPr>
        <w:b/>
        <w:sz w:val="18"/>
      </w:rPr>
    </w:pPr>
    <w:r>
      <w:t>GE.19-14277</w:t>
    </w:r>
    <w:r>
      <w:tab/>
    </w:r>
    <w:r w:rsidRPr="00A756F5">
      <w:rPr>
        <w:b/>
        <w:sz w:val="18"/>
      </w:rPr>
      <w:fldChar w:fldCharType="begin"/>
    </w:r>
    <w:r w:rsidRPr="00A756F5">
      <w:rPr>
        <w:b/>
        <w:sz w:val="18"/>
      </w:rPr>
      <w:instrText xml:space="preserve"> PAGE  \* MERGEFORMAT </w:instrText>
    </w:r>
    <w:r w:rsidRPr="00A756F5">
      <w:rPr>
        <w:b/>
        <w:sz w:val="18"/>
      </w:rPr>
      <w:fldChar w:fldCharType="separate"/>
    </w:r>
    <w:r w:rsidRPr="00A756F5">
      <w:rPr>
        <w:b/>
        <w:noProof/>
        <w:sz w:val="18"/>
      </w:rPr>
      <w:t>3</w:t>
    </w:r>
    <w:r w:rsidRPr="00A756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B929" w14:textId="77777777" w:rsidR="007F20FA" w:rsidRPr="00A756F5" w:rsidRDefault="00A756F5" w:rsidP="00A756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4A84C20F" wp14:editId="6215A7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14277  (</w:t>
    </w:r>
    <w:proofErr w:type="gramEnd"/>
    <w:r>
      <w:rPr>
        <w:sz w:val="20"/>
      </w:rPr>
      <w:t>F)</w:t>
    </w:r>
    <w:r w:rsidR="003E27C9">
      <w:rPr>
        <w:sz w:val="20"/>
      </w:rPr>
      <w:t xml:space="preserve">    180919    270919</w:t>
    </w:r>
    <w:r>
      <w:rPr>
        <w:sz w:val="20"/>
      </w:rPr>
      <w:br/>
    </w:r>
    <w:r w:rsidRPr="00A756F5">
      <w:rPr>
        <w:rFonts w:ascii="C39T30Lfz" w:hAnsi="C39T30Lfz"/>
        <w:sz w:val="56"/>
      </w:rPr>
      <w:t></w:t>
    </w:r>
    <w:r w:rsidRPr="00A756F5">
      <w:rPr>
        <w:rFonts w:ascii="C39T30Lfz" w:hAnsi="C39T30Lfz"/>
        <w:sz w:val="56"/>
      </w:rPr>
      <w:t></w:t>
    </w:r>
    <w:r w:rsidRPr="00A756F5">
      <w:rPr>
        <w:rFonts w:ascii="C39T30Lfz" w:hAnsi="C39T30Lfz"/>
        <w:sz w:val="56"/>
      </w:rPr>
      <w:t></w:t>
    </w:r>
    <w:r w:rsidRPr="00A756F5">
      <w:rPr>
        <w:rFonts w:ascii="C39T30Lfz" w:hAnsi="C39T30Lfz"/>
        <w:sz w:val="56"/>
      </w:rPr>
      <w:t></w:t>
    </w:r>
    <w:r w:rsidRPr="00A756F5">
      <w:rPr>
        <w:rFonts w:ascii="C39T30Lfz" w:hAnsi="C39T30Lfz"/>
        <w:sz w:val="56"/>
      </w:rPr>
      <w:t></w:t>
    </w:r>
    <w:r w:rsidRPr="00A756F5">
      <w:rPr>
        <w:rFonts w:ascii="C39T30Lfz" w:hAnsi="C39T30Lfz"/>
        <w:sz w:val="56"/>
      </w:rPr>
      <w:t></w:t>
    </w:r>
    <w:r w:rsidRPr="00A756F5">
      <w:rPr>
        <w:rFonts w:ascii="C39T30Lfz" w:hAnsi="C39T30Lfz"/>
        <w:sz w:val="56"/>
      </w:rPr>
      <w:t></w:t>
    </w:r>
    <w:r w:rsidRPr="00A756F5">
      <w:rPr>
        <w:rFonts w:ascii="C39T30Lfz" w:hAnsi="C39T30Lfz"/>
        <w:sz w:val="56"/>
      </w:rPr>
      <w:t></w:t>
    </w:r>
    <w:r w:rsidRPr="00A756F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3D9ABDC" wp14:editId="00A2FDC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8011" w14:textId="77777777" w:rsidR="008102B0" w:rsidRPr="00AC3823" w:rsidRDefault="008102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91CB8D" w14:textId="77777777" w:rsidR="008102B0" w:rsidRPr="00AC3823" w:rsidRDefault="008102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979ED8" w14:textId="77777777" w:rsidR="008102B0" w:rsidRPr="00AC3823" w:rsidRDefault="008102B0">
      <w:pPr>
        <w:spacing w:line="240" w:lineRule="auto"/>
        <w:rPr>
          <w:sz w:val="2"/>
          <w:szCs w:val="2"/>
        </w:rPr>
      </w:pPr>
    </w:p>
  </w:footnote>
  <w:footnote w:id="2">
    <w:p w14:paraId="07EF6416" w14:textId="77777777" w:rsidR="00A756F5" w:rsidRPr="00A756F5" w:rsidRDefault="00A756F5" w:rsidP="00A756F5">
      <w:pPr>
        <w:pStyle w:val="FootnoteText"/>
        <w:jc w:val="both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A756F5">
        <w:t>Conformément au programme de travail du Comité des transports intérieurs pour la période 2018</w:t>
      </w:r>
      <w:r w:rsidRPr="00A756F5">
        <w:noBreakHyphen/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3450" w14:textId="77777777" w:rsidR="00A756F5" w:rsidRPr="00A756F5" w:rsidRDefault="00A756F5">
    <w:pPr>
      <w:pStyle w:val="Header"/>
    </w:pPr>
    <w:r>
      <w:t>ECE/TRANS/WP.29/2019/94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BB1F" w14:textId="7EDF5E9F" w:rsidR="00A756F5" w:rsidRPr="00A756F5" w:rsidRDefault="00570177" w:rsidP="00A756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B0"/>
    <w:rsid w:val="00017F94"/>
    <w:rsid w:val="00023842"/>
    <w:rsid w:val="000334F9"/>
    <w:rsid w:val="00045FEB"/>
    <w:rsid w:val="00053621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27C9"/>
    <w:rsid w:val="00421996"/>
    <w:rsid w:val="00441C3B"/>
    <w:rsid w:val="00446FE5"/>
    <w:rsid w:val="00452396"/>
    <w:rsid w:val="004837D8"/>
    <w:rsid w:val="004E2EED"/>
    <w:rsid w:val="004E468C"/>
    <w:rsid w:val="005505B7"/>
    <w:rsid w:val="00570177"/>
    <w:rsid w:val="00573BE5"/>
    <w:rsid w:val="00586ED3"/>
    <w:rsid w:val="00596AA9"/>
    <w:rsid w:val="0063368D"/>
    <w:rsid w:val="0071601D"/>
    <w:rsid w:val="007A62E6"/>
    <w:rsid w:val="007F20FA"/>
    <w:rsid w:val="0080684C"/>
    <w:rsid w:val="008102B0"/>
    <w:rsid w:val="00871C75"/>
    <w:rsid w:val="008776DC"/>
    <w:rsid w:val="009446C0"/>
    <w:rsid w:val="009705C8"/>
    <w:rsid w:val="009C1CF4"/>
    <w:rsid w:val="009F6B74"/>
    <w:rsid w:val="00A3029F"/>
    <w:rsid w:val="00A30353"/>
    <w:rsid w:val="00A756F5"/>
    <w:rsid w:val="00AC3823"/>
    <w:rsid w:val="00AE323C"/>
    <w:rsid w:val="00AF0CB5"/>
    <w:rsid w:val="00B00181"/>
    <w:rsid w:val="00B00B0D"/>
    <w:rsid w:val="00B010D9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14173"/>
  <w15:docId w15:val="{7B347D8A-9066-4CD4-8234-A60F7BB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756F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756F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ECE/TRANS/WP.29/2019/94</vt:lpstr>
      <vt:lpstr>ECE/TRANS/WP.29/2019/94</vt:lpstr>
    </vt:vector>
  </TitlesOfParts>
  <Company>DCM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ECE/TRANS/WP.29/2019/94</dc:title>
  <dc:subject/>
  <dc:creator>Fabienne CRELIER</dc:creator>
  <cp:keywords/>
  <cp:lastModifiedBy>Marie-Claude Collet</cp:lastModifiedBy>
  <cp:revision>3</cp:revision>
  <cp:lastPrinted>2019-10-01T12:25:00Z</cp:lastPrinted>
  <dcterms:created xsi:type="dcterms:W3CDTF">2019-10-01T12:25:00Z</dcterms:created>
  <dcterms:modified xsi:type="dcterms:W3CDTF">2019-10-01T12:25:00Z</dcterms:modified>
</cp:coreProperties>
</file>