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3BFDB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5CA476" w14:textId="77777777" w:rsidR="002D5AAC" w:rsidRDefault="002D5AAC" w:rsidP="00840C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1E3F2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6A61F0" w14:textId="77777777" w:rsidR="002D5AAC" w:rsidRDefault="00840CCB" w:rsidP="00840CCB">
            <w:pPr>
              <w:jc w:val="right"/>
            </w:pPr>
            <w:r w:rsidRPr="00840CCB">
              <w:rPr>
                <w:sz w:val="40"/>
              </w:rPr>
              <w:t>ECE</w:t>
            </w:r>
            <w:r>
              <w:t>/TRANS/WP.29/2019/78</w:t>
            </w:r>
          </w:p>
        </w:tc>
      </w:tr>
      <w:tr w:rsidR="002D5AAC" w:rsidRPr="00840CCB" w14:paraId="738C10A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805EC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98BDAF" wp14:editId="38B1915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C1766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E7189D" w14:textId="77777777" w:rsidR="00840CCB" w:rsidRDefault="00840CC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A833C5" w14:textId="77777777" w:rsidR="004C631F" w:rsidRDefault="004C631F" w:rsidP="004C631F">
            <w:pPr>
              <w:rPr>
                <w:lang w:val="en-US"/>
              </w:rPr>
            </w:pPr>
            <w:r>
              <w:t xml:space="preserve">3 </w:t>
            </w:r>
            <w:proofErr w:type="spellStart"/>
            <w:r>
              <w:t>September</w:t>
            </w:r>
            <w:proofErr w:type="spellEnd"/>
            <w:r>
              <w:t xml:space="preserve"> 2019</w:t>
            </w:r>
          </w:p>
          <w:p w14:paraId="45D70C9E" w14:textId="77777777" w:rsidR="00840CCB" w:rsidRDefault="00840CCB" w:rsidP="00840C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0BF392" w14:textId="77777777" w:rsidR="00840CCB" w:rsidRPr="008D53B6" w:rsidRDefault="00840CCB" w:rsidP="00840C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F672CEE" w14:textId="77777777" w:rsidR="00840CCB" w:rsidRPr="00827E7F" w:rsidRDefault="00840CCB" w:rsidP="00840CCB">
      <w:pPr>
        <w:spacing w:before="120"/>
        <w:rPr>
          <w:b/>
          <w:sz w:val="28"/>
          <w:szCs w:val="28"/>
        </w:rPr>
      </w:pPr>
      <w:r w:rsidRPr="00827E7F">
        <w:rPr>
          <w:b/>
          <w:bCs/>
          <w:sz w:val="28"/>
          <w:szCs w:val="28"/>
        </w:rPr>
        <w:t>Европейская экономическая комиссия</w:t>
      </w:r>
    </w:p>
    <w:p w14:paraId="1433A013" w14:textId="77777777" w:rsidR="00840CCB" w:rsidRPr="00827E7F" w:rsidRDefault="00840CCB" w:rsidP="00840CCB">
      <w:pPr>
        <w:spacing w:before="120"/>
        <w:rPr>
          <w:sz w:val="28"/>
          <w:szCs w:val="28"/>
        </w:rPr>
      </w:pPr>
      <w:r w:rsidRPr="00827E7F">
        <w:rPr>
          <w:sz w:val="28"/>
          <w:szCs w:val="28"/>
        </w:rPr>
        <w:t>Комитет по внутреннему транспорту</w:t>
      </w:r>
    </w:p>
    <w:p w14:paraId="1B90A4D0" w14:textId="77777777" w:rsidR="00840CCB" w:rsidRPr="00827E7F" w:rsidRDefault="00840CCB" w:rsidP="00840CCB">
      <w:pPr>
        <w:spacing w:before="120"/>
        <w:rPr>
          <w:b/>
          <w:sz w:val="24"/>
          <w:szCs w:val="24"/>
        </w:rPr>
      </w:pPr>
      <w:r w:rsidRPr="00827E7F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827E7F">
        <w:rPr>
          <w:b/>
          <w:bCs/>
          <w:sz w:val="24"/>
          <w:szCs w:val="24"/>
        </w:rPr>
        <w:t>в области транспортных средств</w:t>
      </w:r>
    </w:p>
    <w:p w14:paraId="170F83FA" w14:textId="77777777" w:rsidR="00840CCB" w:rsidRPr="00827E7F" w:rsidRDefault="00840CCB" w:rsidP="00840CCB">
      <w:pPr>
        <w:tabs>
          <w:tab w:val="center" w:pos="4819"/>
        </w:tabs>
        <w:spacing w:before="120"/>
        <w:rPr>
          <w:b/>
        </w:rPr>
      </w:pPr>
      <w:r w:rsidRPr="00827E7F">
        <w:rPr>
          <w:b/>
          <w:bCs/>
        </w:rPr>
        <w:t>179-я сессия</w:t>
      </w:r>
      <w:r>
        <w:rPr>
          <w:b/>
          <w:bCs/>
        </w:rPr>
        <w:br/>
      </w:r>
      <w:r w:rsidRPr="00827E7F">
        <w:t>Женева, 12–14 ноября 2019 года</w:t>
      </w:r>
      <w:r>
        <w:br/>
      </w:r>
      <w:r w:rsidRPr="00827E7F">
        <w:t>Пункт 4.5 предварительной повестки дня</w:t>
      </w:r>
      <w:r>
        <w:br/>
      </w:r>
      <w:r w:rsidRPr="00827E7F">
        <w:rPr>
          <w:b/>
          <w:bCs/>
        </w:rPr>
        <w:t>Соглашение 1958 года:</w:t>
      </w:r>
      <w:r w:rsidRPr="00827E7F">
        <w:rPr>
          <w:b/>
          <w:bCs/>
        </w:rPr>
        <w:br/>
        <w:t>Разработка электронной базы данных для обмена</w:t>
      </w:r>
      <w:r w:rsidRPr="00827E7F">
        <w:rPr>
          <w:b/>
          <w:bCs/>
        </w:rPr>
        <w:br/>
        <w:t>документацией об официальном утверждении</w:t>
      </w:r>
      <w:r>
        <w:rPr>
          <w:b/>
          <w:bCs/>
        </w:rPr>
        <w:br/>
      </w:r>
      <w:r w:rsidRPr="00827E7F">
        <w:rPr>
          <w:b/>
          <w:bCs/>
        </w:rPr>
        <w:t>типа (ДЕТА)</w:t>
      </w:r>
    </w:p>
    <w:p w14:paraId="4946BB14" w14:textId="77777777" w:rsidR="00840CCB" w:rsidRPr="00827E7F" w:rsidRDefault="00840CCB" w:rsidP="00840CCB">
      <w:pPr>
        <w:pStyle w:val="HChG"/>
        <w:rPr>
          <w:szCs w:val="28"/>
        </w:rPr>
      </w:pPr>
      <w:r w:rsidRPr="00827E7F">
        <w:tab/>
      </w:r>
      <w:r w:rsidRPr="00827E7F">
        <w:tab/>
        <w:t>Предложение по техническим требованиям</w:t>
      </w:r>
      <w:r>
        <w:br/>
      </w:r>
      <w:r w:rsidRPr="00827E7F">
        <w:t xml:space="preserve">и руководству по применению </w:t>
      </w:r>
      <w:r w:rsidRPr="00827E7F">
        <w:rPr>
          <w:rFonts w:eastAsiaTheme="minorEastAsia"/>
          <w:lang w:eastAsia="zh-CN" w:bidi="ar-TN"/>
        </w:rPr>
        <w:t xml:space="preserve">для </w:t>
      </w:r>
      <w:r w:rsidRPr="00827E7F">
        <w:t>модуля</w:t>
      </w:r>
      <w:r>
        <w:br/>
      </w:r>
      <w:r w:rsidRPr="00827E7F">
        <w:t>декларации о соответствии (ДоС)</w:t>
      </w:r>
    </w:p>
    <w:p w14:paraId="3983BD04" w14:textId="77777777" w:rsidR="00840CCB" w:rsidRPr="00827E7F" w:rsidRDefault="00840CCB" w:rsidP="00840CCB">
      <w:pPr>
        <w:pStyle w:val="H1G"/>
      </w:pPr>
      <w:r w:rsidRPr="00827E7F">
        <w:tab/>
      </w:r>
      <w:r w:rsidRPr="00827E7F">
        <w:tab/>
      </w:r>
      <w:r w:rsidRPr="00827E7F">
        <w:rPr>
          <w:bCs/>
        </w:rPr>
        <w:t>Представлено экспертами неофициальной рабочей группы</w:t>
      </w:r>
      <w:r>
        <w:rPr>
          <w:bCs/>
        </w:rPr>
        <w:br/>
      </w:r>
      <w:r w:rsidRPr="00827E7F">
        <w:rPr>
          <w:bCs/>
        </w:rPr>
        <w:t>по разработке базы данных для обмена документацией</w:t>
      </w:r>
      <w:r>
        <w:rPr>
          <w:bCs/>
        </w:rPr>
        <w:br/>
      </w:r>
      <w:r w:rsidRPr="00827E7F">
        <w:rPr>
          <w:bCs/>
        </w:rPr>
        <w:t>об официальном утверждении типа</w:t>
      </w:r>
      <w:r w:rsidRPr="00840CCB">
        <w:rPr>
          <w:rStyle w:val="FootnoteReference"/>
          <w:b w:val="0"/>
          <w:position w:val="4"/>
          <w:szCs w:val="18"/>
          <w:vertAlign w:val="baseline"/>
        </w:rPr>
        <w:footnoteReference w:customMarkFollows="1" w:id="1"/>
        <w:t>*</w:t>
      </w:r>
    </w:p>
    <w:p w14:paraId="0DF718A0" w14:textId="77777777" w:rsidR="00840CCB" w:rsidRPr="00827E7F" w:rsidRDefault="00840CCB" w:rsidP="00840CCB">
      <w:pPr>
        <w:spacing w:line="250" w:lineRule="auto"/>
        <w:ind w:left="1246" w:right="1192" w:firstLine="569"/>
        <w:jc w:val="both"/>
      </w:pPr>
      <w:r w:rsidRPr="00827E7F">
        <w:t>Воспроизведенный ниже текст был представлен неофициальной рабочей группой по разработке базы данных для обмена документацией об официальном утверждении типа (ДЕТА) Всемирному форуму WP.29 на его</w:t>
      </w:r>
      <w:r>
        <w:br/>
      </w:r>
      <w:r w:rsidRPr="00827E7F">
        <w:t>178-й сессии (ECE/TRANS/WP.29/1147, пункт 85). В его основу положены</w:t>
      </w:r>
      <w:r>
        <w:br/>
      </w:r>
      <w:r w:rsidRPr="00827E7F">
        <w:t>документы WP29-178-25 и WP.29-178-26/Rev.1. Этот текст представляется Всемирному форуму для согласования правил в области транспортных средств (WP.29) для рассмотрения на его сессии в ноябре 2019 года.</w:t>
      </w:r>
    </w:p>
    <w:p w14:paraId="5B786141" w14:textId="77777777" w:rsidR="00840CCB" w:rsidRPr="00827E7F" w:rsidRDefault="00840CCB" w:rsidP="00840CCB">
      <w:pPr>
        <w:pStyle w:val="HChG"/>
        <w:pageBreakBefore/>
      </w:pPr>
      <w:r w:rsidRPr="00827E7F">
        <w:lastRenderedPageBreak/>
        <w:tab/>
        <w:t>I.</w:t>
      </w:r>
      <w:r w:rsidRPr="00827E7F">
        <w:tab/>
      </w:r>
      <w:r w:rsidRPr="00827E7F">
        <w:rPr>
          <w:bCs/>
        </w:rPr>
        <w:t>Модуль документа о соответствии</w:t>
      </w:r>
    </w:p>
    <w:p w14:paraId="3437DE1E" w14:textId="77777777" w:rsidR="00840CCB" w:rsidRPr="00827E7F" w:rsidRDefault="00840CCB" w:rsidP="00840CCB">
      <w:pPr>
        <w:pStyle w:val="H1G"/>
      </w:pPr>
      <w:r w:rsidRPr="00827E7F">
        <w:tab/>
        <w:t>A.</w:t>
      </w:r>
      <w:r w:rsidRPr="00827E7F">
        <w:tab/>
      </w:r>
      <w:r w:rsidRPr="00827E7F">
        <w:rPr>
          <w:bCs/>
        </w:rPr>
        <w:t>Спецификация функций модуля документа о соответствии в ДЕТА</w:t>
      </w:r>
    </w:p>
    <w:p w14:paraId="5E510721" w14:textId="77777777" w:rsidR="00840CCB" w:rsidRPr="00827E7F" w:rsidRDefault="00840CCB" w:rsidP="00840CCB">
      <w:pPr>
        <w:pStyle w:val="SingleTxtG"/>
      </w:pPr>
      <w:r w:rsidRPr="00827E7F">
        <w:t>1.</w:t>
      </w:r>
      <w:r w:rsidRPr="00827E7F">
        <w:tab/>
        <w:t>Декларация о соответствии будет представлена в формате XML и RTF.</w:t>
      </w:r>
    </w:p>
    <w:p w14:paraId="658B5BD8" w14:textId="77777777" w:rsidR="00840CCB" w:rsidRPr="00827E7F" w:rsidRDefault="00840CCB" w:rsidP="00840CCB">
      <w:pPr>
        <w:pStyle w:val="SingleTxtG"/>
      </w:pPr>
      <w:r w:rsidRPr="00827E7F">
        <w:t>2.</w:t>
      </w:r>
      <w:r w:rsidRPr="00827E7F">
        <w:tab/>
        <w:t xml:space="preserve">Для формата XML в </w:t>
      </w:r>
      <w:r w:rsidRPr="00827E7F">
        <w:rPr>
          <w:rFonts w:eastAsiaTheme="minorEastAsia"/>
          <w:lang w:eastAsia="zh-CN" w:bidi="ar-TN"/>
        </w:rPr>
        <w:t>пакет</w:t>
      </w:r>
      <w:r w:rsidRPr="00827E7F">
        <w:t xml:space="preserve"> поставки будет входить файл определения схемы XML (XSD).</w:t>
      </w:r>
    </w:p>
    <w:p w14:paraId="2E4F6C06" w14:textId="77777777" w:rsidR="00840CCB" w:rsidRPr="00827E7F" w:rsidRDefault="00840CCB" w:rsidP="00840CCB">
      <w:pPr>
        <w:pStyle w:val="SingleTxtG"/>
      </w:pPr>
      <w:r w:rsidRPr="00827E7F">
        <w:t>3.</w:t>
      </w:r>
      <w:r w:rsidRPr="00827E7F">
        <w:tab/>
        <w:t>ДоС в формате RTF будет соответствовать образцу из ....</w:t>
      </w:r>
    </w:p>
    <w:p w14:paraId="37EFF401" w14:textId="77777777" w:rsidR="00840CCB" w:rsidRPr="00827E7F" w:rsidRDefault="00840CCB" w:rsidP="00840CCB">
      <w:pPr>
        <w:pStyle w:val="SingleTxtG"/>
      </w:pPr>
      <w:r w:rsidRPr="00827E7F">
        <w:t>4.</w:t>
      </w:r>
      <w:r w:rsidRPr="00827E7F">
        <w:tab/>
        <w:t>В ДоС в формате XML и RTF будут включены номер версии и дата последнего изменения данных для запрашиваемого ИНТС (соответственно в виде XML-данных либо нижнего колонтитула документа).</w:t>
      </w:r>
    </w:p>
    <w:p w14:paraId="0B708B54" w14:textId="77777777" w:rsidR="00840CCB" w:rsidRPr="00827E7F" w:rsidRDefault="00840CCB" w:rsidP="00840CCB">
      <w:pPr>
        <w:pStyle w:val="SingleTxtG"/>
      </w:pPr>
      <w:r w:rsidRPr="00827E7F">
        <w:t>5.</w:t>
      </w:r>
      <w:r w:rsidRPr="00827E7F">
        <w:tab/>
        <w:t>Содержание</w:t>
      </w:r>
    </w:p>
    <w:p w14:paraId="779DDB7F" w14:textId="77777777" w:rsidR="00840CCB" w:rsidRPr="00827E7F" w:rsidRDefault="00840CCB" w:rsidP="009837D2">
      <w:pPr>
        <w:pStyle w:val="SingleTxtG"/>
        <w:spacing w:after="240"/>
      </w:pPr>
      <w:r w:rsidRPr="00827E7F">
        <w:t>5.1</w:t>
      </w:r>
      <w:r w:rsidRPr="00827E7F">
        <w:tab/>
        <w:t>ДoC будет содержать следующие поля данных: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2631"/>
        <w:gridCol w:w="1421"/>
      </w:tblGrid>
      <w:tr w:rsidR="00840CCB" w:rsidRPr="00827E7F" w14:paraId="063CADF9" w14:textId="77777777" w:rsidTr="009837D2">
        <w:trPr>
          <w:tblHeader/>
        </w:trPr>
        <w:tc>
          <w:tcPr>
            <w:tcW w:w="3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FA8A00" w14:textId="77777777" w:rsidR="00840CCB" w:rsidRPr="00840CCB" w:rsidRDefault="00840CCB" w:rsidP="006D5777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840CCB">
              <w:rPr>
                <w:i/>
                <w:iCs/>
                <w:sz w:val="16"/>
                <w:szCs w:val="16"/>
              </w:rPr>
              <w:t>Поле данных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8D0D60" w14:textId="77777777" w:rsidR="00840CCB" w:rsidRPr="00840CCB" w:rsidRDefault="00840CCB" w:rsidP="00840CCB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840CCB">
              <w:rPr>
                <w:i/>
                <w:iCs/>
                <w:sz w:val="16"/>
                <w:szCs w:val="16"/>
              </w:rPr>
              <w:t>Источник данных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46DA97" w14:textId="77777777" w:rsidR="00840CCB" w:rsidRPr="00840CCB" w:rsidRDefault="00840CCB" w:rsidP="006D5777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</w:p>
        </w:tc>
      </w:tr>
      <w:tr w:rsidR="00840CCB" w:rsidRPr="00827E7F" w14:paraId="3147374B" w14:textId="77777777" w:rsidTr="009837D2">
        <w:tc>
          <w:tcPr>
            <w:tcW w:w="3318" w:type="dxa"/>
            <w:tcBorders>
              <w:top w:val="single" w:sz="12" w:space="0" w:color="auto"/>
            </w:tcBorders>
            <w:shd w:val="clear" w:color="auto" w:fill="auto"/>
          </w:tcPr>
          <w:p w14:paraId="60EAD823" w14:textId="77777777" w:rsidR="00840CCB" w:rsidRPr="00827E7F" w:rsidRDefault="00840CCB" w:rsidP="00840CCB">
            <w:pPr>
              <w:spacing w:before="120" w:after="120" w:line="200" w:lineRule="exact"/>
              <w:rPr>
                <w:sz w:val="18"/>
              </w:rPr>
            </w:pPr>
            <w:r w:rsidRPr="00827E7F">
              <w:t>Номер официального утверждения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shd w:val="clear" w:color="auto" w:fill="auto"/>
          </w:tcPr>
          <w:p w14:paraId="2C7296C6" w14:textId="77777777" w:rsidR="00840CCB" w:rsidRPr="00827E7F" w:rsidRDefault="00840CCB" w:rsidP="00840CCB">
            <w:pPr>
              <w:spacing w:before="120" w:after="120" w:line="200" w:lineRule="exact"/>
              <w:rPr>
                <w:sz w:val="18"/>
              </w:rPr>
            </w:pPr>
            <w:r w:rsidRPr="00827E7F">
              <w:t>Документ об официальном утверждении в ДЕТА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</w:tcPr>
          <w:p w14:paraId="430EFE86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</w:p>
        </w:tc>
      </w:tr>
      <w:tr w:rsidR="00840CCB" w:rsidRPr="00827E7F" w14:paraId="41F6D2EF" w14:textId="77777777" w:rsidTr="009837D2">
        <w:tc>
          <w:tcPr>
            <w:tcW w:w="3318" w:type="dxa"/>
            <w:shd w:val="clear" w:color="auto" w:fill="auto"/>
          </w:tcPr>
          <w:p w14:paraId="1420FF35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Дата выдачи</w:t>
            </w:r>
          </w:p>
        </w:tc>
        <w:tc>
          <w:tcPr>
            <w:tcW w:w="2631" w:type="dxa"/>
            <w:shd w:val="clear" w:color="auto" w:fill="auto"/>
          </w:tcPr>
          <w:p w14:paraId="50EB4841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Документ об официальном утверждении в ДЕТА</w:t>
            </w:r>
          </w:p>
        </w:tc>
        <w:tc>
          <w:tcPr>
            <w:tcW w:w="1421" w:type="dxa"/>
            <w:shd w:val="clear" w:color="auto" w:fill="auto"/>
          </w:tcPr>
          <w:p w14:paraId="6D3FC1B3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</w:p>
        </w:tc>
      </w:tr>
      <w:tr w:rsidR="00840CCB" w:rsidRPr="00827E7F" w14:paraId="62CD3A96" w14:textId="77777777" w:rsidTr="009837D2">
        <w:tc>
          <w:tcPr>
            <w:tcW w:w="3318" w:type="dxa"/>
            <w:shd w:val="clear" w:color="auto" w:fill="auto"/>
          </w:tcPr>
          <w:p w14:paraId="3506EBAC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ИНТС</w:t>
            </w:r>
          </w:p>
        </w:tc>
        <w:tc>
          <w:tcPr>
            <w:tcW w:w="2631" w:type="dxa"/>
            <w:shd w:val="clear" w:color="auto" w:fill="auto"/>
          </w:tcPr>
          <w:p w14:paraId="658BFEF2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Сущность «ИНТС»</w:t>
            </w:r>
          </w:p>
        </w:tc>
        <w:tc>
          <w:tcPr>
            <w:tcW w:w="1421" w:type="dxa"/>
            <w:shd w:val="clear" w:color="auto" w:fill="auto"/>
          </w:tcPr>
          <w:p w14:paraId="46C08579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Загрузка в базу</w:t>
            </w:r>
          </w:p>
        </w:tc>
      </w:tr>
      <w:tr w:rsidR="00840CCB" w:rsidRPr="00827E7F" w14:paraId="38AF6652" w14:textId="77777777" w:rsidTr="009837D2">
        <w:tc>
          <w:tcPr>
            <w:tcW w:w="3318" w:type="dxa"/>
            <w:shd w:val="clear" w:color="auto" w:fill="auto"/>
          </w:tcPr>
          <w:p w14:paraId="764D7F34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Класс МОУТКТС</w:t>
            </w:r>
          </w:p>
        </w:tc>
        <w:tc>
          <w:tcPr>
            <w:tcW w:w="2631" w:type="dxa"/>
            <w:shd w:val="clear" w:color="auto" w:fill="auto"/>
          </w:tcPr>
          <w:p w14:paraId="1615F19E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Сущность «МОУТКТС»</w:t>
            </w:r>
          </w:p>
        </w:tc>
        <w:tc>
          <w:tcPr>
            <w:tcW w:w="1421" w:type="dxa"/>
            <w:shd w:val="clear" w:color="auto" w:fill="auto"/>
          </w:tcPr>
          <w:p w14:paraId="62E2FA76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Загрузка в базу</w:t>
            </w:r>
          </w:p>
        </w:tc>
      </w:tr>
      <w:tr w:rsidR="00840CCB" w:rsidRPr="00827E7F" w14:paraId="217E95AA" w14:textId="77777777" w:rsidTr="009837D2">
        <w:tc>
          <w:tcPr>
            <w:tcW w:w="3318" w:type="dxa"/>
            <w:shd w:val="clear" w:color="auto" w:fill="auto"/>
          </w:tcPr>
          <w:p w14:paraId="3BF52F61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Тип МОУТКТС</w:t>
            </w:r>
          </w:p>
        </w:tc>
        <w:tc>
          <w:tcPr>
            <w:tcW w:w="2631" w:type="dxa"/>
            <w:shd w:val="clear" w:color="auto" w:fill="auto"/>
          </w:tcPr>
          <w:p w14:paraId="4827830A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Сущность «МОУТКТС»</w:t>
            </w:r>
          </w:p>
        </w:tc>
        <w:tc>
          <w:tcPr>
            <w:tcW w:w="1421" w:type="dxa"/>
            <w:shd w:val="clear" w:color="auto" w:fill="auto"/>
          </w:tcPr>
          <w:p w14:paraId="2EDAF891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Загрузка в базу</w:t>
            </w:r>
          </w:p>
        </w:tc>
      </w:tr>
      <w:tr w:rsidR="00840CCB" w:rsidRPr="00827E7F" w14:paraId="3D07AAEC" w14:textId="77777777" w:rsidTr="009837D2">
        <w:tc>
          <w:tcPr>
            <w:tcW w:w="3318" w:type="dxa"/>
            <w:shd w:val="clear" w:color="auto" w:fill="auto"/>
          </w:tcPr>
          <w:p w14:paraId="10405D13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Категория транспортного средства</w:t>
            </w:r>
          </w:p>
        </w:tc>
        <w:tc>
          <w:tcPr>
            <w:tcW w:w="2631" w:type="dxa"/>
            <w:shd w:val="clear" w:color="auto" w:fill="auto"/>
          </w:tcPr>
          <w:p w14:paraId="103F4BDE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Сущность «ИНТС»</w:t>
            </w:r>
          </w:p>
        </w:tc>
        <w:tc>
          <w:tcPr>
            <w:tcW w:w="1421" w:type="dxa"/>
            <w:shd w:val="clear" w:color="auto" w:fill="auto"/>
          </w:tcPr>
          <w:p w14:paraId="674E2C55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Загрузка в базу</w:t>
            </w:r>
          </w:p>
        </w:tc>
      </w:tr>
      <w:tr w:rsidR="00840CCB" w:rsidRPr="00827E7F" w14:paraId="4F7ADB1A" w14:textId="77777777" w:rsidTr="009837D2">
        <w:tc>
          <w:tcPr>
            <w:tcW w:w="3318" w:type="dxa"/>
            <w:shd w:val="clear" w:color="auto" w:fill="auto"/>
          </w:tcPr>
          <w:p w14:paraId="6A34E4BE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Наименование изготовителя</w:t>
            </w:r>
          </w:p>
        </w:tc>
        <w:tc>
          <w:tcPr>
            <w:tcW w:w="2631" w:type="dxa"/>
            <w:shd w:val="clear" w:color="auto" w:fill="auto"/>
          </w:tcPr>
          <w:p w14:paraId="0A383208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Сущность «МОУТКТС»</w:t>
            </w:r>
          </w:p>
        </w:tc>
        <w:tc>
          <w:tcPr>
            <w:tcW w:w="1421" w:type="dxa"/>
            <w:shd w:val="clear" w:color="auto" w:fill="auto"/>
          </w:tcPr>
          <w:p w14:paraId="28E40AB0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Загрузка в базу</w:t>
            </w:r>
          </w:p>
        </w:tc>
      </w:tr>
      <w:tr w:rsidR="00840CCB" w:rsidRPr="00827E7F" w14:paraId="3AC73AEB" w14:textId="77777777" w:rsidTr="009837D2">
        <w:tc>
          <w:tcPr>
            <w:tcW w:w="3318" w:type="dxa"/>
            <w:tcBorders>
              <w:bottom w:val="single" w:sz="12" w:space="0" w:color="auto"/>
            </w:tcBorders>
            <w:shd w:val="clear" w:color="auto" w:fill="auto"/>
          </w:tcPr>
          <w:p w14:paraId="37345421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Перечень соответствия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shd w:val="clear" w:color="auto" w:fill="auto"/>
          </w:tcPr>
          <w:p w14:paraId="6D8C4E1A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Сущность «МОУТКТС»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auto"/>
          </w:tcPr>
          <w:p w14:paraId="3A9D2CAA" w14:textId="77777777" w:rsidR="00840CCB" w:rsidRPr="00827E7F" w:rsidRDefault="00840CCB" w:rsidP="00840CCB">
            <w:pPr>
              <w:spacing w:before="40" w:after="120" w:line="200" w:lineRule="exact"/>
              <w:rPr>
                <w:sz w:val="18"/>
              </w:rPr>
            </w:pPr>
            <w:r w:rsidRPr="00827E7F">
              <w:t>Загрузка в базу</w:t>
            </w:r>
          </w:p>
        </w:tc>
      </w:tr>
    </w:tbl>
    <w:p w14:paraId="082C15F4" w14:textId="77777777" w:rsidR="00840CCB" w:rsidRPr="00827E7F" w:rsidRDefault="00840CCB" w:rsidP="00840CCB">
      <w:pPr>
        <w:pStyle w:val="SingleTxtG"/>
        <w:spacing w:before="120"/>
      </w:pPr>
      <w:r w:rsidRPr="00827E7F">
        <w:t>5.2</w:t>
      </w:r>
      <w:r w:rsidRPr="00827E7F">
        <w:tab/>
        <w:t>Перечень соответствия содержит несколько позиций, каждая из которых состоит из номера Правил ООН и номера серии поправок, которые являются частью загружаемой в базу информации МОУТКТС.</w:t>
      </w:r>
    </w:p>
    <w:p w14:paraId="1E52D72F" w14:textId="77777777" w:rsidR="00840CCB" w:rsidRPr="00827E7F" w:rsidRDefault="00840CCB" w:rsidP="00840CCB">
      <w:pPr>
        <w:pStyle w:val="H1G"/>
      </w:pPr>
      <w:r w:rsidRPr="00827E7F">
        <w:tab/>
        <w:t>B.</w:t>
      </w:r>
      <w:r w:rsidRPr="00827E7F">
        <w:tab/>
      </w:r>
      <w:r w:rsidRPr="00827E7F">
        <w:rPr>
          <w:bCs/>
        </w:rPr>
        <w:t>Доступ</w:t>
      </w:r>
    </w:p>
    <w:p w14:paraId="6B15D99F" w14:textId="77777777" w:rsidR="00840CCB" w:rsidRPr="00827E7F" w:rsidRDefault="00840CCB" w:rsidP="00840CCB">
      <w:pPr>
        <w:pStyle w:val="SingleTxtG"/>
      </w:pPr>
      <w:r w:rsidRPr="00827E7F">
        <w:t>6.</w:t>
      </w:r>
      <w:r w:rsidRPr="00827E7F">
        <w:tab/>
        <w:t>Доступ к ДоС может быть получен двумя способами.</w:t>
      </w:r>
    </w:p>
    <w:p w14:paraId="404AA7C4" w14:textId="77777777" w:rsidR="00840CCB" w:rsidRPr="00827E7F" w:rsidRDefault="00840CCB" w:rsidP="00840CCB">
      <w:pPr>
        <w:pStyle w:val="SingleTxtG"/>
      </w:pPr>
      <w:r>
        <w:tab/>
      </w:r>
      <w:r>
        <w:tab/>
      </w:r>
      <w:r w:rsidRPr="00827E7F">
        <w:t>a)</w:t>
      </w:r>
      <w:r w:rsidRPr="00827E7F">
        <w:tab/>
        <w:t>Пользовательский интерфейс ДЕTA будет содержать раздел «</w:t>
      </w:r>
      <w:proofErr w:type="spellStart"/>
      <w:r w:rsidRPr="00827E7F">
        <w:t>ДoC</w:t>
      </w:r>
      <w:proofErr w:type="spellEnd"/>
      <w:r w:rsidRPr="00827E7F">
        <w:t>»,</w:t>
      </w:r>
      <w:r w:rsidR="000359CA">
        <w:br/>
      </w:r>
      <w:r w:rsidRPr="00827E7F">
        <w:t>в котором пользователь сможет запросить ДoC (в формате XML или RTF) для того или иного ИНТС.</w:t>
      </w:r>
    </w:p>
    <w:p w14:paraId="0B12DF8D" w14:textId="77777777" w:rsidR="00840CCB" w:rsidRPr="00827E7F" w:rsidRDefault="00840CCB" w:rsidP="00840CCB">
      <w:pPr>
        <w:pStyle w:val="SingleTxtG"/>
      </w:pPr>
      <w:r>
        <w:tab/>
      </w:r>
      <w:r>
        <w:tab/>
      </w:r>
      <w:r w:rsidRPr="00827E7F">
        <w:t>b)</w:t>
      </w:r>
      <w:r w:rsidRPr="00827E7F">
        <w:tab/>
        <w:t xml:space="preserve">Для обеспечения возможности скачивания ДоС вне среды ДЕТА будет создана веб-служба. Она будет предусматривать функцию скачивания </w:t>
      </w:r>
      <w:proofErr w:type="spellStart"/>
      <w:r w:rsidRPr="00827E7F">
        <w:t>ДоС</w:t>
      </w:r>
      <w:proofErr w:type="spellEnd"/>
      <w:r w:rsidR="000359CA">
        <w:br/>
      </w:r>
      <w:r w:rsidRPr="00827E7F">
        <w:t>(в формате</w:t>
      </w:r>
      <w:r w:rsidR="000359CA">
        <w:rPr>
          <w:lang w:val="en-US"/>
        </w:rPr>
        <w:t> </w:t>
      </w:r>
      <w:r w:rsidRPr="00827E7F">
        <w:t>XML или RTF) для ограниченного числа ИНТС, указанных в запросе веб-службы. Ограничение числа ИНТС может быть задано конфигурацией и зависит от технических ограничений системы (пропускная способность сети; ограничение количества наборов данных ….). Формат запроса веб-службы будет предоставлен в составе пакета поставки. Для доступа к веб-службе скачивания необходимо использовать специальные учетные записи пользователей, которым запрещен доступ к пользовательскому интерфейсу ДЕТА.</w:t>
      </w:r>
    </w:p>
    <w:p w14:paraId="6E16D36D" w14:textId="77777777" w:rsidR="00840CCB" w:rsidRPr="00827E7F" w:rsidRDefault="00840CCB" w:rsidP="00840CCB">
      <w:pPr>
        <w:pStyle w:val="SingleTxtG"/>
      </w:pPr>
      <w:r w:rsidRPr="00827E7F">
        <w:t>7.</w:t>
      </w:r>
      <w:r w:rsidRPr="00827E7F">
        <w:tab/>
        <w:t>Права доступа будут определены WP.29.</w:t>
      </w:r>
    </w:p>
    <w:p w14:paraId="7CB9E711" w14:textId="77777777" w:rsidR="00840CCB" w:rsidRPr="00827E7F" w:rsidRDefault="00840CCB" w:rsidP="00840CCB">
      <w:pPr>
        <w:pStyle w:val="H1G"/>
      </w:pPr>
      <w:bookmarkStart w:id="0" w:name="_GoBack"/>
      <w:bookmarkEnd w:id="0"/>
      <w:r w:rsidRPr="00827E7F">
        <w:lastRenderedPageBreak/>
        <w:tab/>
        <w:t>C.</w:t>
      </w:r>
      <w:r w:rsidRPr="00827E7F">
        <w:tab/>
      </w:r>
      <w:r w:rsidRPr="00827E7F">
        <w:rPr>
          <w:bCs/>
        </w:rPr>
        <w:t>История запросов</w:t>
      </w:r>
    </w:p>
    <w:p w14:paraId="02E27BBA" w14:textId="77777777" w:rsidR="00840CCB" w:rsidRPr="00827E7F" w:rsidRDefault="00840CCB" w:rsidP="00840CCB">
      <w:pPr>
        <w:pStyle w:val="SingleTxtG"/>
      </w:pPr>
      <w:r w:rsidRPr="00827E7F">
        <w:t>8.</w:t>
      </w:r>
      <w:r w:rsidRPr="00827E7F">
        <w:tab/>
        <w:t>Для целей пересмотра система ДЕТА будет отслеживать все скачивания ДоС, осуществляемые с помощью пользовательского интерфейса ДETA или веб-службы. Системный администратор может, например, использовать эту информацию для проверки содержимого загруженных ДoC.</w:t>
      </w:r>
    </w:p>
    <w:p w14:paraId="45B14E7C" w14:textId="77777777" w:rsidR="00840CCB" w:rsidRPr="00827E7F" w:rsidRDefault="00840CCB" w:rsidP="00840CCB">
      <w:pPr>
        <w:pStyle w:val="SingleTxtG"/>
      </w:pPr>
      <w:r w:rsidRPr="00827E7F">
        <w:t>9.</w:t>
      </w:r>
      <w:r w:rsidRPr="00827E7F">
        <w:tab/>
        <w:t xml:space="preserve">Во избежание накопления в базе чрезмерно большого объема данных система ДETA может быть сконфигурирована на удаление данных истории запросов по истечении определенного периода времени (два варианта: только документ </w:t>
      </w:r>
      <w:proofErr w:type="spellStart"/>
      <w:r w:rsidRPr="00827E7F">
        <w:t>ДоС</w:t>
      </w:r>
      <w:proofErr w:type="spellEnd"/>
      <w:r w:rsidRPr="00827E7F">
        <w:t>;</w:t>
      </w:r>
      <w:r w:rsidR="000359CA">
        <w:br/>
      </w:r>
      <w:r w:rsidRPr="00827E7F">
        <w:t>и то, и другое).</w:t>
      </w:r>
    </w:p>
    <w:p w14:paraId="3E1CC291" w14:textId="77777777" w:rsidR="00840CCB" w:rsidRPr="00827E7F" w:rsidRDefault="00840CCB" w:rsidP="00840CCB">
      <w:pPr>
        <w:pStyle w:val="H1G"/>
      </w:pPr>
      <w:r w:rsidRPr="00827E7F">
        <w:tab/>
        <w:t>D.</w:t>
      </w:r>
      <w:r w:rsidRPr="00827E7F">
        <w:tab/>
      </w:r>
      <w:r w:rsidRPr="00827E7F">
        <w:rPr>
          <w:bCs/>
        </w:rPr>
        <w:t>Загрузка ИНТС и МОУТКТС</w:t>
      </w:r>
    </w:p>
    <w:p w14:paraId="70610525" w14:textId="77777777" w:rsidR="00840CCB" w:rsidRPr="00827E7F" w:rsidRDefault="00840CCB" w:rsidP="00840CCB">
      <w:pPr>
        <w:pStyle w:val="H23G"/>
      </w:pPr>
      <w:r w:rsidRPr="00827E7F">
        <w:tab/>
        <w:t>a)</w:t>
      </w:r>
      <w:r w:rsidRPr="00827E7F">
        <w:tab/>
      </w:r>
      <w:r w:rsidRPr="00827E7F">
        <w:rPr>
          <w:bCs/>
        </w:rPr>
        <w:t>Формат</w:t>
      </w:r>
    </w:p>
    <w:p w14:paraId="550F5FCA" w14:textId="77777777" w:rsidR="00840CCB" w:rsidRPr="00827E7F" w:rsidRDefault="00840CCB" w:rsidP="00840CCB">
      <w:pPr>
        <w:pStyle w:val="SingleTxtG"/>
      </w:pPr>
      <w:r w:rsidRPr="00827E7F">
        <w:t>10.</w:t>
      </w:r>
      <w:r w:rsidRPr="00827E7F">
        <w:tab/>
        <w:t>Загрузка данных ИНТС и МОУТКТС в веб-службу загрузки будет осуществляться в формате XML.</w:t>
      </w:r>
    </w:p>
    <w:p w14:paraId="49DAB242" w14:textId="77777777" w:rsidR="00840CCB" w:rsidRPr="00827E7F" w:rsidRDefault="00840CCB" w:rsidP="00840CCB">
      <w:pPr>
        <w:pStyle w:val="SingleTxtG"/>
      </w:pPr>
      <w:r w:rsidRPr="00827E7F">
        <w:t>11.</w:t>
      </w:r>
      <w:r w:rsidRPr="00827E7F">
        <w:tab/>
        <w:t>Для формата XML в пакет поставки будет входить файл определения схемы XML (XSD).</w:t>
      </w:r>
    </w:p>
    <w:p w14:paraId="65F55AB3" w14:textId="77777777" w:rsidR="00840CCB" w:rsidRPr="00827E7F" w:rsidRDefault="00840CCB" w:rsidP="00840CCB">
      <w:pPr>
        <w:pStyle w:val="H23G"/>
      </w:pPr>
      <w:r w:rsidRPr="00827E7F">
        <w:tab/>
        <w:t>b)</w:t>
      </w:r>
      <w:r w:rsidRPr="00827E7F">
        <w:tab/>
      </w:r>
      <w:r w:rsidRPr="00827E7F">
        <w:rPr>
          <w:bCs/>
        </w:rPr>
        <w:t>Содержание</w:t>
      </w:r>
    </w:p>
    <w:p w14:paraId="10A5853C" w14:textId="77777777" w:rsidR="00840CCB" w:rsidRPr="00827E7F" w:rsidRDefault="00840CCB" w:rsidP="00840CCB">
      <w:pPr>
        <w:pStyle w:val="SingleTxtG"/>
      </w:pPr>
      <w:r w:rsidRPr="00827E7F">
        <w:t>12.</w:t>
      </w:r>
      <w:r w:rsidRPr="00827E7F">
        <w:tab/>
        <w:t>Загружаемые в веб-службу данные могут содержать как данные МОУТКТС, так и данные ИНТС.</w:t>
      </w:r>
    </w:p>
    <w:p w14:paraId="38F4FA1B" w14:textId="77777777" w:rsidR="00840CCB" w:rsidRPr="00827E7F" w:rsidRDefault="00840CCB" w:rsidP="00840CCB">
      <w:pPr>
        <w:pStyle w:val="SingleTxtG"/>
      </w:pPr>
      <w:r w:rsidRPr="00827E7F">
        <w:t>13.</w:t>
      </w:r>
      <w:r w:rsidRPr="00827E7F">
        <w:tab/>
        <w:t>Для МОУТКТС обязательными являются следующие поля данных:</w:t>
      </w:r>
    </w:p>
    <w:p w14:paraId="292BB733" w14:textId="77777777" w:rsidR="00840CCB" w:rsidRPr="00827E7F" w:rsidRDefault="00840CCB" w:rsidP="00840CCB">
      <w:pPr>
        <w:pStyle w:val="Bullet1G"/>
        <w:rPr>
          <w:rFonts w:asciiTheme="majorBidi" w:hAnsiTheme="majorBidi" w:cstheme="majorBidi"/>
        </w:rPr>
      </w:pPr>
      <w:r w:rsidRPr="00827E7F">
        <w:t>номер официального утверждения (поле ключа);</w:t>
      </w:r>
    </w:p>
    <w:p w14:paraId="0D1FEDC2" w14:textId="77777777" w:rsidR="00840CCB" w:rsidRPr="00827E7F" w:rsidRDefault="00840CCB" w:rsidP="00840CCB">
      <w:pPr>
        <w:pStyle w:val="Bullet1G"/>
        <w:rPr>
          <w:rFonts w:asciiTheme="majorBidi" w:hAnsiTheme="majorBidi" w:cstheme="majorBidi"/>
        </w:rPr>
      </w:pPr>
      <w:r w:rsidRPr="00827E7F">
        <w:t>класс МОУТКТС;</w:t>
      </w:r>
    </w:p>
    <w:p w14:paraId="1CF0D0DE" w14:textId="77777777" w:rsidR="00840CCB" w:rsidRPr="00827E7F" w:rsidRDefault="00840CCB" w:rsidP="00840CCB">
      <w:pPr>
        <w:pStyle w:val="Bullet1G"/>
        <w:rPr>
          <w:rFonts w:asciiTheme="majorBidi" w:hAnsiTheme="majorBidi" w:cstheme="majorBidi"/>
        </w:rPr>
      </w:pPr>
      <w:r w:rsidRPr="00827E7F">
        <w:t>тип МОУТКТС;</w:t>
      </w:r>
    </w:p>
    <w:p w14:paraId="5D89A0A0" w14:textId="77777777" w:rsidR="00840CCB" w:rsidRPr="00827E7F" w:rsidRDefault="00840CCB" w:rsidP="00840CCB">
      <w:pPr>
        <w:pStyle w:val="Bullet1G"/>
        <w:rPr>
          <w:rFonts w:asciiTheme="majorBidi" w:hAnsiTheme="majorBidi" w:cstheme="majorBidi"/>
        </w:rPr>
      </w:pPr>
      <w:r w:rsidRPr="00827E7F">
        <w:t>наименование изготовителя;</w:t>
      </w:r>
    </w:p>
    <w:p w14:paraId="03E3FB03" w14:textId="77777777" w:rsidR="00840CCB" w:rsidRPr="00827E7F" w:rsidRDefault="00840CCB" w:rsidP="00840CCB">
      <w:pPr>
        <w:pStyle w:val="Bullet1G"/>
        <w:rPr>
          <w:rFonts w:asciiTheme="majorBidi" w:hAnsiTheme="majorBidi" w:cstheme="majorBidi"/>
        </w:rPr>
      </w:pPr>
      <w:r w:rsidRPr="00827E7F">
        <w:t>перечень соответствия (позиции, состоящие из номера Правил ООН и номера серии поправок).</w:t>
      </w:r>
    </w:p>
    <w:p w14:paraId="5C21503F" w14:textId="77777777" w:rsidR="00840CCB" w:rsidRPr="00827E7F" w:rsidRDefault="00840CCB" w:rsidP="00840CCB">
      <w:pPr>
        <w:pStyle w:val="SingleTxtG"/>
        <w:spacing w:line="240" w:lineRule="auto"/>
        <w:rPr>
          <w:rFonts w:asciiTheme="majorBidi" w:hAnsiTheme="majorBidi" w:cstheme="majorBidi"/>
        </w:rPr>
      </w:pPr>
      <w:r w:rsidRPr="00827E7F">
        <w:t>14.</w:t>
      </w:r>
      <w:r w:rsidRPr="00827E7F">
        <w:tab/>
        <w:t>Для ИНТС обязательными являются следующие поля данных:</w:t>
      </w:r>
    </w:p>
    <w:p w14:paraId="05105689" w14:textId="77777777" w:rsidR="00840CCB" w:rsidRPr="00827E7F" w:rsidRDefault="00840CCB" w:rsidP="00840CCB">
      <w:pPr>
        <w:pStyle w:val="Bullet1G"/>
        <w:rPr>
          <w:rFonts w:asciiTheme="majorBidi" w:hAnsiTheme="majorBidi" w:cstheme="majorBidi"/>
        </w:rPr>
      </w:pPr>
      <w:r w:rsidRPr="00827E7F">
        <w:t>ИНТС (поле ключа);</w:t>
      </w:r>
    </w:p>
    <w:p w14:paraId="5ED46A7C" w14:textId="77777777" w:rsidR="00840CCB" w:rsidRPr="00827E7F" w:rsidRDefault="00840CCB" w:rsidP="00840CCB">
      <w:pPr>
        <w:pStyle w:val="Bullet1G"/>
        <w:rPr>
          <w:rFonts w:asciiTheme="majorBidi" w:hAnsiTheme="majorBidi" w:cstheme="majorBidi"/>
        </w:rPr>
      </w:pPr>
      <w:r w:rsidRPr="00827E7F">
        <w:t>номер официального разрешения (МОУТКТС – поле внешнего ключа);</w:t>
      </w:r>
    </w:p>
    <w:p w14:paraId="1605F10A" w14:textId="77777777" w:rsidR="00840CCB" w:rsidRPr="00827E7F" w:rsidRDefault="00840CCB" w:rsidP="00840CCB">
      <w:pPr>
        <w:pStyle w:val="Bullet1G"/>
        <w:rPr>
          <w:rFonts w:asciiTheme="majorBidi" w:hAnsiTheme="majorBidi" w:cstheme="majorBidi"/>
        </w:rPr>
      </w:pPr>
      <w:r w:rsidRPr="00827E7F">
        <w:t>категория транспортного средства.</w:t>
      </w:r>
    </w:p>
    <w:p w14:paraId="7CFCC5E0" w14:textId="77777777" w:rsidR="00840CCB" w:rsidRPr="00827E7F" w:rsidRDefault="00840CCB" w:rsidP="00840CCB">
      <w:pPr>
        <w:pStyle w:val="H23G"/>
      </w:pPr>
      <w:r w:rsidRPr="00827E7F">
        <w:tab/>
        <w:t>c)</w:t>
      </w:r>
      <w:r w:rsidRPr="00827E7F">
        <w:tab/>
        <w:t>Операция з</w:t>
      </w:r>
      <w:r w:rsidRPr="00827E7F">
        <w:rPr>
          <w:bCs/>
        </w:rPr>
        <w:t>агрузки</w:t>
      </w:r>
    </w:p>
    <w:p w14:paraId="084019E4" w14:textId="77777777" w:rsidR="00840CCB" w:rsidRPr="00827E7F" w:rsidRDefault="00840CCB" w:rsidP="00840CCB">
      <w:pPr>
        <w:pStyle w:val="SingleTxtG"/>
      </w:pPr>
      <w:r w:rsidRPr="00827E7F">
        <w:t>15.</w:t>
      </w:r>
      <w:r w:rsidRPr="00827E7F">
        <w:tab/>
        <w:t>Веб-служба предусматривает возможность первой загрузки данных МОУТКТС и ИНТС (вставка), изменения данных (обновление) и удаления данных из системы (удаление – только для данных ИНТС).</w:t>
      </w:r>
    </w:p>
    <w:p w14:paraId="1E2DE884" w14:textId="77777777" w:rsidR="00840CCB" w:rsidRPr="00827E7F" w:rsidRDefault="00840CCB" w:rsidP="00840CCB">
      <w:pPr>
        <w:pStyle w:val="SingleTxtG"/>
      </w:pPr>
      <w:r w:rsidRPr="00827E7F">
        <w:t>16.</w:t>
      </w:r>
      <w:r w:rsidRPr="00827E7F">
        <w:tab/>
        <w:t>В зависимости от заданной операции загруженные данные подвергаются следующим проверкам:</w:t>
      </w:r>
    </w:p>
    <w:p w14:paraId="623DDBA1" w14:textId="77777777" w:rsidR="00840CCB" w:rsidRPr="00827E7F" w:rsidRDefault="00840CCB" w:rsidP="00840CCB">
      <w:pPr>
        <w:pStyle w:val="Bullet1G"/>
      </w:pPr>
      <w:r w:rsidRPr="00827E7F">
        <w:t>Вставка:</w:t>
      </w:r>
      <w:r w:rsidRPr="00827E7F">
        <w:br/>
        <w:t>ключ загруженного элемента данных еще не должен существовать в системе.</w:t>
      </w:r>
    </w:p>
    <w:p w14:paraId="7A1F9ADB" w14:textId="77777777" w:rsidR="00840CCB" w:rsidRPr="00827E7F" w:rsidRDefault="00840CCB" w:rsidP="00840CCB">
      <w:pPr>
        <w:pStyle w:val="Bullet1G"/>
      </w:pPr>
      <w:r w:rsidRPr="00827E7F">
        <w:t>Обновление:</w:t>
      </w:r>
      <w:r w:rsidRPr="00827E7F">
        <w:br/>
        <w:t>ключ загруженного элемента данных должен уже существовать в системе.</w:t>
      </w:r>
    </w:p>
    <w:p w14:paraId="2984CEED" w14:textId="77777777" w:rsidR="00840CCB" w:rsidRPr="00827E7F" w:rsidRDefault="00840CCB" w:rsidP="00840CCB">
      <w:pPr>
        <w:pStyle w:val="Bullet1G"/>
      </w:pPr>
      <w:r w:rsidRPr="00827E7F">
        <w:t>Удаление:</w:t>
      </w:r>
      <w:r w:rsidRPr="00827E7F">
        <w:br/>
        <w:t>ключ загруженного элемента данных (только для данных ИНТС; данные МОУТКТС удалены быть не могут) должен уже существовать в системе.</w:t>
      </w:r>
    </w:p>
    <w:p w14:paraId="67032E3D" w14:textId="77777777" w:rsidR="00840CCB" w:rsidRPr="00827E7F" w:rsidRDefault="00840CCB" w:rsidP="00840CCB">
      <w:pPr>
        <w:pStyle w:val="SingleTxtG"/>
        <w:pageBreakBefore/>
        <w:jc w:val="left"/>
      </w:pPr>
      <w:r w:rsidRPr="00827E7F">
        <w:t>17.</w:t>
      </w:r>
      <w:r w:rsidRPr="00827E7F">
        <w:tab/>
        <w:t>Специальная обработка удаленных данных ИНТС</w:t>
      </w:r>
    </w:p>
    <w:p w14:paraId="0011D9B1" w14:textId="77777777" w:rsidR="00840CCB" w:rsidRPr="00827E7F" w:rsidRDefault="00840CCB" w:rsidP="00840CCB">
      <w:pPr>
        <w:pStyle w:val="Bullet1G"/>
      </w:pPr>
      <w:r w:rsidRPr="00827E7F">
        <w:t>Удаление ИНТС не приведет к полному удалению данных из системы; вместо этого они будут лишь помечены как удаленные и не будут доступны для запросов ДoC. Последующее действие по обновлению удаленного ИНТС будет считаться ошибкой; однако операция вставки для удаленного ИНТС будет допустимой.</w:t>
      </w:r>
    </w:p>
    <w:p w14:paraId="47D9149F" w14:textId="77777777" w:rsidR="00840CCB" w:rsidRPr="00827E7F" w:rsidRDefault="00840CCB" w:rsidP="00840CCB">
      <w:pPr>
        <w:pStyle w:val="SingleTxtG"/>
      </w:pPr>
      <w:r w:rsidRPr="00827E7F">
        <w:t>18.</w:t>
      </w:r>
      <w:r w:rsidRPr="00827E7F">
        <w:tab/>
        <w:t>Каждый раз, когда элемент данных загружается (вставляется, обновляется или удаляется), вместе с этим элементом данных сохраняются дата и время изменения,</w:t>
      </w:r>
      <w:r w:rsidR="000359CA">
        <w:br/>
      </w:r>
      <w:r w:rsidRPr="00827E7F">
        <w:t>и каждому изменению по нарастающей присваивается новый номер.</w:t>
      </w:r>
    </w:p>
    <w:p w14:paraId="6DF8EFE0" w14:textId="77777777" w:rsidR="00840CCB" w:rsidRPr="00827E7F" w:rsidRDefault="00840CCB" w:rsidP="00840CCB">
      <w:pPr>
        <w:pStyle w:val="SingleTxtG"/>
      </w:pPr>
      <w:r w:rsidRPr="00827E7F">
        <w:t>19.</w:t>
      </w:r>
      <w:r w:rsidRPr="00827E7F">
        <w:tab/>
        <w:t>Независимо от заданной операции загруженные данные подвергаются следующим проверкам:</w:t>
      </w:r>
    </w:p>
    <w:p w14:paraId="0217633C" w14:textId="77777777" w:rsidR="00840CCB" w:rsidRPr="00827E7F" w:rsidRDefault="00840CCB" w:rsidP="00840CCB">
      <w:pPr>
        <w:pStyle w:val="Bullet1G"/>
      </w:pPr>
      <w:r w:rsidRPr="00827E7F">
        <w:t>Загрузки изготовителями разрешаются только для данных МОУТКТС и ИНТС, относящихся к официальным утверждениям и транспортным средствам изготовителя.</w:t>
      </w:r>
    </w:p>
    <w:p w14:paraId="564695D7" w14:textId="77777777" w:rsidR="00840CCB" w:rsidRPr="00827E7F" w:rsidRDefault="00840CCB" w:rsidP="00840CCB">
      <w:pPr>
        <w:pStyle w:val="Bullet1G"/>
      </w:pPr>
      <w:r w:rsidRPr="00827E7F">
        <w:t>Загрузки органами по официальному утверждению типа (ООУТ) разрешаются только для данных МОУТКТС и ИНТС, относящихся к официальным утверждениям, выданным ООУТ и для транспортных средств, на которые распространяется действие этих официальных утверждений.</w:t>
      </w:r>
    </w:p>
    <w:p w14:paraId="6CEF36EA" w14:textId="77777777" w:rsidR="00840CCB" w:rsidRPr="00827E7F" w:rsidRDefault="00840CCB" w:rsidP="00840CCB">
      <w:pPr>
        <w:pStyle w:val="SingleTxtG"/>
      </w:pPr>
      <w:r w:rsidRPr="00827E7F">
        <w:t>20.</w:t>
      </w:r>
      <w:r w:rsidRPr="00827E7F">
        <w:tab/>
        <w:t>Для доступа к веб-службе загрузки в необходимо использовать специальные учетные записи пользователей, которым запрещен доступ к пользовательскому интерфейсу ДЕТА.</w:t>
      </w:r>
    </w:p>
    <w:p w14:paraId="301AAFBC" w14:textId="77777777" w:rsidR="00840CCB" w:rsidRPr="00827E7F" w:rsidRDefault="00840CCB" w:rsidP="00840CCB">
      <w:pPr>
        <w:pStyle w:val="H23G"/>
      </w:pPr>
      <w:r w:rsidRPr="00827E7F">
        <w:tab/>
        <w:t>d)</w:t>
      </w:r>
      <w:r w:rsidRPr="00827E7F">
        <w:tab/>
      </w:r>
      <w:r w:rsidRPr="00827E7F">
        <w:rPr>
          <w:bCs/>
        </w:rPr>
        <w:t>Отчет (OK/Ошибка)</w:t>
      </w:r>
    </w:p>
    <w:p w14:paraId="0AD49B8A" w14:textId="77777777" w:rsidR="00840CCB" w:rsidRPr="00827E7F" w:rsidRDefault="00840CCB" w:rsidP="00840CCB">
      <w:pPr>
        <w:pStyle w:val="SingleTxtG"/>
      </w:pPr>
      <w:r w:rsidRPr="00827E7F">
        <w:t>21.</w:t>
      </w:r>
      <w:r w:rsidRPr="00827E7F">
        <w:tab/>
        <w:t>Каждая загрузка в веб-службу проверяется на структурную корректность (соответствие XSD), внутреннюю согласованность и соответствие базе данных ДЕТА.</w:t>
      </w:r>
    </w:p>
    <w:p w14:paraId="195FA140" w14:textId="77777777" w:rsidR="00840CCB" w:rsidRPr="00827E7F" w:rsidRDefault="00840CCB" w:rsidP="00840CCB">
      <w:pPr>
        <w:pStyle w:val="SingleTxtG"/>
      </w:pPr>
      <w:r w:rsidRPr="00827E7F">
        <w:t>22.</w:t>
      </w:r>
      <w:r w:rsidRPr="00827E7F">
        <w:tab/>
        <w:t xml:space="preserve">Если загрузка не соответствует XSD, то она будет полностью отклонена. </w:t>
      </w:r>
    </w:p>
    <w:p w14:paraId="04B9DCDC" w14:textId="77777777" w:rsidR="00840CCB" w:rsidRPr="00827E7F" w:rsidRDefault="00840CCB" w:rsidP="00840CCB">
      <w:pPr>
        <w:pStyle w:val="SingleTxtG"/>
      </w:pPr>
      <w:r w:rsidRPr="00827E7F">
        <w:t>23.</w:t>
      </w:r>
      <w:r w:rsidRPr="00827E7F">
        <w:tab/>
        <w:t>Загруженные данные, являющиеся ошибочными (например, дубликаты записей или ИНТС, ссылающиеся на несуществующие МОУТКТС), в базу данных ДЕТА не импортируются.</w:t>
      </w:r>
    </w:p>
    <w:p w14:paraId="695A97C5" w14:textId="77777777" w:rsidR="00840CCB" w:rsidRPr="00827E7F" w:rsidRDefault="00840CCB" w:rsidP="00840CCB">
      <w:pPr>
        <w:pStyle w:val="SingleTxtG"/>
      </w:pPr>
      <w:r w:rsidRPr="00827E7F">
        <w:t>24.</w:t>
      </w:r>
      <w:r w:rsidRPr="00827E7F">
        <w:tab/>
        <w:t>В ответ на каждый запрос веб-службы формируется отчет о загрузке с подробной информацией о том, какие элементы загруженной информации были импортированы, а какие содержат ошибки и поэтому импортированы быть не могут. Для каждой ошибки, приведенной в отчете об обновлении, всегда указывается причина отклонения данных.</w:t>
      </w:r>
    </w:p>
    <w:p w14:paraId="537D5514" w14:textId="77777777" w:rsidR="00840CCB" w:rsidRPr="00827E7F" w:rsidRDefault="00840CCB" w:rsidP="00840CCB">
      <w:pPr>
        <w:pStyle w:val="SingleTxtG"/>
      </w:pPr>
      <w:r w:rsidRPr="00827E7F">
        <w:t>25.</w:t>
      </w:r>
      <w:r w:rsidRPr="00827E7F">
        <w:tab/>
        <w:t>Отчет о загрузке формируется в формате XML, а в пакет поставки будет входить файл определения схемы XML (XSD).</w:t>
      </w:r>
    </w:p>
    <w:p w14:paraId="0A35CB6B" w14:textId="77777777" w:rsidR="00840CCB" w:rsidRPr="00827E7F" w:rsidRDefault="00840CCB" w:rsidP="00840CCB">
      <w:pPr>
        <w:pStyle w:val="H23G"/>
      </w:pPr>
      <w:r w:rsidRPr="00827E7F">
        <w:tab/>
        <w:t>e)</w:t>
      </w:r>
      <w:r w:rsidRPr="00827E7F">
        <w:tab/>
      </w:r>
      <w:r w:rsidRPr="00827E7F">
        <w:rPr>
          <w:bCs/>
        </w:rPr>
        <w:t>Протокол загрузки</w:t>
      </w:r>
    </w:p>
    <w:p w14:paraId="4CC9719B" w14:textId="77777777" w:rsidR="00840CCB" w:rsidRPr="00827E7F" w:rsidRDefault="00840CCB" w:rsidP="00840CCB">
      <w:pPr>
        <w:pStyle w:val="SingleTxtG"/>
      </w:pPr>
      <w:r w:rsidRPr="00827E7F">
        <w:t>26.</w:t>
      </w:r>
      <w:r w:rsidRPr="00827E7F">
        <w:tab/>
        <w:t>В системе ДЕТА предусматривается учет всех загрузок данных ИНТС/МОУТКТС через веб-службу.</w:t>
      </w:r>
    </w:p>
    <w:p w14:paraId="671827D0" w14:textId="77777777" w:rsidR="00840CCB" w:rsidRPr="00827E7F" w:rsidRDefault="00840CCB" w:rsidP="00840CCB">
      <w:pPr>
        <w:pStyle w:val="SingleTxtG"/>
      </w:pPr>
      <w:r w:rsidRPr="00827E7F">
        <w:t>27.</w:t>
      </w:r>
      <w:r w:rsidRPr="00827E7F">
        <w:tab/>
        <w:t>Изготовители и органы по официальному утверждению типа, которые загрузили данные ИНТС/МОУТКТС в систему, могут просматривать список выполненных загрузок и скачивать загруженные ими файлы с помощью пользовательского интерфейса ДЕТА.</w:t>
      </w:r>
    </w:p>
    <w:p w14:paraId="24BC54F8" w14:textId="77777777" w:rsidR="00840CCB" w:rsidRPr="00827E7F" w:rsidRDefault="00840CCB" w:rsidP="00840CCB">
      <w:pPr>
        <w:pStyle w:val="SingleTxtG"/>
      </w:pPr>
      <w:r w:rsidRPr="00827E7F">
        <w:t>28.</w:t>
      </w:r>
      <w:r w:rsidRPr="00827E7F">
        <w:tab/>
        <w:t>Во избежание накопления в базе чрезмерно большого объема данных система ДETA может быть сконфигурирована на удаление данных протокола загрузки по истечении определенного периода времени.</w:t>
      </w:r>
    </w:p>
    <w:p w14:paraId="681471FA" w14:textId="77777777" w:rsidR="00840CCB" w:rsidRPr="00827E7F" w:rsidRDefault="00840CCB" w:rsidP="00840CCB">
      <w:pPr>
        <w:pStyle w:val="H23G"/>
        <w:pageBreakBefore/>
      </w:pPr>
      <w:r w:rsidRPr="00827E7F">
        <w:tab/>
        <w:t>f)</w:t>
      </w:r>
      <w:r w:rsidRPr="00827E7F">
        <w:tab/>
      </w:r>
      <w:r w:rsidRPr="00827E7F">
        <w:rPr>
          <w:bCs/>
        </w:rPr>
        <w:t xml:space="preserve">Расширение ДЕТА - тип поддокумента </w:t>
      </w:r>
      <w:r>
        <w:rPr>
          <w:bCs/>
        </w:rPr>
        <w:t>«</w:t>
      </w:r>
      <w:r w:rsidRPr="00827E7F">
        <w:rPr>
          <w:bCs/>
        </w:rPr>
        <w:t>ПРОЧИЕ</w:t>
      </w:r>
      <w:r>
        <w:rPr>
          <w:bCs/>
        </w:rPr>
        <w:t>»</w:t>
      </w:r>
    </w:p>
    <w:p w14:paraId="73657363" w14:textId="77777777" w:rsidR="00840CCB" w:rsidRPr="00827E7F" w:rsidRDefault="00840CCB" w:rsidP="00840CCB">
      <w:pPr>
        <w:pStyle w:val="SingleTxtG"/>
      </w:pPr>
      <w:r w:rsidRPr="00827E7F">
        <w:t>29.</w:t>
      </w:r>
      <w:r w:rsidRPr="00827E7F">
        <w:tab/>
        <w:t xml:space="preserve">В дополнение к существующим типам поддокумента </w:t>
      </w:r>
      <w:r>
        <w:t>«</w:t>
      </w:r>
      <w:r w:rsidRPr="00827E7F">
        <w:t>CERT</w:t>
      </w:r>
      <w:r>
        <w:t>»</w:t>
      </w:r>
      <w:r w:rsidRPr="00827E7F">
        <w:t xml:space="preserve"> (документ об официальном утверждении), </w:t>
      </w:r>
      <w:r>
        <w:t>«</w:t>
      </w:r>
      <w:r w:rsidRPr="00827E7F">
        <w:t>IF</w:t>
      </w:r>
      <w:r>
        <w:t>»</w:t>
      </w:r>
      <w:r w:rsidRPr="00827E7F">
        <w:t xml:space="preserve"> (информационная папка) и </w:t>
      </w:r>
      <w:r>
        <w:t>«</w:t>
      </w:r>
      <w:r w:rsidRPr="00827E7F">
        <w:t>TR</w:t>
      </w:r>
      <w:r>
        <w:t>»</w:t>
      </w:r>
      <w:r w:rsidRPr="00827E7F">
        <w:t xml:space="preserve"> (протокол испытания) вводится тип поддокумента </w:t>
      </w:r>
      <w:r>
        <w:t>«</w:t>
      </w:r>
      <w:r w:rsidRPr="00827E7F">
        <w:t>OTHER</w:t>
      </w:r>
      <w:r>
        <w:t>»</w:t>
      </w:r>
      <w:r w:rsidRPr="00827E7F">
        <w:t xml:space="preserve"> (</w:t>
      </w:r>
      <w:r>
        <w:t>«</w:t>
      </w:r>
      <w:r w:rsidRPr="00827E7F">
        <w:t>ПРОЧИЕ</w:t>
      </w:r>
      <w:r>
        <w:t>»</w:t>
      </w:r>
      <w:r w:rsidRPr="00827E7F">
        <w:t>) (для всех остальных видов документов).</w:t>
      </w:r>
    </w:p>
    <w:p w14:paraId="16088891" w14:textId="77777777" w:rsidR="00840CCB" w:rsidRPr="00827E7F" w:rsidRDefault="00840CCB" w:rsidP="00840CCB">
      <w:pPr>
        <w:pStyle w:val="HChG"/>
      </w:pPr>
      <w:r w:rsidRPr="00827E7F">
        <w:tab/>
        <w:t>II.</w:t>
      </w:r>
      <w:r w:rsidRPr="00827E7F">
        <w:tab/>
      </w:r>
      <w:r w:rsidRPr="00827E7F">
        <w:rPr>
          <w:bCs/>
        </w:rPr>
        <w:t>Руководство по применению</w:t>
      </w:r>
    </w:p>
    <w:p w14:paraId="606BCFDB" w14:textId="77777777" w:rsidR="00840CCB" w:rsidRPr="00827E7F" w:rsidRDefault="00840CCB" w:rsidP="00840CCB">
      <w:pPr>
        <w:pStyle w:val="SingleTxtG"/>
      </w:pPr>
      <w:r w:rsidRPr="00827E7F">
        <w:t>30.</w:t>
      </w:r>
      <w:r w:rsidRPr="00827E7F">
        <w:tab/>
        <w:t>Положения, касающиеся применения, содержатся в Правилах № 0 ООН.</w:t>
      </w:r>
    </w:p>
    <w:p w14:paraId="2311F2B5" w14:textId="77777777" w:rsidR="00840CCB" w:rsidRPr="00827E7F" w:rsidRDefault="00840CCB" w:rsidP="00840CCB">
      <w:pPr>
        <w:spacing w:before="240"/>
        <w:jc w:val="center"/>
        <w:rPr>
          <w:u w:val="single"/>
        </w:rPr>
      </w:pPr>
      <w:r w:rsidRPr="00827E7F">
        <w:rPr>
          <w:u w:val="single"/>
        </w:rPr>
        <w:tab/>
      </w:r>
      <w:r w:rsidRPr="00827E7F">
        <w:rPr>
          <w:u w:val="single"/>
        </w:rPr>
        <w:tab/>
      </w:r>
      <w:r w:rsidRPr="00827E7F">
        <w:rPr>
          <w:u w:val="single"/>
        </w:rPr>
        <w:tab/>
      </w:r>
    </w:p>
    <w:sectPr w:rsidR="00840CCB" w:rsidRPr="00827E7F" w:rsidSect="00840C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E58A5" w14:textId="77777777" w:rsidR="004C6498" w:rsidRPr="00A312BC" w:rsidRDefault="004C6498" w:rsidP="00A312BC"/>
  </w:endnote>
  <w:endnote w:type="continuationSeparator" w:id="0">
    <w:p w14:paraId="4A30C1A0" w14:textId="77777777" w:rsidR="004C6498" w:rsidRPr="00A312BC" w:rsidRDefault="004C649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1" w:usb1="1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BC34" w14:textId="77777777" w:rsidR="00840CCB" w:rsidRPr="00840CCB" w:rsidRDefault="00840CCB">
    <w:pPr>
      <w:pStyle w:val="Footer"/>
    </w:pPr>
    <w:r w:rsidRPr="00840CCB">
      <w:rPr>
        <w:b/>
        <w:sz w:val="18"/>
      </w:rPr>
      <w:fldChar w:fldCharType="begin"/>
    </w:r>
    <w:r w:rsidRPr="00840CCB">
      <w:rPr>
        <w:b/>
        <w:sz w:val="18"/>
      </w:rPr>
      <w:instrText xml:space="preserve"> PAGE  \* MERGEFORMAT </w:instrText>
    </w:r>
    <w:r w:rsidRPr="00840CCB">
      <w:rPr>
        <w:b/>
        <w:sz w:val="18"/>
      </w:rPr>
      <w:fldChar w:fldCharType="separate"/>
    </w:r>
    <w:r w:rsidRPr="00840CCB">
      <w:rPr>
        <w:b/>
        <w:noProof/>
        <w:sz w:val="18"/>
      </w:rPr>
      <w:t>2</w:t>
    </w:r>
    <w:r w:rsidRPr="00840CCB">
      <w:rPr>
        <w:b/>
        <w:sz w:val="18"/>
      </w:rPr>
      <w:fldChar w:fldCharType="end"/>
    </w:r>
    <w:r>
      <w:rPr>
        <w:b/>
        <w:sz w:val="18"/>
      </w:rPr>
      <w:tab/>
    </w:r>
    <w:r>
      <w:t>GE.19-14835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8B48" w14:textId="77777777" w:rsidR="00840CCB" w:rsidRPr="00840CCB" w:rsidRDefault="00840CCB" w:rsidP="00840CCB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GE.19-14835</w:t>
    </w:r>
    <w:r>
      <w:tab/>
    </w:r>
    <w:r w:rsidRPr="00840CCB">
      <w:rPr>
        <w:b/>
        <w:sz w:val="18"/>
      </w:rPr>
      <w:fldChar w:fldCharType="begin"/>
    </w:r>
    <w:r w:rsidRPr="00840CCB">
      <w:rPr>
        <w:b/>
        <w:sz w:val="18"/>
      </w:rPr>
      <w:instrText xml:space="preserve"> PAGE  \* MERGEFORMAT </w:instrText>
    </w:r>
    <w:r w:rsidRPr="00840CCB">
      <w:rPr>
        <w:b/>
        <w:sz w:val="18"/>
      </w:rPr>
      <w:fldChar w:fldCharType="separate"/>
    </w:r>
    <w:r w:rsidRPr="00840CCB">
      <w:rPr>
        <w:b/>
        <w:noProof/>
        <w:sz w:val="18"/>
      </w:rPr>
      <w:t>3</w:t>
    </w:r>
    <w:r w:rsidRPr="00840C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A3A8" w14:textId="77777777" w:rsidR="00042B72" w:rsidRPr="00840CCB" w:rsidRDefault="00840CCB" w:rsidP="00840CC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B4520C" wp14:editId="33BC6B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19-14835  (R)</w:t>
    </w:r>
    <w:r>
      <w:rPr>
        <w:lang w:val="en-US"/>
      </w:rPr>
      <w:t xml:space="preserve">  260919  260919</w:t>
    </w:r>
    <w:r>
      <w:br/>
    </w:r>
    <w:r w:rsidRPr="00840CCB">
      <w:rPr>
        <w:rFonts w:ascii="C39T30Lfz" w:hAnsi="C39T30Lfz"/>
        <w:kern w:val="14"/>
        <w:sz w:val="56"/>
      </w:rPr>
      <w:t></w:t>
    </w:r>
    <w:r w:rsidRPr="00840CCB">
      <w:rPr>
        <w:rFonts w:ascii="C39T30Lfz" w:hAnsi="C39T30Lfz"/>
        <w:kern w:val="14"/>
        <w:sz w:val="56"/>
      </w:rPr>
      <w:t></w:t>
    </w:r>
    <w:r w:rsidRPr="00840CCB">
      <w:rPr>
        <w:rFonts w:ascii="C39T30Lfz" w:hAnsi="C39T30Lfz"/>
        <w:kern w:val="14"/>
        <w:sz w:val="56"/>
      </w:rPr>
      <w:t></w:t>
    </w:r>
    <w:r w:rsidRPr="00840CCB">
      <w:rPr>
        <w:rFonts w:ascii="C39T30Lfz" w:hAnsi="C39T30Lfz"/>
        <w:kern w:val="14"/>
        <w:sz w:val="56"/>
      </w:rPr>
      <w:t></w:t>
    </w:r>
    <w:r w:rsidRPr="00840CCB">
      <w:rPr>
        <w:rFonts w:ascii="C39T30Lfz" w:hAnsi="C39T30Lfz"/>
        <w:kern w:val="14"/>
        <w:sz w:val="56"/>
      </w:rPr>
      <w:t></w:t>
    </w:r>
    <w:r w:rsidRPr="00840CCB">
      <w:rPr>
        <w:rFonts w:ascii="C39T30Lfz" w:hAnsi="C39T30Lfz"/>
        <w:kern w:val="14"/>
        <w:sz w:val="56"/>
      </w:rPr>
      <w:t></w:t>
    </w:r>
    <w:r w:rsidRPr="00840CCB">
      <w:rPr>
        <w:rFonts w:ascii="C39T30Lfz" w:hAnsi="C39T30Lfz"/>
        <w:kern w:val="14"/>
        <w:sz w:val="56"/>
      </w:rPr>
      <w:t></w:t>
    </w:r>
    <w:r w:rsidRPr="00840CCB">
      <w:rPr>
        <w:rFonts w:ascii="C39T30Lfz" w:hAnsi="C39T30Lfz"/>
        <w:kern w:val="14"/>
        <w:sz w:val="56"/>
      </w:rPr>
      <w:t></w:t>
    </w:r>
    <w:r w:rsidRPr="00840CC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E6E4E9B" wp14:editId="48CA690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7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7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FAFE" w14:textId="77777777" w:rsidR="004C6498" w:rsidRPr="001075E9" w:rsidRDefault="004C64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8C468E" w14:textId="77777777" w:rsidR="004C6498" w:rsidRDefault="004C64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B1ACF6" w14:textId="77777777" w:rsidR="00840CCB" w:rsidRPr="00EC4B12" w:rsidRDefault="00840CCB" w:rsidP="00840CCB">
      <w:pPr>
        <w:pStyle w:val="FootnoteText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</w:t>
      </w:r>
      <w:r>
        <w:br/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64C2" w14:textId="61337E0D" w:rsidR="00840CCB" w:rsidRPr="00840CCB" w:rsidRDefault="00840CCB">
    <w:pPr>
      <w:pStyle w:val="Header"/>
    </w:pPr>
    <w:fldSimple w:instr=" TITLE  \* MERGEFORMAT ">
      <w:r w:rsidR="00A17CD4">
        <w:t>ECE/TRANS/WP.29/2019/78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7970" w14:textId="7C212EBF" w:rsidR="00840CCB" w:rsidRPr="00840CCB" w:rsidRDefault="00840CCB" w:rsidP="00840CCB">
    <w:pPr>
      <w:pStyle w:val="Header"/>
      <w:jc w:val="right"/>
    </w:pPr>
    <w:fldSimple w:instr=" TITLE  \* MERGEFORMAT ">
      <w:r w:rsidR="00A17CD4">
        <w:t>ECE/TRANS/WP.29/2019/78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34A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481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7AE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C9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E4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C69DE"/>
    <w:multiLevelType w:val="hybridMultilevel"/>
    <w:tmpl w:val="94C6E4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EE716E4"/>
    <w:multiLevelType w:val="hybridMultilevel"/>
    <w:tmpl w:val="B98A6B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D4B4E"/>
    <w:multiLevelType w:val="hybridMultilevel"/>
    <w:tmpl w:val="6A9C7732"/>
    <w:lvl w:ilvl="0" w:tplc="538822E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6723C7"/>
    <w:multiLevelType w:val="multilevel"/>
    <w:tmpl w:val="BE207D46"/>
    <w:name w:val="BulletListTemplate"/>
    <w:lvl w:ilvl="0">
      <w:start w:val="1"/>
      <w:numFmt w:val="bullet"/>
      <w:lvlRestart w:val="0"/>
      <w:pStyle w:val="List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07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"/>
      <w:lvlJc w:val="left"/>
      <w:pPr>
        <w:ind w:left="1587" w:hanging="340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ind w:left="2098" w:hanging="341"/>
      </w:pPr>
      <w:rPr>
        <w:rFonts w:ascii="Courier New" w:hAnsi="Courier New" w:cs="Courier New"/>
      </w:rPr>
    </w:lvl>
    <w:lvl w:ilvl="4">
      <w:start w:val="1"/>
      <w:numFmt w:val="bullet"/>
      <w:pStyle w:val="ListBullet5"/>
      <w:lvlText w:val=""/>
      <w:lvlJc w:val="left"/>
      <w:pPr>
        <w:ind w:left="2608" w:hanging="340"/>
      </w:pPr>
      <w:rPr>
        <w:rFonts w:ascii="Wingdings" w:hAnsi="Wingdings"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9196A"/>
    <w:multiLevelType w:val="hybridMultilevel"/>
    <w:tmpl w:val="525E71F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9036648"/>
    <w:multiLevelType w:val="hybridMultilevel"/>
    <w:tmpl w:val="4C2247F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B997F0F"/>
    <w:multiLevelType w:val="hybridMultilevel"/>
    <w:tmpl w:val="570E0E1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3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5"/>
  </w:num>
  <w:num w:numId="18">
    <w:abstractNumId w:val="17"/>
  </w:num>
  <w:num w:numId="19">
    <w:abstractNumId w:val="19"/>
  </w:num>
  <w:num w:numId="20">
    <w:abstractNumId w:val="15"/>
  </w:num>
  <w:num w:numId="21">
    <w:abstractNumId w:val="17"/>
  </w:num>
  <w:num w:numId="22">
    <w:abstractNumId w:val="14"/>
  </w:num>
  <w:num w:numId="23">
    <w:abstractNumId w:val="21"/>
  </w:num>
  <w:num w:numId="24">
    <w:abstractNumId w:val="10"/>
  </w:num>
  <w:num w:numId="25">
    <w:abstractNumId w:val="18"/>
    <w:lvlOverride w:ilvl="0">
      <w:lvl w:ilvl="0">
        <w:start w:val="1"/>
        <w:numFmt w:val="bullet"/>
        <w:lvlRestart w:val="0"/>
        <w:pStyle w:val="ListBullet"/>
        <w:lvlText w:val=""/>
        <w:lvlJc w:val="left"/>
        <w:pPr>
          <w:ind w:left="567" w:hanging="340"/>
        </w:pPr>
        <w:rPr>
          <w:rFonts w:ascii="Symbol" w:hAnsi="Symbol" w:hint="default"/>
        </w:rPr>
      </w:lvl>
    </w:lvlOverride>
  </w:num>
  <w:num w:numId="26">
    <w:abstractNumId w:val="24"/>
  </w:num>
  <w:num w:numId="27">
    <w:abstractNumId w:val="12"/>
    <w:lvlOverride w:ilvl="0">
      <w:lvl w:ilvl="0" w:tplc="08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8">
    <w:abstractNumId w:val="20"/>
    <w:lvlOverride w:ilvl="0">
      <w:lvl w:ilvl="0" w:tplc="08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98"/>
    <w:rsid w:val="00033EE1"/>
    <w:rsid w:val="000359CA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1E3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631F"/>
    <w:rsid w:val="004C649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1621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0CCB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37D2"/>
    <w:rsid w:val="009A24AC"/>
    <w:rsid w:val="009C59D7"/>
    <w:rsid w:val="009C6FE6"/>
    <w:rsid w:val="009D7E7D"/>
    <w:rsid w:val="009F4415"/>
    <w:rsid w:val="00A14DA8"/>
    <w:rsid w:val="00A17CD4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D03A4"/>
  <w15:docId w15:val="{72A6267C-4FCA-4D09-B7C2-44A0850A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40CCB"/>
    <w:rPr>
      <w:lang w:val="ru-RU" w:eastAsia="en-US"/>
    </w:rPr>
  </w:style>
  <w:style w:type="character" w:customStyle="1" w:styleId="HChGChar">
    <w:name w:val="_ H _Ch_G Char"/>
    <w:link w:val="HChG"/>
    <w:rsid w:val="00840CC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40CCB"/>
    <w:rPr>
      <w:b/>
      <w:sz w:val="24"/>
      <w:lang w:val="ru-RU" w:eastAsia="ru-RU"/>
    </w:rPr>
  </w:style>
  <w:style w:type="paragraph" w:styleId="ListBullet">
    <w:name w:val="List Bullet"/>
    <w:basedOn w:val="BodyText"/>
    <w:rsid w:val="00840CCB"/>
    <w:pPr>
      <w:numPr>
        <w:numId w:val="25"/>
      </w:numPr>
      <w:tabs>
        <w:tab w:val="num" w:pos="360"/>
        <w:tab w:val="left" w:pos="567"/>
      </w:tabs>
      <w:suppressAutoHyphens w:val="0"/>
      <w:spacing w:after="140" w:line="300" w:lineRule="atLeast"/>
      <w:ind w:left="0" w:firstLine="0"/>
      <w:jc w:val="both"/>
    </w:pPr>
    <w:rPr>
      <w:rFonts w:ascii="Tele-GroteskNor" w:eastAsia="Times New Roman" w:hAnsi="Tele-GroteskNor" w:cs="Times New Roman"/>
      <w:sz w:val="22"/>
      <w:szCs w:val="24"/>
      <w:lang w:val="de-DE" w:eastAsia="de-DE"/>
    </w:rPr>
  </w:style>
  <w:style w:type="paragraph" w:styleId="ListBullet2">
    <w:name w:val="List Bullet 2"/>
    <w:basedOn w:val="BodyText"/>
    <w:rsid w:val="00840CCB"/>
    <w:pPr>
      <w:numPr>
        <w:ilvl w:val="1"/>
        <w:numId w:val="25"/>
      </w:numPr>
      <w:tabs>
        <w:tab w:val="num" w:pos="360"/>
        <w:tab w:val="left" w:pos="1077"/>
      </w:tabs>
      <w:suppressAutoHyphens w:val="0"/>
      <w:spacing w:after="140" w:line="300" w:lineRule="atLeast"/>
      <w:ind w:left="0" w:firstLine="0"/>
      <w:jc w:val="both"/>
    </w:pPr>
    <w:rPr>
      <w:rFonts w:ascii="Tele-GroteskNor" w:eastAsia="Times New Roman" w:hAnsi="Tele-GroteskNor" w:cs="Times New Roman"/>
      <w:sz w:val="22"/>
      <w:szCs w:val="24"/>
      <w:lang w:val="de-DE" w:eastAsia="de-DE"/>
    </w:rPr>
  </w:style>
  <w:style w:type="paragraph" w:styleId="ListBullet3">
    <w:name w:val="List Bullet 3"/>
    <w:basedOn w:val="BodyText"/>
    <w:rsid w:val="00840CCB"/>
    <w:pPr>
      <w:numPr>
        <w:ilvl w:val="2"/>
        <w:numId w:val="25"/>
      </w:numPr>
      <w:tabs>
        <w:tab w:val="num" w:pos="360"/>
        <w:tab w:val="left" w:pos="1587"/>
      </w:tabs>
      <w:suppressAutoHyphens w:val="0"/>
      <w:spacing w:after="140" w:line="300" w:lineRule="atLeast"/>
      <w:ind w:left="0" w:firstLine="0"/>
      <w:jc w:val="both"/>
    </w:pPr>
    <w:rPr>
      <w:rFonts w:ascii="Tele-GroteskNor" w:eastAsia="Times New Roman" w:hAnsi="Tele-GroteskNor" w:cs="Times New Roman"/>
      <w:sz w:val="22"/>
      <w:szCs w:val="24"/>
      <w:lang w:val="de-DE" w:eastAsia="de-DE"/>
    </w:rPr>
  </w:style>
  <w:style w:type="paragraph" w:styleId="ListBullet4">
    <w:name w:val="List Bullet 4"/>
    <w:basedOn w:val="BodyText"/>
    <w:rsid w:val="00840CCB"/>
    <w:pPr>
      <w:numPr>
        <w:ilvl w:val="3"/>
        <w:numId w:val="25"/>
      </w:numPr>
      <w:tabs>
        <w:tab w:val="num" w:pos="360"/>
        <w:tab w:val="left" w:pos="2098"/>
      </w:tabs>
      <w:suppressAutoHyphens w:val="0"/>
      <w:spacing w:after="140" w:line="300" w:lineRule="atLeast"/>
      <w:ind w:left="0" w:firstLine="0"/>
      <w:jc w:val="both"/>
    </w:pPr>
    <w:rPr>
      <w:rFonts w:ascii="Tele-GroteskNor" w:eastAsia="Times New Roman" w:hAnsi="Tele-GroteskNor" w:cs="Times New Roman"/>
      <w:sz w:val="22"/>
      <w:szCs w:val="24"/>
      <w:lang w:val="de-DE" w:eastAsia="de-DE"/>
    </w:rPr>
  </w:style>
  <w:style w:type="paragraph" w:styleId="ListBullet5">
    <w:name w:val="List Bullet 5"/>
    <w:basedOn w:val="BodyText"/>
    <w:rsid w:val="00840CCB"/>
    <w:pPr>
      <w:numPr>
        <w:ilvl w:val="4"/>
        <w:numId w:val="25"/>
      </w:numPr>
      <w:tabs>
        <w:tab w:val="num" w:pos="360"/>
        <w:tab w:val="left" w:pos="2608"/>
      </w:tabs>
      <w:suppressAutoHyphens w:val="0"/>
      <w:spacing w:after="140" w:line="300" w:lineRule="atLeast"/>
      <w:ind w:left="0" w:firstLine="0"/>
      <w:jc w:val="both"/>
    </w:pPr>
    <w:rPr>
      <w:rFonts w:ascii="Tele-GroteskNor" w:eastAsia="Times New Roman" w:hAnsi="Tele-GroteskNor" w:cs="Times New Roman"/>
      <w:sz w:val="22"/>
      <w:szCs w:val="24"/>
      <w:lang w:val="de-DE" w:eastAsia="de-DE"/>
    </w:rPr>
  </w:style>
  <w:style w:type="paragraph" w:styleId="BodyText">
    <w:name w:val="Body Text"/>
    <w:basedOn w:val="Normal"/>
    <w:link w:val="BodyTextChar"/>
    <w:semiHidden/>
    <w:unhideWhenUsed/>
    <w:rsid w:val="00840CC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40CCB"/>
    <w:rPr>
      <w:rFonts w:eastAsiaTheme="minorHAnsi" w:cstheme="minorBidi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ECE/TRANS/WP.29/2019/78</vt:lpstr>
      <vt:lpstr>ECE/TRANS/WP.29/2019/78</vt:lpstr>
      <vt:lpstr>A/</vt:lpstr>
    </vt:vector>
  </TitlesOfParts>
  <Company>DCM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ECE/TRANS/WP.29/2019/78</dc:title>
  <dc:subject/>
  <dc:creator>Anna KISSELEVA</dc:creator>
  <cp:keywords/>
  <cp:lastModifiedBy>Marie-Claude Collet</cp:lastModifiedBy>
  <cp:revision>3</cp:revision>
  <cp:lastPrinted>2019-10-01T11:33:00Z</cp:lastPrinted>
  <dcterms:created xsi:type="dcterms:W3CDTF">2019-10-01T11:33:00Z</dcterms:created>
  <dcterms:modified xsi:type="dcterms:W3CDTF">2019-10-01T11:33:00Z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