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31978" w:rsidRPr="009D05A9" w14:paraId="201738FA" w14:textId="77777777" w:rsidTr="00C97039">
        <w:trPr>
          <w:trHeight w:hRule="exact" w:val="851"/>
        </w:trPr>
        <w:tc>
          <w:tcPr>
            <w:tcW w:w="1276" w:type="dxa"/>
            <w:tcBorders>
              <w:bottom w:val="single" w:sz="4" w:space="0" w:color="auto"/>
            </w:tcBorders>
          </w:tcPr>
          <w:p w14:paraId="77B072D8" w14:textId="77777777" w:rsidR="00F35BAF" w:rsidRPr="009D05A9" w:rsidRDefault="00F35BAF" w:rsidP="004C430B">
            <w:bookmarkStart w:id="0" w:name="_GoBack"/>
            <w:bookmarkEnd w:id="0"/>
          </w:p>
        </w:tc>
        <w:tc>
          <w:tcPr>
            <w:tcW w:w="2268" w:type="dxa"/>
            <w:tcBorders>
              <w:bottom w:val="single" w:sz="4" w:space="0" w:color="auto"/>
            </w:tcBorders>
            <w:vAlign w:val="bottom"/>
          </w:tcPr>
          <w:p w14:paraId="4732C261" w14:textId="77777777" w:rsidR="00F35BAF" w:rsidRPr="009D05A9" w:rsidRDefault="00F35BAF" w:rsidP="00C97039">
            <w:pPr>
              <w:spacing w:after="80" w:line="300" w:lineRule="exact"/>
              <w:rPr>
                <w:sz w:val="28"/>
              </w:rPr>
            </w:pPr>
            <w:r w:rsidRPr="009D05A9">
              <w:rPr>
                <w:sz w:val="28"/>
              </w:rPr>
              <w:t>Nations Unies</w:t>
            </w:r>
          </w:p>
        </w:tc>
        <w:tc>
          <w:tcPr>
            <w:tcW w:w="6095" w:type="dxa"/>
            <w:gridSpan w:val="2"/>
            <w:tcBorders>
              <w:bottom w:val="single" w:sz="4" w:space="0" w:color="auto"/>
            </w:tcBorders>
            <w:vAlign w:val="bottom"/>
          </w:tcPr>
          <w:p w14:paraId="0157CB19" w14:textId="77777777" w:rsidR="00F35BAF" w:rsidRPr="009D05A9" w:rsidRDefault="004C430B" w:rsidP="004C430B">
            <w:pPr>
              <w:jc w:val="right"/>
            </w:pPr>
            <w:r w:rsidRPr="009D05A9">
              <w:rPr>
                <w:sz w:val="40"/>
              </w:rPr>
              <w:t>ECE</w:t>
            </w:r>
            <w:r w:rsidRPr="009D05A9">
              <w:t>/TRANS/WP.29/2019/123</w:t>
            </w:r>
          </w:p>
        </w:tc>
      </w:tr>
      <w:tr w:rsidR="00231978" w:rsidRPr="009D05A9" w14:paraId="3FB2F0FA" w14:textId="77777777" w:rsidTr="00C97039">
        <w:trPr>
          <w:trHeight w:hRule="exact" w:val="2835"/>
        </w:trPr>
        <w:tc>
          <w:tcPr>
            <w:tcW w:w="1276" w:type="dxa"/>
            <w:tcBorders>
              <w:top w:val="single" w:sz="4" w:space="0" w:color="auto"/>
              <w:bottom w:val="single" w:sz="12" w:space="0" w:color="auto"/>
            </w:tcBorders>
          </w:tcPr>
          <w:p w14:paraId="35F19FD2" w14:textId="77777777" w:rsidR="00F35BAF" w:rsidRPr="009D05A9" w:rsidRDefault="00F35BAF" w:rsidP="00C97039">
            <w:pPr>
              <w:spacing w:before="120"/>
              <w:jc w:val="center"/>
            </w:pPr>
            <w:r w:rsidRPr="009D05A9">
              <w:rPr>
                <w:noProof/>
                <w:lang w:eastAsia="fr-CH"/>
              </w:rPr>
              <w:drawing>
                <wp:inline distT="0" distB="0" distL="0" distR="0" wp14:anchorId="74731A7D" wp14:editId="7ECC155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8D07D5" w14:textId="77777777" w:rsidR="00F35BAF" w:rsidRPr="009D05A9" w:rsidRDefault="00F35BAF" w:rsidP="00C97039">
            <w:pPr>
              <w:spacing w:before="120" w:line="420" w:lineRule="exact"/>
              <w:rPr>
                <w:b/>
                <w:sz w:val="40"/>
                <w:szCs w:val="40"/>
              </w:rPr>
            </w:pPr>
            <w:r w:rsidRPr="009D05A9">
              <w:rPr>
                <w:b/>
                <w:sz w:val="40"/>
                <w:szCs w:val="40"/>
              </w:rPr>
              <w:t>Conseil économique et social</w:t>
            </w:r>
          </w:p>
        </w:tc>
        <w:tc>
          <w:tcPr>
            <w:tcW w:w="2835" w:type="dxa"/>
            <w:tcBorders>
              <w:top w:val="single" w:sz="4" w:space="0" w:color="auto"/>
              <w:bottom w:val="single" w:sz="12" w:space="0" w:color="auto"/>
            </w:tcBorders>
          </w:tcPr>
          <w:p w14:paraId="6A722B93" w14:textId="77777777" w:rsidR="00F35BAF" w:rsidRPr="009D05A9" w:rsidRDefault="004C430B" w:rsidP="00C97039">
            <w:pPr>
              <w:spacing w:before="240"/>
            </w:pPr>
            <w:r w:rsidRPr="009D05A9">
              <w:t xml:space="preserve">Distr. </w:t>
            </w:r>
            <w:proofErr w:type="gramStart"/>
            <w:r w:rsidRPr="009D05A9">
              <w:t>générale</w:t>
            </w:r>
            <w:proofErr w:type="gramEnd"/>
          </w:p>
          <w:p w14:paraId="38FEA542" w14:textId="77777777" w:rsidR="004C430B" w:rsidRPr="009D05A9" w:rsidRDefault="004C430B" w:rsidP="004C430B">
            <w:pPr>
              <w:spacing w:line="240" w:lineRule="exact"/>
            </w:pPr>
            <w:r w:rsidRPr="009D05A9">
              <w:t>3 septembre 2019</w:t>
            </w:r>
          </w:p>
          <w:p w14:paraId="1C169C50" w14:textId="77777777" w:rsidR="004C430B" w:rsidRPr="009D05A9" w:rsidRDefault="004C430B" w:rsidP="004C430B">
            <w:pPr>
              <w:spacing w:line="240" w:lineRule="exact"/>
            </w:pPr>
            <w:r w:rsidRPr="009D05A9">
              <w:t>Français</w:t>
            </w:r>
          </w:p>
          <w:p w14:paraId="2A77598B" w14:textId="77777777" w:rsidR="004C430B" w:rsidRPr="009D05A9" w:rsidRDefault="004C430B" w:rsidP="004C430B">
            <w:pPr>
              <w:spacing w:line="240" w:lineRule="exact"/>
            </w:pPr>
            <w:r w:rsidRPr="009D05A9">
              <w:t>Original</w:t>
            </w:r>
            <w:r w:rsidR="00231978" w:rsidRPr="009D05A9">
              <w:t> :</w:t>
            </w:r>
            <w:r w:rsidRPr="009D05A9">
              <w:t xml:space="preserve"> anglais</w:t>
            </w:r>
          </w:p>
        </w:tc>
      </w:tr>
    </w:tbl>
    <w:p w14:paraId="4ED38B99" w14:textId="77777777" w:rsidR="007F20FA" w:rsidRDefault="007F20FA" w:rsidP="007F20FA">
      <w:pPr>
        <w:spacing w:before="120"/>
        <w:rPr>
          <w:b/>
          <w:sz w:val="28"/>
          <w:szCs w:val="28"/>
        </w:rPr>
      </w:pPr>
      <w:r w:rsidRPr="009D05A9">
        <w:rPr>
          <w:b/>
          <w:sz w:val="28"/>
          <w:szCs w:val="28"/>
        </w:rPr>
        <w:t>Commission économique pour l’Europe</w:t>
      </w:r>
    </w:p>
    <w:p w14:paraId="249F5230" w14:textId="77777777" w:rsidR="00DF5713" w:rsidRPr="00DF5713" w:rsidRDefault="00DF5713" w:rsidP="007F20FA">
      <w:pPr>
        <w:spacing w:before="120"/>
        <w:rPr>
          <w:bCs/>
          <w:sz w:val="28"/>
          <w:szCs w:val="28"/>
        </w:rPr>
      </w:pPr>
      <w:r w:rsidRPr="00DF5713">
        <w:rPr>
          <w:bCs/>
          <w:sz w:val="28"/>
          <w:szCs w:val="28"/>
        </w:rPr>
        <w:t>Comité des transports intérieurs</w:t>
      </w:r>
    </w:p>
    <w:p w14:paraId="0F20BA9B" w14:textId="77777777" w:rsidR="00231978" w:rsidRPr="009D05A9" w:rsidRDefault="00231978" w:rsidP="00231978">
      <w:pPr>
        <w:spacing w:before="120"/>
        <w:rPr>
          <w:b/>
          <w:sz w:val="24"/>
          <w:szCs w:val="24"/>
        </w:rPr>
      </w:pPr>
      <w:r w:rsidRPr="009D05A9">
        <w:rPr>
          <w:b/>
          <w:bCs/>
          <w:sz w:val="24"/>
          <w:szCs w:val="24"/>
        </w:rPr>
        <w:t xml:space="preserve">Forum mondial de l’harmonisation </w:t>
      </w:r>
      <w:r w:rsidRPr="009D05A9">
        <w:rPr>
          <w:b/>
          <w:bCs/>
          <w:sz w:val="24"/>
          <w:szCs w:val="24"/>
        </w:rPr>
        <w:br/>
        <w:t>des Règlements concernant les véhicules</w:t>
      </w:r>
    </w:p>
    <w:p w14:paraId="75A38480" w14:textId="77777777" w:rsidR="00231978" w:rsidRPr="009D05A9" w:rsidRDefault="00231978" w:rsidP="00231978">
      <w:pPr>
        <w:tabs>
          <w:tab w:val="center" w:pos="4819"/>
        </w:tabs>
        <w:spacing w:before="120"/>
        <w:rPr>
          <w:b/>
        </w:rPr>
      </w:pPr>
      <w:r w:rsidRPr="009D05A9">
        <w:rPr>
          <w:b/>
          <w:bCs/>
        </w:rPr>
        <w:t>179</w:t>
      </w:r>
      <w:r w:rsidRPr="009D05A9">
        <w:rPr>
          <w:b/>
          <w:bCs/>
          <w:vertAlign w:val="superscript"/>
        </w:rPr>
        <w:t>e</w:t>
      </w:r>
      <w:r w:rsidRPr="009D05A9">
        <w:rPr>
          <w:b/>
          <w:bCs/>
        </w:rPr>
        <w:t xml:space="preserve"> session</w:t>
      </w:r>
    </w:p>
    <w:p w14:paraId="1D1F2B8C" w14:textId="77777777" w:rsidR="00231978" w:rsidRPr="009D05A9" w:rsidRDefault="00231978" w:rsidP="00231978">
      <w:r w:rsidRPr="009D05A9">
        <w:t>Genève, 12-15 novembre 2019</w:t>
      </w:r>
    </w:p>
    <w:p w14:paraId="4FD655E0" w14:textId="77777777" w:rsidR="00231978" w:rsidRPr="009D05A9" w:rsidRDefault="00231978" w:rsidP="00231978">
      <w:r w:rsidRPr="009D05A9">
        <w:t>Point 19.6 de l’ordre du jour provisoire</w:t>
      </w:r>
    </w:p>
    <w:p w14:paraId="6CA95F2B" w14:textId="77777777" w:rsidR="00231978" w:rsidRPr="009D05A9" w:rsidRDefault="00231978" w:rsidP="00231978">
      <w:pPr>
        <w:rPr>
          <w:b/>
        </w:rPr>
      </w:pPr>
      <w:r w:rsidRPr="009D05A9">
        <w:rPr>
          <w:b/>
          <w:bCs/>
        </w:rPr>
        <w:t xml:space="preserve">État d’avancement de l’élaboration de nouveaux RTM ONU </w:t>
      </w:r>
      <w:r w:rsidRPr="009D05A9">
        <w:rPr>
          <w:b/>
          <w:bCs/>
        </w:rPr>
        <w:br/>
        <w:t xml:space="preserve">ou d’amendements à des RTM ONU existants : </w:t>
      </w:r>
      <w:r w:rsidRPr="009D05A9">
        <w:rPr>
          <w:b/>
          <w:bCs/>
        </w:rPr>
        <w:br/>
        <w:t>RTM ONU n</w:t>
      </w:r>
      <w:r w:rsidRPr="009D05A9">
        <w:rPr>
          <w:b/>
          <w:bCs/>
          <w:vertAlign w:val="superscript"/>
        </w:rPr>
        <w:t>o</w:t>
      </w:r>
      <w:r w:rsidRPr="009D05A9">
        <w:rPr>
          <w:b/>
          <w:bCs/>
        </w:rPr>
        <w:t xml:space="preserve"> 6 (Vitrages de sécurité)</w:t>
      </w:r>
    </w:p>
    <w:p w14:paraId="38B4EAEF" w14:textId="77777777" w:rsidR="00231978" w:rsidRPr="009D05A9" w:rsidRDefault="00231978" w:rsidP="00231978">
      <w:pPr>
        <w:pStyle w:val="HChG"/>
      </w:pPr>
      <w:r w:rsidRPr="009D05A9">
        <w:tab/>
      </w:r>
      <w:r w:rsidRPr="009D05A9">
        <w:tab/>
        <w:t>Demande d’autorisation d’élaborer des amendements au RTM ONU n</w:t>
      </w:r>
      <w:r w:rsidRPr="009D05A9">
        <w:rPr>
          <w:vertAlign w:val="superscript"/>
        </w:rPr>
        <w:t>o</w:t>
      </w:r>
      <w:r w:rsidRPr="009D05A9">
        <w:t> 6 (Vitrages de sécurité)</w:t>
      </w:r>
    </w:p>
    <w:p w14:paraId="0FA5A579" w14:textId="77777777" w:rsidR="00231978" w:rsidRPr="009D05A9" w:rsidRDefault="00231978" w:rsidP="00231978">
      <w:pPr>
        <w:pStyle w:val="H1G"/>
      </w:pPr>
      <w:r w:rsidRPr="009D05A9">
        <w:tab/>
      </w:r>
      <w:r w:rsidRPr="009D05A9">
        <w:tab/>
        <w:t>Communication du représentant de la République de Corée</w:t>
      </w:r>
      <w:r w:rsidRPr="009D05A9">
        <w:rPr>
          <w:rStyle w:val="FootnoteReference"/>
          <w:b w:val="0"/>
          <w:sz w:val="20"/>
          <w:vertAlign w:val="baseline"/>
        </w:rPr>
        <w:footnoteReference w:customMarkFollows="1" w:id="2"/>
        <w:t>*</w:t>
      </w:r>
    </w:p>
    <w:p w14:paraId="60C9D3D8" w14:textId="77777777" w:rsidR="00231978" w:rsidRPr="009D05A9" w:rsidRDefault="00231978" w:rsidP="00231978">
      <w:pPr>
        <w:pStyle w:val="SingleTxtG"/>
        <w:ind w:firstLine="567"/>
      </w:pPr>
      <w:r w:rsidRPr="009D05A9">
        <w:t xml:space="preserve">Le texte ci-après, soumis par le représentant de la République de Corée, vise à adapter le Règlement technique mondial (RTM) ONU </w:t>
      </w:r>
      <w:r w:rsidRPr="009D05A9">
        <w:rPr>
          <w:rFonts w:eastAsia="MS Mincho"/>
        </w:rPr>
        <w:t>n</w:t>
      </w:r>
      <w:r w:rsidRPr="009D05A9">
        <w:rPr>
          <w:rFonts w:eastAsia="MS Mincho"/>
          <w:vertAlign w:val="superscript"/>
        </w:rPr>
        <w:t>o</w:t>
      </w:r>
      <w:r w:rsidRPr="009D05A9">
        <w:t> 6 à l’évolution technique. Il est fondé sur le document informel WP.29-178-12 distribué à la 178</w:t>
      </w:r>
      <w:r w:rsidRPr="009D05A9">
        <w:rPr>
          <w:vertAlign w:val="superscript"/>
        </w:rPr>
        <w:t>e</w:t>
      </w:r>
      <w:r w:rsidRPr="009D05A9">
        <w:t> session du Forum mondial de l’harmonisation des Règlements concernant les véhicules (WP.29). Il est soumis au WP.29 et au Comité exécutif de l’Accord de 1998 (AC.3) pour examen à leurs sessions de novembre 2019.</w:t>
      </w:r>
    </w:p>
    <w:p w14:paraId="39D0EAD9" w14:textId="77777777" w:rsidR="00231978" w:rsidRPr="009D05A9" w:rsidRDefault="00231978" w:rsidP="00231978">
      <w:pPr>
        <w:pStyle w:val="HChG"/>
      </w:pPr>
      <w:r w:rsidRPr="009D05A9">
        <w:br w:type="page"/>
      </w:r>
      <w:r w:rsidRPr="009D05A9">
        <w:lastRenderedPageBreak/>
        <w:tab/>
      </w:r>
      <w:r w:rsidRPr="009D05A9">
        <w:tab/>
        <w:t>Demande d’autorisation d’élaborer des amendements au RTM ONU n</w:t>
      </w:r>
      <w:r w:rsidRPr="009D05A9">
        <w:rPr>
          <w:vertAlign w:val="superscript"/>
        </w:rPr>
        <w:t>o</w:t>
      </w:r>
      <w:r w:rsidRPr="009D05A9">
        <w:t> 6 (Vitrages de sécurité)</w:t>
      </w:r>
    </w:p>
    <w:p w14:paraId="1ECE5775" w14:textId="77777777" w:rsidR="00231978" w:rsidRPr="009D05A9" w:rsidRDefault="00231978" w:rsidP="00231978">
      <w:pPr>
        <w:pStyle w:val="H1G"/>
      </w:pPr>
      <w:r w:rsidRPr="009D05A9">
        <w:tab/>
        <w:t>A.</w:t>
      </w:r>
      <w:r w:rsidRPr="009D05A9">
        <w:tab/>
        <w:t>Objectif</w:t>
      </w:r>
    </w:p>
    <w:p w14:paraId="6CFDE810" w14:textId="77777777" w:rsidR="00231978" w:rsidRPr="009D05A9" w:rsidRDefault="00231978" w:rsidP="00231978">
      <w:pPr>
        <w:pStyle w:val="SingleTxtG"/>
        <w:rPr>
          <w:spacing w:val="-2"/>
        </w:rPr>
      </w:pPr>
      <w:r w:rsidRPr="009D05A9">
        <w:t>1.</w:t>
      </w:r>
      <w:r w:rsidRPr="009D05A9">
        <w:tab/>
      </w:r>
      <w:r w:rsidRPr="009D05A9">
        <w:rPr>
          <w:spacing w:val="-2"/>
        </w:rPr>
        <w:t>L’objectif de cette proposition est d’élaborer, dans le cadre de l’Accord de 1998, un amendement au Règlement technique mondial (RTM) ONU n</w:t>
      </w:r>
      <w:r w:rsidRPr="009D05A9">
        <w:rPr>
          <w:spacing w:val="-2"/>
          <w:vertAlign w:val="superscript"/>
        </w:rPr>
        <w:t>o</w:t>
      </w:r>
      <w:r w:rsidRPr="009D05A9">
        <w:rPr>
          <w:spacing w:val="-2"/>
        </w:rPr>
        <w:t> 6 sur les vitrages de sécurité afin d’exclure de la zone I le masque opaque éventuel dans la zone d’essai sur le pare-brise des véhicules des catégories 1-2 et 2, qui sert pour l’installation de certains dispositifs tels que les détecteurs de pluie, le rétroviseur intérieur ou les capteurs de véhicules autonomes, etc.</w:t>
      </w:r>
    </w:p>
    <w:p w14:paraId="63BC8F5E" w14:textId="77777777" w:rsidR="00231978" w:rsidRPr="009D05A9" w:rsidRDefault="00231978" w:rsidP="00231978">
      <w:pPr>
        <w:pStyle w:val="H1G"/>
      </w:pPr>
      <w:r w:rsidRPr="009D05A9">
        <w:tab/>
        <w:t>B.</w:t>
      </w:r>
      <w:r w:rsidRPr="009D05A9">
        <w:tab/>
        <w:t>Contexte</w:t>
      </w:r>
    </w:p>
    <w:p w14:paraId="53D4F62B" w14:textId="77777777" w:rsidR="00231978" w:rsidRPr="009D05A9" w:rsidRDefault="00231978" w:rsidP="00231978">
      <w:pPr>
        <w:pStyle w:val="SingleTxtG"/>
        <w:rPr>
          <w:rFonts w:eastAsia="Malgun Gothic"/>
        </w:rPr>
      </w:pPr>
      <w:r w:rsidRPr="009D05A9">
        <w:t>2.</w:t>
      </w:r>
      <w:r w:rsidRPr="009D05A9">
        <w:tab/>
        <w:t>Lors de la 116</w:t>
      </w:r>
      <w:r w:rsidRPr="009D05A9">
        <w:rPr>
          <w:vertAlign w:val="superscript"/>
        </w:rPr>
        <w:t>e</w:t>
      </w:r>
      <w:r w:rsidRPr="009D05A9">
        <w:t> session du Groupe de travail des dispositions générales de sécurité (GRSG) (1-5 avril 2019), l’expert de République de Corée a présenté les documents GRSG-116-30 et GRSG-116-31 exposant la nécessité d’exempter dans la zone I le masque opaque éventuel défini au paragraphe 7.1.3.2.4 de l’annexe 7.1. L’expert de l’Allemagne a approuvé les amendements proposés dans leur principe, ajoutant que le masque opaque devait être clairement défini. L’expert de la Finlande a affirmé qu’il était nécessaire d’apporter des amendements similaires au Règlement ONU n</w:t>
      </w:r>
      <w:r w:rsidRPr="009D05A9">
        <w:rPr>
          <w:vertAlign w:val="superscript"/>
        </w:rPr>
        <w:t>o</w:t>
      </w:r>
      <w:r w:rsidRPr="009D05A9">
        <w:t> 43.</w:t>
      </w:r>
    </w:p>
    <w:p w14:paraId="2BF4B47A" w14:textId="77777777" w:rsidR="00231978" w:rsidRPr="009D05A9" w:rsidRDefault="00231978" w:rsidP="00231978">
      <w:pPr>
        <w:pStyle w:val="H1G"/>
      </w:pPr>
      <w:r w:rsidRPr="009D05A9">
        <w:tab/>
        <w:t>C.</w:t>
      </w:r>
      <w:r w:rsidRPr="009D05A9">
        <w:tab/>
      </w:r>
      <w:r w:rsidRPr="009D05A9">
        <w:rPr>
          <w:bCs/>
        </w:rPr>
        <w:t>Objet de l’amendement</w:t>
      </w:r>
    </w:p>
    <w:p w14:paraId="65BC7287" w14:textId="77777777" w:rsidR="00231978" w:rsidRPr="009D05A9" w:rsidRDefault="00231978" w:rsidP="00231978">
      <w:pPr>
        <w:pStyle w:val="SingleTxtG"/>
        <w:keepNext/>
      </w:pPr>
      <w:r w:rsidRPr="009D05A9">
        <w:t>3.</w:t>
      </w:r>
      <w:r w:rsidRPr="009D05A9">
        <w:tab/>
        <w:t>L’amendement au RTM ONU n</w:t>
      </w:r>
      <w:r w:rsidRPr="009D05A9">
        <w:rPr>
          <w:vertAlign w:val="superscript"/>
        </w:rPr>
        <w:t>o</w:t>
      </w:r>
      <w:r w:rsidRPr="009D05A9">
        <w:t> 6 doit consister à :</w:t>
      </w:r>
    </w:p>
    <w:p w14:paraId="09828674" w14:textId="77777777" w:rsidR="00231978" w:rsidRPr="009D05A9" w:rsidRDefault="00231978" w:rsidP="00231978">
      <w:pPr>
        <w:pStyle w:val="SingleTxtG"/>
        <w:ind w:firstLine="567"/>
      </w:pPr>
      <w:r w:rsidRPr="009D05A9">
        <w:t>a)</w:t>
      </w:r>
      <w:r w:rsidRPr="009D05A9">
        <w:tab/>
        <w:t>Modifier la partie A − Argumentation technique ;</w:t>
      </w:r>
    </w:p>
    <w:p w14:paraId="6F6CC8B5" w14:textId="77777777" w:rsidR="00231978" w:rsidRPr="009D05A9" w:rsidRDefault="00231978" w:rsidP="00231978">
      <w:pPr>
        <w:pStyle w:val="SingleTxtG"/>
        <w:ind w:firstLine="567"/>
      </w:pPr>
      <w:r w:rsidRPr="009D05A9">
        <w:t>b)</w:t>
      </w:r>
      <w:r w:rsidRPr="009D05A9">
        <w:tab/>
        <w:t>Modifier la partie B − Texte du Règlement, en particulier :</w:t>
      </w:r>
    </w:p>
    <w:p w14:paraId="3B5CCD47" w14:textId="77777777" w:rsidR="00231978" w:rsidRPr="009D05A9" w:rsidRDefault="00231978" w:rsidP="00231978">
      <w:pPr>
        <w:pStyle w:val="SingleTxtG"/>
        <w:tabs>
          <w:tab w:val="left" w:pos="709"/>
          <w:tab w:val="left" w:pos="1418"/>
          <w:tab w:val="left" w:pos="2127"/>
          <w:tab w:val="left" w:pos="2836"/>
          <w:tab w:val="left" w:pos="3545"/>
          <w:tab w:val="left" w:pos="4254"/>
          <w:tab w:val="left" w:pos="4963"/>
          <w:tab w:val="left" w:pos="5672"/>
          <w:tab w:val="left" w:pos="6670"/>
        </w:tabs>
        <w:ind w:left="2835" w:hanging="567"/>
        <w:rPr>
          <w:rFonts w:eastAsia="Malgun Gothic"/>
        </w:rPr>
      </w:pPr>
      <w:r w:rsidRPr="009D05A9">
        <w:t>i)</w:t>
      </w:r>
      <w:r w:rsidRPr="009D05A9">
        <w:tab/>
        <w:t>Modifier les dispositions du paragraphe 7.1.3.3.2 afin d’exclure de la zone I le masque opaque éventuel dans la zone d’essai sur le pare-brise des véhicules des catégories 1-2 et 2, telle qu’elle est définie au paragraphe 7.1.3.2.4 de l’annexe 7.1 ;</w:t>
      </w:r>
    </w:p>
    <w:p w14:paraId="723BEAA4" w14:textId="77777777" w:rsidR="00231978" w:rsidRPr="009D05A9" w:rsidRDefault="00231978" w:rsidP="00231978">
      <w:pPr>
        <w:pStyle w:val="SingleTxtG"/>
        <w:tabs>
          <w:tab w:val="left" w:pos="709"/>
          <w:tab w:val="left" w:pos="1418"/>
          <w:tab w:val="left" w:pos="2127"/>
          <w:tab w:val="left" w:pos="2836"/>
          <w:tab w:val="left" w:pos="3545"/>
          <w:tab w:val="left" w:pos="4254"/>
          <w:tab w:val="left" w:pos="4963"/>
          <w:tab w:val="left" w:pos="5672"/>
          <w:tab w:val="left" w:pos="6670"/>
        </w:tabs>
        <w:ind w:left="2835" w:hanging="567"/>
        <w:rPr>
          <w:rFonts w:eastAsia="Malgun Gothic"/>
        </w:rPr>
      </w:pPr>
      <w:r w:rsidRPr="009D05A9">
        <w:t>ii)</w:t>
      </w:r>
      <w:r w:rsidRPr="009D05A9">
        <w:tab/>
        <w:t xml:space="preserve">Annexe 7.1 « Procédure à suivre pour déterminer les zones d’essai sur </w:t>
      </w:r>
      <w:proofErr w:type="gramStart"/>
      <w:r w:rsidRPr="009D05A9">
        <w:t>les pare-brise</w:t>
      </w:r>
      <w:proofErr w:type="gramEnd"/>
      <w:r w:rsidRPr="009D05A9">
        <w:t xml:space="preserve"> des véhicules de la catégorie 1-1 par rapport aux points “V” et des véhicules des catégories 1-2 et 2 par rapport au point “O” » ;</w:t>
      </w:r>
    </w:p>
    <w:p w14:paraId="7FA58B36" w14:textId="77777777" w:rsidR="00231978" w:rsidRPr="009D05A9" w:rsidRDefault="00231978" w:rsidP="00231978">
      <w:pPr>
        <w:pStyle w:val="SingleTxtG"/>
        <w:tabs>
          <w:tab w:val="left" w:pos="709"/>
          <w:tab w:val="left" w:pos="1418"/>
          <w:tab w:val="left" w:pos="2127"/>
          <w:tab w:val="left" w:pos="2836"/>
          <w:tab w:val="left" w:pos="3545"/>
          <w:tab w:val="left" w:pos="4254"/>
          <w:tab w:val="left" w:pos="4963"/>
          <w:tab w:val="left" w:pos="5672"/>
          <w:tab w:val="left" w:pos="6670"/>
        </w:tabs>
        <w:ind w:left="2835" w:hanging="567"/>
        <w:rPr>
          <w:rFonts w:eastAsia="Malgun Gothic"/>
        </w:rPr>
      </w:pPr>
      <w:r w:rsidRPr="009D05A9">
        <w:t>iii)</w:t>
      </w:r>
      <w:r w:rsidRPr="009D05A9">
        <w:tab/>
        <w:t>Paragraphe 7.1.3.2 Deux zones d’essai sont déterminées à partir des points « V » pour les véhicules de la catégorie 1-1 ;</w:t>
      </w:r>
    </w:p>
    <w:p w14:paraId="0CDA9DB7" w14:textId="77777777" w:rsidR="00231978" w:rsidRPr="009D05A9" w:rsidRDefault="00231978" w:rsidP="00231978">
      <w:pPr>
        <w:pStyle w:val="SingleTxtG"/>
        <w:tabs>
          <w:tab w:val="left" w:pos="709"/>
          <w:tab w:val="left" w:pos="1418"/>
          <w:tab w:val="left" w:pos="2127"/>
          <w:tab w:val="left" w:pos="2836"/>
          <w:tab w:val="left" w:pos="3545"/>
          <w:tab w:val="left" w:pos="4254"/>
          <w:tab w:val="left" w:pos="4963"/>
          <w:tab w:val="left" w:pos="5672"/>
          <w:tab w:val="left" w:pos="6670"/>
        </w:tabs>
        <w:ind w:left="2835" w:hanging="567"/>
        <w:rPr>
          <w:rFonts w:eastAsia="Malgun Gothic"/>
        </w:rPr>
      </w:pPr>
      <w:r w:rsidRPr="009D05A9">
        <w:t>iv)</w:t>
      </w:r>
      <w:r w:rsidRPr="009D05A9">
        <w:tab/>
        <w:t>Paragraphe 7.1.3.3 Détermination des zones d’essai pour les véhicules des catégories 1-2 et 2 à l’aide du point « O » ;</w:t>
      </w:r>
    </w:p>
    <w:p w14:paraId="39E13C23" w14:textId="77777777" w:rsidR="00231978" w:rsidRPr="009D05A9" w:rsidRDefault="00231978" w:rsidP="00231978">
      <w:pPr>
        <w:pStyle w:val="SingleTxtG"/>
        <w:tabs>
          <w:tab w:val="left" w:pos="709"/>
          <w:tab w:val="left" w:pos="1418"/>
          <w:tab w:val="left" w:pos="2127"/>
          <w:tab w:val="left" w:pos="2836"/>
          <w:tab w:val="left" w:pos="3545"/>
          <w:tab w:val="left" w:pos="4254"/>
          <w:tab w:val="left" w:pos="4963"/>
          <w:tab w:val="left" w:pos="5672"/>
          <w:tab w:val="left" w:pos="6670"/>
        </w:tabs>
        <w:ind w:left="2835" w:hanging="567"/>
        <w:rPr>
          <w:rFonts w:eastAsia="Malgun Gothic"/>
        </w:rPr>
      </w:pPr>
      <w:r w:rsidRPr="009D05A9">
        <w:t>v)</w:t>
      </w:r>
      <w:r w:rsidRPr="009D05A9">
        <w:tab/>
        <w:t>Paragraphe 7.1.3.3.2 Zone I − La zone du pare-brise délimitée par l’intersection du pare-brise avec les quatre plans ci-après :</w:t>
      </w:r>
    </w:p>
    <w:p w14:paraId="10CCEF92" w14:textId="77777777" w:rsidR="00231978" w:rsidRPr="009D05A9" w:rsidRDefault="00231978" w:rsidP="00231978">
      <w:pPr>
        <w:pStyle w:val="SingleTxtG"/>
        <w:tabs>
          <w:tab w:val="left" w:pos="709"/>
          <w:tab w:val="left" w:pos="1418"/>
          <w:tab w:val="left" w:pos="2127"/>
          <w:tab w:val="left" w:pos="2836"/>
          <w:tab w:val="left" w:pos="3545"/>
          <w:tab w:val="left" w:pos="4254"/>
          <w:tab w:val="left" w:pos="4963"/>
          <w:tab w:val="left" w:pos="5672"/>
          <w:tab w:val="left" w:pos="6670"/>
        </w:tabs>
        <w:ind w:left="2835"/>
        <w:rPr>
          <w:rFonts w:eastAsia="Malgun Gothic"/>
          <w:b/>
        </w:rPr>
      </w:pPr>
      <w:r w:rsidRPr="009D05A9">
        <w:rPr>
          <w:b/>
          <w:bCs/>
        </w:rPr>
        <w:t>Le masque opaque peut être exclu de la zone I. Il s’agit des zones limitées où il est prévu qu’un dispositif de détection, comme un détecteur de pluie, un rétroviseur ou des capteurs de véhicules autonomes, sera fixé sur la surface interne du pare-brise.</w:t>
      </w:r>
      <w:r w:rsidRPr="009D05A9">
        <w:t xml:space="preserve"> </w:t>
      </w:r>
      <w:r w:rsidRPr="009D05A9">
        <w:rPr>
          <w:b/>
          <w:bCs/>
        </w:rPr>
        <w:t>Le masque opaque où ces dispositifs peuvent être installés est défini au paragraphe 7.1.3.2.4 (fig. 2 a) et 2 b)) de la présente annexe.</w:t>
      </w:r>
    </w:p>
    <w:p w14:paraId="210F7A40" w14:textId="77777777" w:rsidR="00231978" w:rsidRPr="009D05A9" w:rsidRDefault="00231978" w:rsidP="00231978">
      <w:pPr>
        <w:pStyle w:val="SingleTxtG"/>
        <w:tabs>
          <w:tab w:val="left" w:pos="709"/>
          <w:tab w:val="left" w:pos="1418"/>
          <w:tab w:val="left" w:pos="2127"/>
          <w:tab w:val="left" w:pos="2836"/>
          <w:tab w:val="left" w:pos="3545"/>
          <w:tab w:val="left" w:pos="4254"/>
          <w:tab w:val="left" w:pos="4963"/>
          <w:tab w:val="left" w:pos="5672"/>
          <w:tab w:val="left" w:pos="6670"/>
        </w:tabs>
        <w:ind w:left="2835"/>
        <w:rPr>
          <w:rFonts w:eastAsia="Malgun Gothic"/>
          <w:b/>
        </w:rPr>
      </w:pPr>
      <w:r w:rsidRPr="009D05A9">
        <w:t>P1 − un plan vertical passant par le point « O » et formant un angle de 15° vers la gauche du plan longitudinal médian du véhicule ;</w:t>
      </w:r>
    </w:p>
    <w:p w14:paraId="69D1A44B" w14:textId="77777777" w:rsidR="00231978" w:rsidRPr="009D05A9" w:rsidRDefault="00231978" w:rsidP="00231978">
      <w:pPr>
        <w:pStyle w:val="SingleTxtG"/>
        <w:tabs>
          <w:tab w:val="left" w:pos="709"/>
          <w:tab w:val="left" w:pos="1418"/>
          <w:tab w:val="left" w:pos="2127"/>
          <w:tab w:val="left" w:pos="2836"/>
          <w:tab w:val="left" w:pos="3545"/>
          <w:tab w:val="left" w:pos="4254"/>
          <w:tab w:val="left" w:pos="4963"/>
          <w:tab w:val="left" w:pos="5672"/>
          <w:tab w:val="left" w:pos="6670"/>
        </w:tabs>
        <w:ind w:left="2835"/>
        <w:rPr>
          <w:rFonts w:eastAsia="Malgun Gothic"/>
          <w:b/>
        </w:rPr>
      </w:pPr>
      <w:r w:rsidRPr="009D05A9">
        <w:t xml:space="preserve">P2 − un plan vertical symétrique à P1 par rapport </w:t>
      </w:r>
      <w:proofErr w:type="gramStart"/>
      <w:r w:rsidRPr="009D05A9">
        <w:t>au</w:t>
      </w:r>
      <w:proofErr w:type="gramEnd"/>
      <w:r w:rsidRPr="009D05A9">
        <w:t xml:space="preserve"> plan longitudinal médian du véhicule ;</w:t>
      </w:r>
    </w:p>
    <w:p w14:paraId="2A98B02F" w14:textId="77777777" w:rsidR="00231978" w:rsidRPr="009D05A9" w:rsidRDefault="00231978" w:rsidP="00231978">
      <w:pPr>
        <w:pStyle w:val="SingleTxtG"/>
        <w:tabs>
          <w:tab w:val="left" w:pos="709"/>
          <w:tab w:val="left" w:pos="1418"/>
          <w:tab w:val="left" w:pos="2127"/>
          <w:tab w:val="left" w:pos="2836"/>
          <w:tab w:val="left" w:pos="3545"/>
          <w:tab w:val="left" w:pos="4254"/>
          <w:tab w:val="left" w:pos="4963"/>
          <w:tab w:val="left" w:pos="5672"/>
          <w:tab w:val="left" w:pos="6670"/>
        </w:tabs>
        <w:ind w:left="2835"/>
        <w:rPr>
          <w:rFonts w:eastAsia="Malgun Gothic"/>
          <w:b/>
        </w:rPr>
      </w:pPr>
      <w:r w:rsidRPr="009D05A9">
        <w:t xml:space="preserve">Si cette construction est impossible (absence de plan longitudinal médian de symétrie, par exemple), on prend pour P2 le plan symétrique </w:t>
      </w:r>
      <w:r w:rsidRPr="009D05A9">
        <w:lastRenderedPageBreak/>
        <w:t xml:space="preserve">à P1 par rapport </w:t>
      </w:r>
      <w:proofErr w:type="gramStart"/>
      <w:r w:rsidRPr="009D05A9">
        <w:t>au</w:t>
      </w:r>
      <w:proofErr w:type="gramEnd"/>
      <w:r w:rsidRPr="009D05A9">
        <w:t xml:space="preserve"> plan longitudinal du véhicule passant par le point « O » ;</w:t>
      </w:r>
    </w:p>
    <w:p w14:paraId="3EABB3DF" w14:textId="77777777" w:rsidR="00231978" w:rsidRPr="009D05A9" w:rsidRDefault="00231978" w:rsidP="00231978">
      <w:pPr>
        <w:pStyle w:val="SingleTxtG"/>
        <w:tabs>
          <w:tab w:val="left" w:pos="709"/>
          <w:tab w:val="left" w:pos="1418"/>
          <w:tab w:val="left" w:pos="2127"/>
          <w:tab w:val="left" w:pos="2836"/>
          <w:tab w:val="left" w:pos="3545"/>
          <w:tab w:val="left" w:pos="4254"/>
          <w:tab w:val="left" w:pos="4963"/>
          <w:tab w:val="left" w:pos="5672"/>
          <w:tab w:val="left" w:pos="6670"/>
        </w:tabs>
        <w:ind w:left="2835"/>
        <w:rPr>
          <w:rFonts w:eastAsia="Malgun Gothic"/>
          <w:b/>
        </w:rPr>
      </w:pPr>
      <w:r w:rsidRPr="009D05A9">
        <w:t>P3 − un plan contenant la droite O et formant un angle de 10° au-dessus du plan horizontal ;</w:t>
      </w:r>
    </w:p>
    <w:p w14:paraId="5C203FB6" w14:textId="77777777" w:rsidR="00231978" w:rsidRPr="009D05A9" w:rsidRDefault="00231978" w:rsidP="00231978">
      <w:pPr>
        <w:pStyle w:val="SingleTxtG"/>
        <w:tabs>
          <w:tab w:val="left" w:pos="709"/>
          <w:tab w:val="left" w:pos="1418"/>
          <w:tab w:val="left" w:pos="2127"/>
          <w:tab w:val="left" w:pos="2836"/>
          <w:tab w:val="left" w:pos="3545"/>
          <w:tab w:val="left" w:pos="4254"/>
          <w:tab w:val="left" w:pos="4963"/>
          <w:tab w:val="left" w:pos="5672"/>
          <w:tab w:val="left" w:pos="6670"/>
        </w:tabs>
        <w:ind w:left="2835"/>
        <w:rPr>
          <w:rFonts w:eastAsia="Malgun Gothic"/>
          <w:b/>
        </w:rPr>
      </w:pPr>
      <w:r w:rsidRPr="009D05A9">
        <w:t>P4 − Un plan contenant la droite O et formant un angle de 8° au-dessous du plan horizontal ;</w:t>
      </w:r>
    </w:p>
    <w:p w14:paraId="5C3910D1" w14:textId="77777777" w:rsidR="00231978" w:rsidRPr="009D05A9" w:rsidRDefault="00231978" w:rsidP="00231978">
      <w:pPr>
        <w:pStyle w:val="SingleTxtG"/>
        <w:spacing w:after="0"/>
        <w:ind w:left="1701"/>
      </w:pPr>
      <w:r w:rsidRPr="009D05A9">
        <w:t xml:space="preserve">Figure 4 </w:t>
      </w:r>
    </w:p>
    <w:p w14:paraId="14470AC1" w14:textId="77777777" w:rsidR="00231978" w:rsidRPr="009D05A9" w:rsidRDefault="00231978" w:rsidP="00231978">
      <w:pPr>
        <w:pStyle w:val="SingleTxtG"/>
        <w:ind w:left="1701"/>
        <w:rPr>
          <w:rFonts w:eastAsia="Malgun Gothic"/>
          <w:b/>
          <w:bCs/>
        </w:rPr>
      </w:pPr>
      <w:r w:rsidRPr="009D05A9">
        <w:rPr>
          <w:b/>
          <w:bCs/>
        </w:rPr>
        <w:t>Détermination de la zone I</w:t>
      </w:r>
    </w:p>
    <w:p w14:paraId="04744604" w14:textId="77777777" w:rsidR="00231978" w:rsidRPr="009D05A9" w:rsidRDefault="00231978" w:rsidP="00231978">
      <w:pPr>
        <w:pStyle w:val="SingleTxtG"/>
        <w:ind w:left="2268"/>
        <w:rPr>
          <w:lang w:eastAsia="ko-KR"/>
        </w:rPr>
      </w:pPr>
      <w:r w:rsidRPr="009D05A9">
        <w:rPr>
          <w:noProof/>
          <w:lang w:eastAsia="fr-CH"/>
        </w:rPr>
        <w:drawing>
          <wp:inline distT="0" distB="0" distL="0" distR="0" wp14:anchorId="765B5BAE" wp14:editId="29D92184">
            <wp:extent cx="2932935" cy="2217585"/>
            <wp:effectExtent l="0" t="0" r="127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36506" cy="2220285"/>
                    </a:xfrm>
                    <a:prstGeom prst="rect">
                      <a:avLst/>
                    </a:prstGeom>
                  </pic:spPr>
                </pic:pic>
              </a:graphicData>
            </a:graphic>
          </wp:inline>
        </w:drawing>
      </w:r>
    </w:p>
    <w:p w14:paraId="7BAEA7E5" w14:textId="77777777" w:rsidR="00231978" w:rsidRPr="009D05A9" w:rsidRDefault="00231978" w:rsidP="00231978">
      <w:pPr>
        <w:pStyle w:val="SingleTxtG"/>
        <w:ind w:firstLine="567"/>
        <w:rPr>
          <w:rFonts w:eastAsia="Malgun Gothic"/>
        </w:rPr>
      </w:pPr>
      <w:r w:rsidRPr="009D05A9">
        <w:t>c)</w:t>
      </w:r>
      <w:r w:rsidRPr="009D05A9">
        <w:tab/>
        <w:t>Procéder à toute autre amélioration et correction jugée utile.</w:t>
      </w:r>
    </w:p>
    <w:p w14:paraId="766BEEFB" w14:textId="77777777" w:rsidR="00231978" w:rsidRPr="009D05A9" w:rsidRDefault="00231978" w:rsidP="00231978">
      <w:pPr>
        <w:pStyle w:val="H1G"/>
      </w:pPr>
      <w:r w:rsidRPr="009D05A9">
        <w:tab/>
        <w:t>D.</w:t>
      </w:r>
      <w:r w:rsidRPr="009D05A9">
        <w:tab/>
        <w:t>Organisation et calendrier</w:t>
      </w:r>
    </w:p>
    <w:p w14:paraId="25BBF784" w14:textId="77777777" w:rsidR="00231978" w:rsidRPr="009D05A9" w:rsidRDefault="00231978" w:rsidP="00231978">
      <w:pPr>
        <w:pStyle w:val="SingleTxtG"/>
      </w:pPr>
      <w:r w:rsidRPr="009D05A9">
        <w:t>4.</w:t>
      </w:r>
      <w:r w:rsidRPr="009D05A9">
        <w:tab/>
        <w:t>La proposition sera rédigée par les experts de la République de Corée. Les modifications à apporter à cette proposition seront élaborées en collaboration avec tous les experts du GRSG intéressés. Il n’est pas prévu d’organiser de réunion d’experts, sauf en cas de besoin.</w:t>
      </w:r>
    </w:p>
    <w:p w14:paraId="37133ED2" w14:textId="77777777" w:rsidR="00231978" w:rsidRPr="009D05A9" w:rsidRDefault="00231978" w:rsidP="00231978">
      <w:pPr>
        <w:pStyle w:val="SingleTxtG"/>
        <w:keepNext/>
      </w:pPr>
      <w:r w:rsidRPr="009D05A9">
        <w:t>5.</w:t>
      </w:r>
      <w:r w:rsidRPr="009D05A9">
        <w:tab/>
        <w:t>Plan d’action proposé :</w:t>
      </w:r>
    </w:p>
    <w:p w14:paraId="785DDD25" w14:textId="77777777" w:rsidR="00231978" w:rsidRPr="009D05A9" w:rsidRDefault="00231978" w:rsidP="00231978">
      <w:pPr>
        <w:pStyle w:val="SingleTxtG"/>
        <w:ind w:left="2268" w:hanging="567"/>
      </w:pPr>
      <w:r w:rsidRPr="009D05A9">
        <w:t>a)</w:t>
      </w:r>
      <w:r w:rsidRPr="009D05A9">
        <w:tab/>
        <w:t>Octobre 2019 : Examen de la proposition (document de travail) à la 117</w:t>
      </w:r>
      <w:r w:rsidRPr="009D05A9">
        <w:rPr>
          <w:vertAlign w:val="superscript"/>
        </w:rPr>
        <w:t>e</w:t>
      </w:r>
      <w:r w:rsidRPr="009D05A9">
        <w:t> session du GRSG ;</w:t>
      </w:r>
    </w:p>
    <w:p w14:paraId="43F9D2FF" w14:textId="77777777" w:rsidR="00231978" w:rsidRPr="009D05A9" w:rsidRDefault="00231978" w:rsidP="00231978">
      <w:pPr>
        <w:pStyle w:val="SingleTxtG"/>
        <w:ind w:left="2268" w:hanging="567"/>
      </w:pPr>
      <w:r w:rsidRPr="009D05A9">
        <w:t>b)</w:t>
      </w:r>
      <w:r w:rsidRPr="009D05A9">
        <w:tab/>
        <w:t xml:space="preserve">Avril 2020 : Examen de la proposition définitive et adoption éventuelle </w:t>
      </w:r>
      <w:r w:rsidRPr="009D05A9">
        <w:tab/>
        <w:t>à la 118</w:t>
      </w:r>
      <w:r w:rsidRPr="009D05A9">
        <w:rPr>
          <w:vertAlign w:val="superscript"/>
        </w:rPr>
        <w:t>e</w:t>
      </w:r>
      <w:r w:rsidRPr="009D05A9">
        <w:t> session du GRSG ;</w:t>
      </w:r>
    </w:p>
    <w:p w14:paraId="62205288" w14:textId="77777777" w:rsidR="00231978" w:rsidRPr="009D05A9" w:rsidRDefault="00231978" w:rsidP="00231978">
      <w:pPr>
        <w:pStyle w:val="SingleTxtG"/>
        <w:ind w:left="2268" w:hanging="567"/>
      </w:pPr>
      <w:r w:rsidRPr="009D05A9">
        <w:t>c)</w:t>
      </w:r>
      <w:r w:rsidRPr="009D05A9">
        <w:tab/>
        <w:t>Novembre 2020 : Adoption de la proposition par l’AC.3, s’il n’y a plus de questions en suspens.</w:t>
      </w:r>
    </w:p>
    <w:p w14:paraId="0D0B19B4" w14:textId="77777777" w:rsidR="00231978" w:rsidRPr="009D05A9" w:rsidRDefault="00231978" w:rsidP="00231978">
      <w:pPr>
        <w:pStyle w:val="SingleTxtG"/>
      </w:pPr>
      <w:r w:rsidRPr="009D05A9">
        <w:t>6.</w:t>
      </w:r>
      <w:r w:rsidRPr="009D05A9">
        <w:tab/>
        <w:t>L’AC.3 sera tenu informé des progrès accomplis lors de ses sessions de novembre 2019 et de juin 2020.</w:t>
      </w:r>
    </w:p>
    <w:p w14:paraId="7DE5D040" w14:textId="77777777" w:rsidR="00F9573C" w:rsidRPr="009D05A9" w:rsidRDefault="00231978" w:rsidP="00231978">
      <w:pPr>
        <w:pStyle w:val="SingleTxtG"/>
        <w:spacing w:before="240" w:after="0"/>
        <w:jc w:val="center"/>
        <w:rPr>
          <w:u w:val="single"/>
        </w:rPr>
      </w:pPr>
      <w:r w:rsidRPr="009D05A9">
        <w:rPr>
          <w:u w:val="single"/>
        </w:rPr>
        <w:tab/>
      </w:r>
      <w:r w:rsidRPr="009D05A9">
        <w:rPr>
          <w:u w:val="single"/>
        </w:rPr>
        <w:tab/>
      </w:r>
      <w:r w:rsidRPr="009D05A9">
        <w:rPr>
          <w:u w:val="single"/>
        </w:rPr>
        <w:tab/>
      </w:r>
    </w:p>
    <w:sectPr w:rsidR="00F9573C" w:rsidRPr="009D05A9" w:rsidSect="004C430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75B2D" w14:textId="77777777" w:rsidR="005B5658" w:rsidRDefault="005B5658" w:rsidP="00F95C08">
      <w:pPr>
        <w:spacing w:line="240" w:lineRule="auto"/>
      </w:pPr>
    </w:p>
  </w:endnote>
  <w:endnote w:type="continuationSeparator" w:id="0">
    <w:p w14:paraId="59699EB6" w14:textId="77777777" w:rsidR="005B5658" w:rsidRPr="00AC3823" w:rsidRDefault="005B5658" w:rsidP="00AC3823">
      <w:pPr>
        <w:pStyle w:val="Footer"/>
      </w:pPr>
    </w:p>
  </w:endnote>
  <w:endnote w:type="continuationNotice" w:id="1">
    <w:p w14:paraId="7F2DDFF0" w14:textId="77777777" w:rsidR="005B5658" w:rsidRDefault="005B56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3133" w14:textId="77777777" w:rsidR="004C430B" w:rsidRPr="004C430B" w:rsidRDefault="004C430B" w:rsidP="004C430B">
    <w:pPr>
      <w:pStyle w:val="Footer"/>
      <w:tabs>
        <w:tab w:val="right" w:pos="9638"/>
      </w:tabs>
    </w:pPr>
    <w:r w:rsidRPr="004C430B">
      <w:rPr>
        <w:b/>
        <w:sz w:val="18"/>
      </w:rPr>
      <w:fldChar w:fldCharType="begin"/>
    </w:r>
    <w:r w:rsidRPr="004C430B">
      <w:rPr>
        <w:b/>
        <w:sz w:val="18"/>
      </w:rPr>
      <w:instrText xml:space="preserve"> PAGE  \* MERGEFORMAT </w:instrText>
    </w:r>
    <w:r w:rsidRPr="004C430B">
      <w:rPr>
        <w:b/>
        <w:sz w:val="18"/>
      </w:rPr>
      <w:fldChar w:fldCharType="separate"/>
    </w:r>
    <w:r w:rsidRPr="004C430B">
      <w:rPr>
        <w:b/>
        <w:noProof/>
        <w:sz w:val="18"/>
      </w:rPr>
      <w:t>2</w:t>
    </w:r>
    <w:r w:rsidRPr="004C430B">
      <w:rPr>
        <w:b/>
        <w:sz w:val="18"/>
      </w:rPr>
      <w:fldChar w:fldCharType="end"/>
    </w:r>
    <w:r>
      <w:rPr>
        <w:b/>
        <w:sz w:val="18"/>
      </w:rPr>
      <w:tab/>
    </w:r>
    <w:r>
      <w:t>GE.19-15037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27E9" w14:textId="77777777" w:rsidR="004C430B" w:rsidRPr="004C430B" w:rsidRDefault="004C430B" w:rsidP="004C430B">
    <w:pPr>
      <w:pStyle w:val="Footer"/>
      <w:tabs>
        <w:tab w:val="right" w:pos="9638"/>
      </w:tabs>
      <w:rPr>
        <w:b/>
        <w:sz w:val="18"/>
      </w:rPr>
    </w:pPr>
    <w:r>
      <w:t>GE.19-15037</w:t>
    </w:r>
    <w:r>
      <w:tab/>
    </w:r>
    <w:r w:rsidRPr="004C430B">
      <w:rPr>
        <w:b/>
        <w:sz w:val="18"/>
      </w:rPr>
      <w:fldChar w:fldCharType="begin"/>
    </w:r>
    <w:r w:rsidRPr="004C430B">
      <w:rPr>
        <w:b/>
        <w:sz w:val="18"/>
      </w:rPr>
      <w:instrText xml:space="preserve"> PAGE  \* MERGEFORMAT </w:instrText>
    </w:r>
    <w:r w:rsidRPr="004C430B">
      <w:rPr>
        <w:b/>
        <w:sz w:val="18"/>
      </w:rPr>
      <w:fldChar w:fldCharType="separate"/>
    </w:r>
    <w:r w:rsidRPr="004C430B">
      <w:rPr>
        <w:b/>
        <w:noProof/>
        <w:sz w:val="18"/>
      </w:rPr>
      <w:t>3</w:t>
    </w:r>
    <w:r w:rsidRPr="004C43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804E6" w14:textId="77777777" w:rsidR="007F20FA" w:rsidRPr="004C430B" w:rsidRDefault="004C430B" w:rsidP="004C430B">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6972957" wp14:editId="3019CEB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15037  (</w:t>
    </w:r>
    <w:proofErr w:type="gramEnd"/>
    <w:r>
      <w:rPr>
        <w:sz w:val="20"/>
      </w:rPr>
      <w:t>F)    071119    0</w:t>
    </w:r>
    <w:r w:rsidR="00875429">
      <w:rPr>
        <w:sz w:val="20"/>
      </w:rPr>
      <w:t>8</w:t>
    </w:r>
    <w:r>
      <w:rPr>
        <w:sz w:val="20"/>
      </w:rPr>
      <w:t>1119</w:t>
    </w:r>
    <w:r>
      <w:rPr>
        <w:sz w:val="20"/>
      </w:rPr>
      <w:br/>
    </w:r>
    <w:r w:rsidRPr="004C430B">
      <w:rPr>
        <w:rFonts w:ascii="C39T30Lfz" w:hAnsi="C39T30Lfz"/>
        <w:sz w:val="56"/>
      </w:rPr>
      <w:t></w:t>
    </w:r>
    <w:r w:rsidRPr="004C430B">
      <w:rPr>
        <w:rFonts w:ascii="C39T30Lfz" w:hAnsi="C39T30Lfz"/>
        <w:sz w:val="56"/>
      </w:rPr>
      <w:t></w:t>
    </w:r>
    <w:r w:rsidRPr="004C430B">
      <w:rPr>
        <w:rFonts w:ascii="C39T30Lfz" w:hAnsi="C39T30Lfz"/>
        <w:sz w:val="56"/>
      </w:rPr>
      <w:t></w:t>
    </w:r>
    <w:r w:rsidRPr="004C430B">
      <w:rPr>
        <w:rFonts w:ascii="C39T30Lfz" w:hAnsi="C39T30Lfz"/>
        <w:sz w:val="56"/>
      </w:rPr>
      <w:t></w:t>
    </w:r>
    <w:r w:rsidRPr="004C430B">
      <w:rPr>
        <w:rFonts w:ascii="C39T30Lfz" w:hAnsi="C39T30Lfz"/>
        <w:sz w:val="56"/>
      </w:rPr>
      <w:t></w:t>
    </w:r>
    <w:r w:rsidRPr="004C430B">
      <w:rPr>
        <w:rFonts w:ascii="C39T30Lfz" w:hAnsi="C39T30Lfz"/>
        <w:sz w:val="56"/>
      </w:rPr>
      <w:t></w:t>
    </w:r>
    <w:r w:rsidRPr="004C430B">
      <w:rPr>
        <w:rFonts w:ascii="C39T30Lfz" w:hAnsi="C39T30Lfz"/>
        <w:sz w:val="56"/>
      </w:rPr>
      <w:t></w:t>
    </w:r>
    <w:r w:rsidRPr="004C430B">
      <w:rPr>
        <w:rFonts w:ascii="C39T30Lfz" w:hAnsi="C39T30Lfz"/>
        <w:sz w:val="56"/>
      </w:rPr>
      <w:t></w:t>
    </w:r>
    <w:r w:rsidRPr="004C430B">
      <w:rPr>
        <w:rFonts w:ascii="C39T30Lfz" w:hAnsi="C39T30Lfz"/>
        <w:sz w:val="56"/>
      </w:rPr>
      <w:t></w:t>
    </w:r>
    <w:r>
      <w:rPr>
        <w:noProof/>
        <w:sz w:val="20"/>
      </w:rPr>
      <w:drawing>
        <wp:anchor distT="0" distB="0" distL="114300" distR="114300" simplePos="0" relativeHeight="251658240" behindDoc="0" locked="0" layoutInCell="1" allowOverlap="1" wp14:anchorId="691D0438" wp14:editId="1937D733">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1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78FCF" w14:textId="77777777" w:rsidR="005B5658" w:rsidRPr="00AC3823" w:rsidRDefault="005B5658" w:rsidP="00AC3823">
      <w:pPr>
        <w:pStyle w:val="Footer"/>
        <w:tabs>
          <w:tab w:val="right" w:pos="2155"/>
        </w:tabs>
        <w:spacing w:after="80" w:line="240" w:lineRule="atLeast"/>
        <w:ind w:left="680"/>
        <w:rPr>
          <w:u w:val="single"/>
        </w:rPr>
      </w:pPr>
      <w:r>
        <w:rPr>
          <w:u w:val="single"/>
        </w:rPr>
        <w:tab/>
      </w:r>
    </w:p>
  </w:footnote>
  <w:footnote w:type="continuationSeparator" w:id="0">
    <w:p w14:paraId="665E5F20" w14:textId="77777777" w:rsidR="005B5658" w:rsidRPr="00AC3823" w:rsidRDefault="005B5658" w:rsidP="00AC3823">
      <w:pPr>
        <w:pStyle w:val="Footer"/>
        <w:tabs>
          <w:tab w:val="right" w:pos="2155"/>
        </w:tabs>
        <w:spacing w:after="80" w:line="240" w:lineRule="atLeast"/>
        <w:ind w:left="680"/>
        <w:rPr>
          <w:u w:val="single"/>
        </w:rPr>
      </w:pPr>
      <w:r>
        <w:rPr>
          <w:u w:val="single"/>
        </w:rPr>
        <w:tab/>
      </w:r>
    </w:p>
  </w:footnote>
  <w:footnote w:type="continuationNotice" w:id="1">
    <w:p w14:paraId="00885DA2" w14:textId="77777777" w:rsidR="005B5658" w:rsidRPr="00AC3823" w:rsidRDefault="005B5658">
      <w:pPr>
        <w:spacing w:line="240" w:lineRule="auto"/>
        <w:rPr>
          <w:sz w:val="2"/>
          <w:szCs w:val="2"/>
        </w:rPr>
      </w:pPr>
    </w:p>
  </w:footnote>
  <w:footnote w:id="2">
    <w:p w14:paraId="0E4786DD" w14:textId="77777777" w:rsidR="00231978" w:rsidRPr="00231978" w:rsidRDefault="00231978" w:rsidP="00231978">
      <w:pPr>
        <w:pStyle w:val="FootnoteText"/>
        <w:rPr>
          <w:spacing w:val="-1"/>
        </w:rPr>
      </w:pPr>
      <w:r w:rsidRPr="00231978">
        <w:rPr>
          <w:sz w:val="20"/>
          <w:lang w:val="fr-FR"/>
        </w:rPr>
        <w:tab/>
        <w:t>*</w:t>
      </w:r>
      <w:r w:rsidRPr="00231978">
        <w:rPr>
          <w:sz w:val="20"/>
          <w:lang w:val="fr-FR"/>
        </w:rPr>
        <w:tab/>
      </w:r>
      <w:r w:rsidRPr="00231978">
        <w:rPr>
          <w:spacing w:val="-1"/>
          <w:lang w:val="fr-FR"/>
        </w:rPr>
        <w:t>Conformément au programme de travail du Comité des transports intérieurs pour la période 2018-2019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99BC" w14:textId="79289213" w:rsidR="004C430B" w:rsidRPr="004C430B" w:rsidRDefault="003D6F03">
    <w:pPr>
      <w:pStyle w:val="Header"/>
    </w:pPr>
    <w:r>
      <w:fldChar w:fldCharType="begin"/>
    </w:r>
    <w:r>
      <w:instrText xml:space="preserve"> TITLE  \* MERGEFORMAT </w:instrText>
    </w:r>
    <w:r>
      <w:fldChar w:fldCharType="separate"/>
    </w:r>
    <w:r>
      <w:t>ECE/TRANS/WP.29/2019/123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E734" w14:textId="4E03653D" w:rsidR="004C430B" w:rsidRPr="004C430B" w:rsidRDefault="003D6F03" w:rsidP="004C430B">
    <w:pPr>
      <w:pStyle w:val="Header"/>
      <w:jc w:val="right"/>
    </w:pPr>
    <w:r>
      <w:fldChar w:fldCharType="begin"/>
    </w:r>
    <w:r>
      <w:instrText xml:space="preserve"> TITLE  \* MERGEFORMAT </w:instrText>
    </w:r>
    <w:r>
      <w:fldChar w:fldCharType="separate"/>
    </w:r>
    <w:r>
      <w:t>ECE/TRANS/WP.29/2019/123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58"/>
    <w:rsid w:val="00017F94"/>
    <w:rsid w:val="00023842"/>
    <w:rsid w:val="000334F9"/>
    <w:rsid w:val="00045FEB"/>
    <w:rsid w:val="0007796D"/>
    <w:rsid w:val="000B7790"/>
    <w:rsid w:val="00111F2F"/>
    <w:rsid w:val="0014365E"/>
    <w:rsid w:val="00143C66"/>
    <w:rsid w:val="00176178"/>
    <w:rsid w:val="001F525A"/>
    <w:rsid w:val="00212BD2"/>
    <w:rsid w:val="00223272"/>
    <w:rsid w:val="00231978"/>
    <w:rsid w:val="0024779E"/>
    <w:rsid w:val="00257168"/>
    <w:rsid w:val="002744B8"/>
    <w:rsid w:val="002832AC"/>
    <w:rsid w:val="002D7C93"/>
    <w:rsid w:val="00305801"/>
    <w:rsid w:val="003916DE"/>
    <w:rsid w:val="003D6F03"/>
    <w:rsid w:val="00421996"/>
    <w:rsid w:val="00441C3B"/>
    <w:rsid w:val="00446FE5"/>
    <w:rsid w:val="00452396"/>
    <w:rsid w:val="004837D8"/>
    <w:rsid w:val="004C430B"/>
    <w:rsid w:val="004E2EED"/>
    <w:rsid w:val="004E468C"/>
    <w:rsid w:val="005505B7"/>
    <w:rsid w:val="00573BE5"/>
    <w:rsid w:val="00586ED3"/>
    <w:rsid w:val="00596AA9"/>
    <w:rsid w:val="005B5658"/>
    <w:rsid w:val="0071601D"/>
    <w:rsid w:val="007A62E6"/>
    <w:rsid w:val="007F20FA"/>
    <w:rsid w:val="0080684C"/>
    <w:rsid w:val="00871C75"/>
    <w:rsid w:val="00875429"/>
    <w:rsid w:val="008776DC"/>
    <w:rsid w:val="009446C0"/>
    <w:rsid w:val="009705C8"/>
    <w:rsid w:val="009C1CF4"/>
    <w:rsid w:val="009D05A9"/>
    <w:rsid w:val="009F6B74"/>
    <w:rsid w:val="00A3029F"/>
    <w:rsid w:val="00A30353"/>
    <w:rsid w:val="00AC3823"/>
    <w:rsid w:val="00AE323C"/>
    <w:rsid w:val="00AF0CB5"/>
    <w:rsid w:val="00B00181"/>
    <w:rsid w:val="00B00B0D"/>
    <w:rsid w:val="00B45F2E"/>
    <w:rsid w:val="00B765F7"/>
    <w:rsid w:val="00BA0CA9"/>
    <w:rsid w:val="00BE263A"/>
    <w:rsid w:val="00C02897"/>
    <w:rsid w:val="00C97039"/>
    <w:rsid w:val="00D3439C"/>
    <w:rsid w:val="00DB1831"/>
    <w:rsid w:val="00DD3BFD"/>
    <w:rsid w:val="00DF5713"/>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D485B"/>
  <w15:docId w15:val="{254071A2-B4AC-47AF-8258-29348143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231978"/>
    <w:rPr>
      <w:rFonts w:ascii="Times New Roman" w:eastAsiaTheme="minorHAnsi" w:hAnsi="Times New Roman" w:cs="Times New Roman"/>
      <w:sz w:val="20"/>
      <w:szCs w:val="20"/>
      <w:lang w:eastAsia="en-US"/>
    </w:rPr>
  </w:style>
  <w:style w:type="character" w:customStyle="1" w:styleId="HChGChar">
    <w:name w:val="_ H _Ch_G Char"/>
    <w:link w:val="HChG"/>
    <w:rsid w:val="00231978"/>
    <w:rPr>
      <w:rFonts w:ascii="Times New Roman" w:eastAsiaTheme="minorHAnsi" w:hAnsi="Times New Roman" w:cs="Times New Roman"/>
      <w:b/>
      <w:sz w:val="28"/>
      <w:szCs w:val="20"/>
      <w:lang w:eastAsia="en-US"/>
    </w:rPr>
  </w:style>
  <w:style w:type="character" w:customStyle="1" w:styleId="H1GChar">
    <w:name w:val="_ H_1_G Char"/>
    <w:link w:val="H1G"/>
    <w:rsid w:val="00231978"/>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ECE/TRANS/WP.29/2019/123</vt:lpstr>
      <vt:lpstr>ECE/TRANS/WP.29/2019/123</vt:lpstr>
    </vt:vector>
  </TitlesOfParts>
  <Company>DCM</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ECE/TRANS/WP.29/2019/123</dc:title>
  <dc:subject/>
  <dc:creator>Nicolas MORIN</dc:creator>
  <cp:keywords/>
  <cp:lastModifiedBy>Marie-Claude Collet</cp:lastModifiedBy>
  <cp:revision>3</cp:revision>
  <cp:lastPrinted>2019-11-08T08:15:00Z</cp:lastPrinted>
  <dcterms:created xsi:type="dcterms:W3CDTF">2019-11-08T08:15:00Z</dcterms:created>
  <dcterms:modified xsi:type="dcterms:W3CDTF">2019-11-08T08:15:00Z</dcterms:modified>
</cp:coreProperties>
</file>