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6293C" w:rsidTr="00FC00B8">
        <w:trPr>
          <w:cantSplit/>
          <w:trHeight w:hRule="exact" w:val="851"/>
        </w:trPr>
        <w:tc>
          <w:tcPr>
            <w:tcW w:w="1276" w:type="dxa"/>
            <w:tcBorders>
              <w:bottom w:val="single" w:sz="4" w:space="0" w:color="auto"/>
            </w:tcBorders>
            <w:vAlign w:val="bottom"/>
          </w:tcPr>
          <w:p w:rsidR="0036293C" w:rsidRDefault="0036293C" w:rsidP="00FC00B8">
            <w:pPr>
              <w:spacing w:after="80"/>
            </w:pPr>
          </w:p>
        </w:tc>
        <w:tc>
          <w:tcPr>
            <w:tcW w:w="2268" w:type="dxa"/>
            <w:tcBorders>
              <w:bottom w:val="single" w:sz="4" w:space="0" w:color="auto"/>
            </w:tcBorders>
            <w:vAlign w:val="bottom"/>
          </w:tcPr>
          <w:p w:rsidR="0036293C" w:rsidRPr="00B97172" w:rsidRDefault="0036293C" w:rsidP="00FC00B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6293C" w:rsidRPr="00D47EEA" w:rsidRDefault="0036293C" w:rsidP="00FC00B8">
            <w:pPr>
              <w:suppressAutoHyphens w:val="0"/>
              <w:spacing w:after="20"/>
              <w:jc w:val="right"/>
            </w:pPr>
            <w:r w:rsidRPr="00EA40B4">
              <w:rPr>
                <w:sz w:val="40"/>
              </w:rPr>
              <w:t>ECE</w:t>
            </w:r>
            <w:r>
              <w:t>/TRANS/WP.11/2019/17</w:t>
            </w:r>
          </w:p>
        </w:tc>
      </w:tr>
      <w:tr w:rsidR="0036293C" w:rsidTr="00FC00B8">
        <w:trPr>
          <w:cantSplit/>
          <w:trHeight w:hRule="exact" w:val="2835"/>
        </w:trPr>
        <w:tc>
          <w:tcPr>
            <w:tcW w:w="1276" w:type="dxa"/>
            <w:tcBorders>
              <w:top w:val="single" w:sz="4" w:space="0" w:color="auto"/>
              <w:bottom w:val="single" w:sz="12" w:space="0" w:color="auto"/>
            </w:tcBorders>
          </w:tcPr>
          <w:p w:rsidR="0036293C" w:rsidRDefault="0036293C" w:rsidP="00FC00B8">
            <w:pPr>
              <w:spacing w:before="120"/>
            </w:pPr>
            <w:r>
              <w:rPr>
                <w:noProof/>
                <w:lang w:eastAsia="zh-CN"/>
              </w:rPr>
              <w:drawing>
                <wp:inline distT="0" distB="0" distL="0" distR="0" wp14:anchorId="14D10DB4" wp14:editId="3307759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6293C" w:rsidRPr="00D773DF" w:rsidRDefault="0036293C" w:rsidP="00FC00B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36293C" w:rsidRDefault="0036293C" w:rsidP="00FC00B8">
            <w:pPr>
              <w:spacing w:before="240"/>
            </w:pPr>
            <w:r>
              <w:t>Distr.: General</w:t>
            </w:r>
          </w:p>
          <w:p w:rsidR="0036293C" w:rsidRDefault="007E62BF" w:rsidP="00FC00B8">
            <w:pPr>
              <w:suppressAutoHyphens w:val="0"/>
            </w:pPr>
            <w:r>
              <w:t>2</w:t>
            </w:r>
            <w:r w:rsidR="00801CCE">
              <w:t>4</w:t>
            </w:r>
            <w:r w:rsidR="0036293C" w:rsidRPr="00EA44F5">
              <w:t xml:space="preserve"> July 2019</w:t>
            </w:r>
          </w:p>
          <w:p w:rsidR="0036293C" w:rsidRDefault="0036293C" w:rsidP="00FC00B8">
            <w:pPr>
              <w:suppressAutoHyphens w:val="0"/>
            </w:pPr>
          </w:p>
          <w:p w:rsidR="0036293C" w:rsidRDefault="0036293C" w:rsidP="00FC00B8">
            <w:pPr>
              <w:suppressAutoHyphens w:val="0"/>
            </w:pPr>
            <w:r>
              <w:t>Original: English</w:t>
            </w:r>
          </w:p>
        </w:tc>
      </w:tr>
    </w:tbl>
    <w:p w:rsidR="0036293C" w:rsidRDefault="0036293C" w:rsidP="0036293C">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rsidR="0036293C" w:rsidRDefault="0036293C" w:rsidP="0036293C">
      <w:pPr>
        <w:spacing w:before="120"/>
        <w:rPr>
          <w:sz w:val="28"/>
          <w:szCs w:val="28"/>
        </w:rPr>
      </w:pPr>
      <w:r>
        <w:rPr>
          <w:sz w:val="28"/>
          <w:szCs w:val="28"/>
        </w:rPr>
        <w:t>Inland Transport Committee</w:t>
      </w:r>
    </w:p>
    <w:p w:rsidR="0036293C" w:rsidRDefault="0036293C" w:rsidP="0036293C">
      <w:pPr>
        <w:spacing w:before="120"/>
        <w:rPr>
          <w:b/>
          <w:sz w:val="24"/>
          <w:szCs w:val="24"/>
        </w:rPr>
      </w:pPr>
      <w:r>
        <w:rPr>
          <w:b/>
          <w:sz w:val="24"/>
          <w:szCs w:val="24"/>
        </w:rPr>
        <w:t>Working Party on the Transport of Perishable Foodstuffs</w:t>
      </w:r>
    </w:p>
    <w:p w:rsidR="0036293C" w:rsidRPr="008D7010" w:rsidRDefault="0036293C" w:rsidP="0036293C">
      <w:pPr>
        <w:spacing w:before="120"/>
        <w:rPr>
          <w:b/>
        </w:rPr>
      </w:pPr>
      <w:r w:rsidRPr="008D7010">
        <w:rPr>
          <w:b/>
        </w:rPr>
        <w:t>S</w:t>
      </w:r>
      <w:r>
        <w:rPr>
          <w:b/>
        </w:rPr>
        <w:t>eventy-fifth</w:t>
      </w:r>
      <w:r w:rsidRPr="008D7010">
        <w:rPr>
          <w:b/>
        </w:rPr>
        <w:t xml:space="preserve"> session</w:t>
      </w:r>
    </w:p>
    <w:p w:rsidR="0036293C" w:rsidRDefault="0036293C" w:rsidP="0036293C">
      <w:r w:rsidRPr="008D7010">
        <w:t xml:space="preserve">Geneva, </w:t>
      </w:r>
      <w:r>
        <w:t>8-11 October 2019</w:t>
      </w:r>
    </w:p>
    <w:p w:rsidR="0036293C" w:rsidRPr="00570BF8" w:rsidRDefault="0036293C" w:rsidP="0036293C">
      <w:r w:rsidRPr="00570BF8">
        <w:t xml:space="preserve">Item </w:t>
      </w:r>
      <w:r>
        <w:t>5 (b)</w:t>
      </w:r>
      <w:r w:rsidRPr="00570BF8">
        <w:t xml:space="preserve"> of the provisional agenda</w:t>
      </w:r>
    </w:p>
    <w:p w:rsidR="0036293C" w:rsidRPr="00570BF8" w:rsidRDefault="0036293C" w:rsidP="0036293C">
      <w:pPr>
        <w:rPr>
          <w:b/>
        </w:rPr>
      </w:pPr>
      <w:r w:rsidRPr="00570BF8">
        <w:rPr>
          <w:b/>
        </w:rPr>
        <w:t xml:space="preserve">Proposals of amendments to ATP: </w:t>
      </w:r>
    </w:p>
    <w:p w:rsidR="00446FE5" w:rsidRDefault="00E87D8C" w:rsidP="0036293C">
      <w:pPr>
        <w:rPr>
          <w:b/>
        </w:rPr>
      </w:pPr>
      <w:r>
        <w:rPr>
          <w:b/>
        </w:rPr>
        <w:t>n</w:t>
      </w:r>
      <w:r w:rsidR="0036293C">
        <w:rPr>
          <w:b/>
        </w:rPr>
        <w:t xml:space="preserve">ew </w:t>
      </w:r>
      <w:r w:rsidR="0036293C" w:rsidRPr="00570BF8">
        <w:rPr>
          <w:b/>
        </w:rPr>
        <w:t>proposals</w:t>
      </w:r>
    </w:p>
    <w:p w:rsidR="0036293C" w:rsidRPr="006243AA" w:rsidRDefault="00E87D8C" w:rsidP="00E87D8C">
      <w:pPr>
        <w:pStyle w:val="HChG"/>
        <w:rPr>
          <w:lang w:val="en-GB"/>
        </w:rPr>
      </w:pPr>
      <w:r w:rsidRPr="006243AA">
        <w:rPr>
          <w:lang w:val="en-GB"/>
        </w:rPr>
        <w:tab/>
      </w:r>
      <w:r w:rsidRPr="006243AA">
        <w:rPr>
          <w:lang w:val="en-GB"/>
        </w:rPr>
        <w:tab/>
      </w:r>
      <w:bookmarkStart w:id="0" w:name="_Hlk14863986"/>
      <w:r w:rsidR="0036293C" w:rsidRPr="006243AA">
        <w:rPr>
          <w:lang w:val="en-GB"/>
        </w:rPr>
        <w:t>A</w:t>
      </w:r>
      <w:r w:rsidRPr="006243AA">
        <w:rPr>
          <w:lang w:val="en-GB"/>
        </w:rPr>
        <w:t xml:space="preserve">mendment to </w:t>
      </w:r>
      <w:r w:rsidR="0036293C" w:rsidRPr="006243AA">
        <w:rPr>
          <w:lang w:val="en-GB"/>
        </w:rPr>
        <w:t>A</w:t>
      </w:r>
      <w:r w:rsidRPr="006243AA">
        <w:rPr>
          <w:lang w:val="en-GB"/>
        </w:rPr>
        <w:t>nnex</w:t>
      </w:r>
      <w:r w:rsidR="0036293C" w:rsidRPr="006243AA">
        <w:rPr>
          <w:lang w:val="en-GB"/>
        </w:rPr>
        <w:t xml:space="preserve"> 1, A</w:t>
      </w:r>
      <w:r w:rsidRPr="006243AA">
        <w:rPr>
          <w:lang w:val="en-GB"/>
        </w:rPr>
        <w:t xml:space="preserve">ppendix </w:t>
      </w:r>
      <w:r w:rsidR="0036293C" w:rsidRPr="006243AA">
        <w:rPr>
          <w:lang w:val="en-GB"/>
        </w:rPr>
        <w:t>2</w:t>
      </w:r>
      <w:r w:rsidRPr="006243AA">
        <w:rPr>
          <w:lang w:val="en-GB"/>
        </w:rPr>
        <w:t xml:space="preserve">, paragraph </w:t>
      </w:r>
      <w:r w:rsidR="0036293C" w:rsidRPr="006243AA">
        <w:rPr>
          <w:lang w:val="en-GB"/>
        </w:rPr>
        <w:t>3.2.6 and 4.3.4 (ii), A</w:t>
      </w:r>
      <w:r w:rsidRPr="006243AA">
        <w:rPr>
          <w:lang w:val="en-GB"/>
        </w:rPr>
        <w:t>nnex</w:t>
      </w:r>
      <w:r w:rsidR="0036293C" w:rsidRPr="006243AA">
        <w:rPr>
          <w:lang w:val="en-GB"/>
        </w:rPr>
        <w:t xml:space="preserve"> 1, A</w:t>
      </w:r>
      <w:r w:rsidRPr="006243AA">
        <w:rPr>
          <w:lang w:val="en-GB"/>
        </w:rPr>
        <w:t xml:space="preserve">ppendix </w:t>
      </w:r>
      <w:r w:rsidR="0036293C" w:rsidRPr="006243AA">
        <w:rPr>
          <w:lang w:val="en-GB"/>
        </w:rPr>
        <w:t>3 and the ATP Handbook</w:t>
      </w:r>
      <w:bookmarkEnd w:id="0"/>
    </w:p>
    <w:p w:rsidR="0036293C" w:rsidRPr="006243AA" w:rsidRDefault="00E87D8C" w:rsidP="00C84723">
      <w:pPr>
        <w:pStyle w:val="H1G"/>
        <w:tabs>
          <w:tab w:val="clear" w:pos="851"/>
        </w:tabs>
        <w:ind w:left="-567" w:firstLine="0"/>
        <w:jc w:val="center"/>
        <w:rPr>
          <w:lang w:val="en-GB"/>
        </w:rPr>
      </w:pPr>
      <w:r w:rsidRPr="006243AA">
        <w:rPr>
          <w:lang w:val="en-GB"/>
        </w:rPr>
        <w:t xml:space="preserve">Transmitted </w:t>
      </w:r>
      <w:r w:rsidR="007E62BF">
        <w:rPr>
          <w:lang w:val="en-GB"/>
        </w:rPr>
        <w:t>by the Government of</w:t>
      </w:r>
      <w:r w:rsidR="0036293C" w:rsidRPr="006243AA">
        <w:rPr>
          <w:lang w:val="en-GB"/>
        </w:rPr>
        <w:t xml:space="preserve"> the United Kingdom</w:t>
      </w:r>
    </w:p>
    <w:p w:rsidR="0036293C" w:rsidRPr="006243AA" w:rsidRDefault="00E87D8C" w:rsidP="00E87D8C">
      <w:pPr>
        <w:pStyle w:val="HChG"/>
        <w:rPr>
          <w:lang w:val="en-GB"/>
        </w:rPr>
      </w:pPr>
      <w:r w:rsidRPr="006243AA">
        <w:rPr>
          <w:lang w:val="en-GB"/>
        </w:rPr>
        <w:tab/>
      </w:r>
      <w:r w:rsidRPr="006243AA">
        <w:rPr>
          <w:lang w:val="en-GB"/>
        </w:rPr>
        <w:tab/>
      </w:r>
      <w:r w:rsidR="0036293C" w:rsidRPr="006243AA">
        <w:rPr>
          <w:lang w:val="en-GB"/>
        </w:rPr>
        <w:t>Introduction</w:t>
      </w:r>
    </w:p>
    <w:p w:rsidR="00E87D8C" w:rsidRPr="006243AA" w:rsidRDefault="0036293C" w:rsidP="00E87D8C">
      <w:pPr>
        <w:pStyle w:val="SingleTxtG"/>
        <w:numPr>
          <w:ilvl w:val="0"/>
          <w:numId w:val="16"/>
        </w:numPr>
        <w:ind w:left="1134" w:firstLine="0"/>
        <w:rPr>
          <w:lang w:val="en-GB"/>
        </w:rPr>
      </w:pPr>
      <w:r w:rsidRPr="006243AA">
        <w:rPr>
          <w:lang w:val="en-GB"/>
        </w:rPr>
        <w:t xml:space="preserve">Currently there is no airflow requirement despite the secondary coolant being vital for safe carriage of perishable cargoes in mechanically refrigerated vehicles. </w:t>
      </w:r>
    </w:p>
    <w:p w:rsidR="0036293C" w:rsidRPr="0030237B" w:rsidRDefault="0036293C" w:rsidP="00E87D8C">
      <w:pPr>
        <w:pStyle w:val="SingleTxtG"/>
        <w:numPr>
          <w:ilvl w:val="0"/>
          <w:numId w:val="16"/>
        </w:numPr>
        <w:ind w:left="1134" w:firstLine="0"/>
      </w:pPr>
      <w:r w:rsidRPr="006243AA">
        <w:rPr>
          <w:lang w:val="en-GB"/>
        </w:rPr>
        <w:t>At present</w:t>
      </w:r>
      <w:r w:rsidR="007E62BF">
        <w:rPr>
          <w:lang w:val="en-GB"/>
        </w:rPr>
        <w:t>,</w:t>
      </w:r>
      <w:r w:rsidRPr="006243AA">
        <w:rPr>
          <w:lang w:val="en-GB"/>
        </w:rPr>
        <w:t xml:space="preserve"> the existing text appears to make airflow measurement optional. </w:t>
      </w:r>
      <w:r w:rsidRPr="0030237B">
        <w:t>Annex</w:t>
      </w:r>
      <w:r w:rsidR="007E62BF">
        <w:t> </w:t>
      </w:r>
      <w:r w:rsidRPr="0030237B">
        <w:t xml:space="preserve">1, </w:t>
      </w:r>
      <w:r w:rsidR="006243AA" w:rsidRPr="0030237B">
        <w:t>Appendix</w:t>
      </w:r>
      <w:r w:rsidRPr="0030237B">
        <w:t xml:space="preserve"> 2, </w:t>
      </w:r>
      <w:proofErr w:type="spellStart"/>
      <w:r w:rsidRPr="0030237B">
        <w:t>paragraph</w:t>
      </w:r>
      <w:proofErr w:type="spellEnd"/>
      <w:r w:rsidRPr="0030237B">
        <w:t xml:space="preserve"> 4.3.4 (iii) </w:t>
      </w:r>
      <w:proofErr w:type="spellStart"/>
      <w:r w:rsidRPr="0030237B">
        <w:t>reads</w:t>
      </w:r>
      <w:proofErr w:type="spellEnd"/>
      <w:r w:rsidRPr="0030237B">
        <w:t xml:space="preserve"> as </w:t>
      </w:r>
      <w:proofErr w:type="gramStart"/>
      <w:r w:rsidRPr="0030237B">
        <w:t>follows:</w:t>
      </w:r>
      <w:proofErr w:type="gramEnd"/>
      <w:r w:rsidRPr="0030237B">
        <w:t xml:space="preserve"> </w:t>
      </w:r>
    </w:p>
    <w:p w:rsidR="0036293C" w:rsidRPr="006243AA" w:rsidRDefault="0036293C" w:rsidP="00E87D8C">
      <w:pPr>
        <w:pStyle w:val="SingleTxtG"/>
        <w:rPr>
          <w:lang w:val="en-GB"/>
        </w:rPr>
      </w:pPr>
      <w:r w:rsidRPr="006243AA">
        <w:rPr>
          <w:lang w:val="en-GB"/>
        </w:rPr>
        <w:t xml:space="preserve">“If the air circulation of a refrigeration unit’s evaporator fans </w:t>
      </w:r>
      <w:r w:rsidR="006243AA">
        <w:rPr>
          <w:lang w:val="en-GB"/>
        </w:rPr>
        <w:t>is</w:t>
      </w:r>
      <w:r w:rsidRPr="006243AA">
        <w:rPr>
          <w:lang w:val="en-GB"/>
        </w:rPr>
        <w:t xml:space="preserve"> to be measured, methods capable measuring the total delivery volume shall be used.”</w:t>
      </w:r>
    </w:p>
    <w:p w:rsidR="0036293C" w:rsidRPr="006243AA" w:rsidRDefault="0036293C" w:rsidP="00E87D8C">
      <w:pPr>
        <w:pStyle w:val="SingleTxtG"/>
        <w:numPr>
          <w:ilvl w:val="0"/>
          <w:numId w:val="16"/>
        </w:numPr>
        <w:ind w:left="1134" w:firstLine="0"/>
        <w:rPr>
          <w:lang w:val="en-GB"/>
        </w:rPr>
      </w:pPr>
      <w:r w:rsidRPr="006243AA">
        <w:rPr>
          <w:lang w:val="en-GB"/>
        </w:rPr>
        <w:t>A proposal</w:t>
      </w:r>
      <w:r w:rsidR="007E62BF">
        <w:rPr>
          <w:lang w:val="en-GB"/>
        </w:rPr>
        <w:t xml:space="preserve"> from the expert from the United Kingdom </w:t>
      </w:r>
      <w:r w:rsidRPr="006243AA">
        <w:rPr>
          <w:lang w:val="en-GB"/>
        </w:rPr>
        <w:t>(ECE/TRANS/WP11/2012/5) was to change the wording regarding airflow tests was presented at the 68th session. This was not accepted, as verifying manufacturers’ airflow figures is not mandated. A working group was proposed for an amended proposal for next year.</w:t>
      </w:r>
    </w:p>
    <w:p w:rsidR="0036293C" w:rsidRPr="006243AA" w:rsidRDefault="0036293C" w:rsidP="00E87D8C">
      <w:pPr>
        <w:pStyle w:val="SingleTxtG"/>
        <w:numPr>
          <w:ilvl w:val="0"/>
          <w:numId w:val="16"/>
        </w:numPr>
        <w:ind w:left="1134" w:firstLine="0"/>
        <w:rPr>
          <w:lang w:val="en-GB"/>
        </w:rPr>
      </w:pPr>
      <w:r w:rsidRPr="006243AA">
        <w:rPr>
          <w:lang w:val="en-GB"/>
        </w:rPr>
        <w:t>The</w:t>
      </w:r>
      <w:r w:rsidR="007E62BF" w:rsidRPr="007E62BF">
        <w:rPr>
          <w:lang w:val="en-GB"/>
        </w:rPr>
        <w:t xml:space="preserve"> </w:t>
      </w:r>
      <w:r w:rsidR="007E62BF">
        <w:rPr>
          <w:lang w:val="en-GB"/>
        </w:rPr>
        <w:t>expert from the United Kingdom</w:t>
      </w:r>
      <w:r w:rsidRPr="006243AA">
        <w:rPr>
          <w:lang w:val="en-GB"/>
        </w:rPr>
        <w:t xml:space="preserve"> submitted an informal document </w:t>
      </w:r>
      <w:r w:rsidR="006243AA">
        <w:rPr>
          <w:lang w:val="en-GB"/>
        </w:rPr>
        <w:t>INF</w:t>
      </w:r>
      <w:r w:rsidR="007E62BF">
        <w:rPr>
          <w:lang w:val="en-GB"/>
        </w:rPr>
        <w:t>.</w:t>
      </w:r>
      <w:r w:rsidR="006243AA">
        <w:rPr>
          <w:lang w:val="en-GB"/>
        </w:rPr>
        <w:t>5</w:t>
      </w:r>
      <w:r w:rsidRPr="006243AA">
        <w:rPr>
          <w:lang w:val="en-GB"/>
        </w:rPr>
        <w:t xml:space="preserve"> for discussion at the </w:t>
      </w:r>
      <w:r w:rsidR="007E62BF">
        <w:rPr>
          <w:lang w:val="en-GB"/>
        </w:rPr>
        <w:t>sixty-ninth</w:t>
      </w:r>
      <w:r w:rsidRPr="006243AA">
        <w:rPr>
          <w:lang w:val="en-GB"/>
        </w:rPr>
        <w:t xml:space="preserve"> session of WP</w:t>
      </w:r>
      <w:r w:rsidR="007E62BF">
        <w:rPr>
          <w:lang w:val="en-GB"/>
        </w:rPr>
        <w:t>.</w:t>
      </w:r>
      <w:r w:rsidRPr="006243AA">
        <w:rPr>
          <w:lang w:val="en-GB"/>
        </w:rPr>
        <w:t xml:space="preserve">11 and </w:t>
      </w:r>
      <w:r w:rsidR="007E62BF">
        <w:rPr>
          <w:lang w:val="en-GB"/>
        </w:rPr>
        <w:t xml:space="preserve">it </w:t>
      </w:r>
      <w:r w:rsidRPr="006243AA">
        <w:rPr>
          <w:lang w:val="en-GB"/>
        </w:rPr>
        <w:t xml:space="preserve">was suggested an informal working group </w:t>
      </w:r>
      <w:r w:rsidR="007E62BF">
        <w:rPr>
          <w:lang w:val="en-GB"/>
        </w:rPr>
        <w:t xml:space="preserve">to </w:t>
      </w:r>
      <w:r w:rsidRPr="006243AA">
        <w:rPr>
          <w:lang w:val="en-GB"/>
        </w:rPr>
        <w:t>be formed.</w:t>
      </w:r>
    </w:p>
    <w:p w:rsidR="0036293C" w:rsidRPr="006243AA" w:rsidRDefault="0036293C" w:rsidP="00E87D8C">
      <w:pPr>
        <w:pStyle w:val="SingleTxtG"/>
        <w:rPr>
          <w:lang w:val="en-GB"/>
        </w:rPr>
      </w:pPr>
      <w:r w:rsidRPr="006243AA">
        <w:rPr>
          <w:lang w:val="en-GB"/>
        </w:rPr>
        <w:t xml:space="preserve">The </w:t>
      </w:r>
      <w:r w:rsidR="007E62BF">
        <w:rPr>
          <w:lang w:val="en-GB"/>
        </w:rPr>
        <w:t>expert from the United Kingdom</w:t>
      </w:r>
      <w:r w:rsidRPr="006243AA">
        <w:rPr>
          <w:lang w:val="en-GB"/>
        </w:rPr>
        <w:t xml:space="preserve"> then submitted a working document (</w:t>
      </w:r>
      <w:r w:rsidRPr="006243AA">
        <w:rPr>
          <w:spacing w:val="-4"/>
          <w:lang w:val="en-GB"/>
        </w:rPr>
        <w:t>ECE/TRANS/WP.11/2014/15, part A</w:t>
      </w:r>
      <w:r w:rsidRPr="006243AA">
        <w:rPr>
          <w:lang w:val="en-GB"/>
        </w:rPr>
        <w:t xml:space="preserve">) which was adopted at the </w:t>
      </w:r>
      <w:r w:rsidR="007E62BF">
        <w:rPr>
          <w:lang w:val="en-GB"/>
        </w:rPr>
        <w:t xml:space="preserve">seventieth </w:t>
      </w:r>
      <w:r w:rsidRPr="006243AA">
        <w:rPr>
          <w:lang w:val="en-GB"/>
        </w:rPr>
        <w:t>session of WP</w:t>
      </w:r>
      <w:r w:rsidR="007E62BF">
        <w:rPr>
          <w:lang w:val="en-GB"/>
        </w:rPr>
        <w:t>.</w:t>
      </w:r>
      <w:r w:rsidRPr="006243AA">
        <w:rPr>
          <w:lang w:val="en-GB"/>
        </w:rPr>
        <w:t>11.</w:t>
      </w:r>
    </w:p>
    <w:p w:rsidR="0036293C" w:rsidRPr="006243AA" w:rsidRDefault="0036293C" w:rsidP="00E87D8C">
      <w:pPr>
        <w:pStyle w:val="SingleTxtG"/>
        <w:numPr>
          <w:ilvl w:val="0"/>
          <w:numId w:val="16"/>
        </w:numPr>
        <w:ind w:left="1134" w:firstLine="0"/>
        <w:rPr>
          <w:lang w:val="en-GB"/>
        </w:rPr>
      </w:pPr>
      <w:r w:rsidRPr="006243AA">
        <w:rPr>
          <w:lang w:val="en-GB"/>
        </w:rPr>
        <w:t>On the 17</w:t>
      </w:r>
      <w:r w:rsidR="007E62BF">
        <w:rPr>
          <w:lang w:val="en-GB"/>
        </w:rPr>
        <w:t xml:space="preserve"> </w:t>
      </w:r>
      <w:r w:rsidRPr="006243AA">
        <w:rPr>
          <w:lang w:val="en-GB"/>
        </w:rPr>
        <w:t>September 2015, the Finnish Government made an objection to the proposed amendment to annex 1, appendix 2, paragraph 2.3.6 (C.N.</w:t>
      </w:r>
      <w:proofErr w:type="gramStart"/>
      <w:r w:rsidRPr="006243AA">
        <w:rPr>
          <w:lang w:val="en-GB"/>
        </w:rPr>
        <w:t>481.2015.TREATIES</w:t>
      </w:r>
      <w:proofErr w:type="gramEnd"/>
      <w:r w:rsidRPr="006243AA">
        <w:rPr>
          <w:lang w:val="en-GB"/>
        </w:rPr>
        <w:t xml:space="preserve">-X1.B.22) (airflow requirement proposal for 60 a/c/h). This was an objection </w:t>
      </w:r>
      <w:r w:rsidR="007E62BF">
        <w:rPr>
          <w:lang w:val="en-GB"/>
        </w:rPr>
        <w:t>to</w:t>
      </w:r>
      <w:r w:rsidRPr="006243AA">
        <w:rPr>
          <w:lang w:val="en-GB"/>
        </w:rPr>
        <w:t xml:space="preserve"> a single proposal and did not affect the other proposals. </w:t>
      </w:r>
    </w:p>
    <w:p w:rsidR="0036293C" w:rsidRPr="00C84723" w:rsidRDefault="008A0FB7" w:rsidP="008A0FB7">
      <w:pPr>
        <w:pStyle w:val="SingleTxtG"/>
        <w:rPr>
          <w:b/>
          <w:bCs/>
          <w:lang w:val="en-GB"/>
        </w:rPr>
      </w:pPr>
      <w:r>
        <w:rPr>
          <w:lang w:val="en-GB"/>
        </w:rPr>
        <w:t>6.</w:t>
      </w:r>
      <w:r>
        <w:rPr>
          <w:lang w:val="en-GB"/>
        </w:rPr>
        <w:tab/>
      </w:r>
      <w:r w:rsidR="0036293C" w:rsidRPr="006243AA">
        <w:rPr>
          <w:lang w:val="en-GB"/>
        </w:rPr>
        <w:t>At this years’ CERTE meeting the U</w:t>
      </w:r>
      <w:r w:rsidR="007E62BF">
        <w:rPr>
          <w:lang w:val="en-GB"/>
        </w:rPr>
        <w:t xml:space="preserve">nited </w:t>
      </w:r>
      <w:r w:rsidR="0036293C" w:rsidRPr="006243AA">
        <w:rPr>
          <w:lang w:val="en-GB"/>
        </w:rPr>
        <w:t>K</w:t>
      </w:r>
      <w:r w:rsidR="007E62BF">
        <w:rPr>
          <w:lang w:val="en-GB"/>
        </w:rPr>
        <w:t>ingdom</w:t>
      </w:r>
      <w:r w:rsidR="0036293C" w:rsidRPr="006243AA">
        <w:rPr>
          <w:lang w:val="en-GB"/>
        </w:rPr>
        <w:t xml:space="preserve"> presented a modified proposal which was discussed but not accepted in the form proposed. Subsequently the proposal was discussed at length at CEN and a new proposal </w:t>
      </w:r>
      <w:r w:rsidR="007E62BF">
        <w:rPr>
          <w:lang w:val="en-GB"/>
        </w:rPr>
        <w:t xml:space="preserve">was </w:t>
      </w:r>
      <w:r w:rsidR="0036293C" w:rsidRPr="006243AA">
        <w:rPr>
          <w:lang w:val="en-GB"/>
        </w:rPr>
        <w:t>developed which is presented below in modified form suitable for ATP.</w:t>
      </w:r>
    </w:p>
    <w:p w:rsidR="0036293C" w:rsidRPr="0030237B" w:rsidRDefault="00CF7886" w:rsidP="00CF7886">
      <w:pPr>
        <w:pStyle w:val="HChG"/>
        <w:numPr>
          <w:ilvl w:val="0"/>
          <w:numId w:val="17"/>
        </w:numPr>
        <w:ind w:left="1134"/>
      </w:pPr>
      <w:r w:rsidRPr="006243AA">
        <w:rPr>
          <w:lang w:val="en-GB"/>
        </w:rPr>
        <w:lastRenderedPageBreak/>
        <w:tab/>
      </w:r>
      <w:proofErr w:type="spellStart"/>
      <w:r w:rsidR="0036293C" w:rsidRPr="0030237B">
        <w:t>Proposed</w:t>
      </w:r>
      <w:proofErr w:type="spellEnd"/>
      <w:r w:rsidR="0036293C" w:rsidRPr="0030237B">
        <w:t xml:space="preserve"> </w:t>
      </w:r>
      <w:proofErr w:type="spellStart"/>
      <w:r w:rsidR="00556FA0">
        <w:t>a</w:t>
      </w:r>
      <w:r w:rsidR="0036293C" w:rsidRPr="0030237B">
        <w:t>mendment</w:t>
      </w:r>
      <w:proofErr w:type="spellEnd"/>
    </w:p>
    <w:p w:rsidR="0036293C" w:rsidRPr="006243AA" w:rsidRDefault="008A0FB7" w:rsidP="008A0FB7">
      <w:pPr>
        <w:pStyle w:val="SingleTxtG"/>
        <w:rPr>
          <w:lang w:val="en-GB"/>
        </w:rPr>
      </w:pPr>
      <w:r>
        <w:rPr>
          <w:lang w:val="en-GB"/>
        </w:rPr>
        <w:t>7.</w:t>
      </w:r>
      <w:r>
        <w:rPr>
          <w:lang w:val="en-GB"/>
        </w:rPr>
        <w:tab/>
      </w:r>
      <w:r w:rsidR="0036293C" w:rsidRPr="006243AA">
        <w:rPr>
          <w:lang w:val="en-GB"/>
        </w:rPr>
        <w:t>We propose to amend the text as follows, with a footnote.</w:t>
      </w:r>
    </w:p>
    <w:p w:rsidR="0036293C" w:rsidRPr="006243AA" w:rsidRDefault="0036293C" w:rsidP="00CF7886">
      <w:pPr>
        <w:pStyle w:val="SingleTxtG"/>
        <w:rPr>
          <w:b/>
          <w:bCs/>
          <w:u w:val="single"/>
          <w:lang w:val="en-GB"/>
        </w:rPr>
      </w:pPr>
      <w:r w:rsidRPr="006243AA">
        <w:rPr>
          <w:b/>
          <w:bCs/>
          <w:u w:val="single"/>
          <w:lang w:val="en-GB"/>
        </w:rPr>
        <w:t>A new paragraph is added to the point 3.2.6:</w:t>
      </w:r>
    </w:p>
    <w:p w:rsidR="0036293C" w:rsidRPr="006243AA" w:rsidRDefault="0036293C" w:rsidP="00670CE8">
      <w:pPr>
        <w:pStyle w:val="SingleTxtG"/>
        <w:spacing w:after="240"/>
        <w:rPr>
          <w:lang w:val="en-GB"/>
        </w:rPr>
      </w:pPr>
      <w:r w:rsidRPr="006243AA">
        <w:rPr>
          <w:lang w:val="en-GB"/>
        </w:rPr>
        <w:t>“The required airflow for equipment that has an internal volume of ≤2 and ≤100m</w:t>
      </w:r>
      <w:r w:rsidRPr="006243AA">
        <w:rPr>
          <w:vertAlign w:val="superscript"/>
          <w:lang w:val="en-GB"/>
        </w:rPr>
        <w:t>3</w:t>
      </w:r>
      <w:r w:rsidRPr="006243AA">
        <w:rPr>
          <w:lang w:val="en-GB"/>
        </w:rPr>
        <w:t xml:space="preserve"> is calculated using the following formula: </w:t>
      </w:r>
    </w:p>
    <w:p w:rsidR="0036293C" w:rsidRPr="00670CE8" w:rsidRDefault="008A0FB7" w:rsidP="0036293C">
      <m:oMathPara>
        <m:oMathParaPr>
          <m:jc m:val="center"/>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r>
            <w:rPr>
              <w:rFonts w:ascii="Cambria Math" w:hAnsi="Cambria Math"/>
            </w:rPr>
            <m:t xml:space="preserve">=N·V  </m:t>
          </m:r>
        </m:oMath>
      </m:oMathPara>
    </w:p>
    <w:p w:rsidR="0036293C" w:rsidRPr="006243AA" w:rsidRDefault="0036293C" w:rsidP="00670CE8">
      <w:pPr>
        <w:pStyle w:val="SingleTxtG"/>
        <w:spacing w:before="120"/>
        <w:rPr>
          <w:lang w:val="en-GB"/>
        </w:rPr>
      </w:pPr>
      <w:r w:rsidRPr="006243AA">
        <w:rPr>
          <w:lang w:val="en-GB"/>
        </w:rPr>
        <w:t xml:space="preserve">The air flow rate </w:t>
      </w:r>
      <w:r w:rsidRPr="006243AA">
        <w:rPr>
          <w:i/>
          <w:lang w:val="en-GB"/>
        </w:rPr>
        <w:t>N</w:t>
      </w:r>
      <w:r w:rsidRPr="006243AA">
        <w:rPr>
          <w:lang w:val="en-GB"/>
        </w:rPr>
        <w:t xml:space="preserve"> is defined as the circulated volumes </w:t>
      </w:r>
      <w:r w:rsidRPr="006243AA">
        <w:rPr>
          <w:i/>
          <w:lang w:val="en-GB"/>
        </w:rPr>
        <w:t>V</w:t>
      </w:r>
      <w:r w:rsidRPr="006243AA">
        <w:rPr>
          <w:lang w:val="en-GB"/>
        </w:rPr>
        <w:t xml:space="preserve"> of the empty load space each hour.</w:t>
      </w:r>
    </w:p>
    <w:p w:rsidR="0036293C" w:rsidRPr="006243AA" w:rsidRDefault="0036293C" w:rsidP="00670CE8">
      <w:pPr>
        <w:pStyle w:val="SingleTxtG"/>
        <w:rPr>
          <w:lang w:val="en-GB"/>
        </w:rPr>
      </w:pPr>
      <w:r w:rsidRPr="006243AA">
        <w:rPr>
          <w:lang w:val="en-GB"/>
        </w:rPr>
        <w:t>Where:</w:t>
      </w:r>
    </w:p>
    <w:p w:rsidR="0036293C" w:rsidRPr="006243AA" w:rsidRDefault="0036293C" w:rsidP="00670CE8">
      <w:pPr>
        <w:pStyle w:val="SingleTxtG"/>
        <w:rPr>
          <w:lang w:val="en-GB"/>
        </w:rPr>
      </w:pPr>
      <w:r w:rsidRPr="006243AA">
        <w:rPr>
          <w:i/>
          <w:iCs/>
          <w:lang w:val="en-GB"/>
        </w:rPr>
        <w:t xml:space="preserve">V </w:t>
      </w:r>
      <w:r w:rsidRPr="006243AA">
        <w:rPr>
          <w:lang w:val="en-GB"/>
        </w:rPr>
        <w:t>is the volume of the load space, in m</w:t>
      </w:r>
      <w:r w:rsidRPr="006243AA">
        <w:rPr>
          <w:vertAlign w:val="superscript"/>
          <w:lang w:val="en-GB"/>
        </w:rPr>
        <w:t>3</w:t>
      </w:r>
      <w:r w:rsidRPr="006243AA">
        <w:rPr>
          <w:lang w:val="en-GB"/>
        </w:rPr>
        <w:t>;</w:t>
      </w:r>
    </w:p>
    <w:p w:rsidR="0036293C" w:rsidRPr="006243AA" w:rsidRDefault="008A0FB7" w:rsidP="00670CE8">
      <w:pPr>
        <w:pStyle w:val="SingleTxtG"/>
        <w:rPr>
          <w:lang w:val="en-GB"/>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oMath>
      <w:r w:rsidR="0036293C" w:rsidRPr="006243AA">
        <w:rPr>
          <w:lang w:val="en-GB"/>
        </w:rPr>
        <w:t xml:space="preserve"> is the recommended design air flow, in </w:t>
      </w:r>
      <m:oMath>
        <m:sSup>
          <m:sSupPr>
            <m:ctrlPr>
              <w:rPr>
                <w:rFonts w:ascii="Cambria Math" w:hAnsi="Cambria Math"/>
                <w:i/>
              </w:rPr>
            </m:ctrlPr>
          </m:sSupPr>
          <m:e>
            <m:r>
              <w:rPr>
                <w:rFonts w:ascii="Cambria Math" w:hAnsi="Cambria Math"/>
              </w:rPr>
              <m:t>m</m:t>
            </m:r>
          </m:e>
          <m:sup>
            <m:r>
              <w:rPr>
                <w:rFonts w:ascii="Cambria Math" w:hAnsi="Cambria Math"/>
                <w:lang w:val="en-GB"/>
              </w:rPr>
              <m:t>3</m:t>
            </m:r>
          </m:sup>
        </m:sSup>
        <m:r>
          <w:rPr>
            <w:rFonts w:ascii="Cambria Math" w:hAnsi="Cambria Math"/>
            <w:lang w:val="en-GB"/>
          </w:rPr>
          <m:t>/h</m:t>
        </m:r>
      </m:oMath>
      <w:r w:rsidR="0036293C" w:rsidRPr="006243AA">
        <w:rPr>
          <w:lang w:val="en-GB"/>
        </w:rPr>
        <w:t>;</w:t>
      </w:r>
    </w:p>
    <w:p w:rsidR="0036293C" w:rsidRPr="006243AA" w:rsidRDefault="0036293C" w:rsidP="00670CE8">
      <w:pPr>
        <w:pStyle w:val="SingleTxtG"/>
        <w:rPr>
          <w:lang w:val="en-GB"/>
        </w:rPr>
      </w:pPr>
      <w:r w:rsidRPr="006243AA">
        <w:rPr>
          <w:lang w:val="en-GB"/>
        </w:rPr>
        <w:t xml:space="preserve">N is the air flow rate, in </w:t>
      </w:r>
      <w:r w:rsidRPr="006243AA">
        <w:rPr>
          <w:i/>
          <w:lang w:val="en-GB"/>
        </w:rPr>
        <w:t>h</w:t>
      </w:r>
      <w:r w:rsidRPr="006243AA">
        <w:rPr>
          <w:i/>
          <w:vertAlign w:val="superscript"/>
          <w:lang w:val="en-GB"/>
        </w:rPr>
        <w:t>-1</w:t>
      </w:r>
      <w:r w:rsidRPr="006243AA">
        <w:rPr>
          <w:lang w:val="en-GB"/>
        </w:rPr>
        <w:t>.</w:t>
      </w:r>
    </w:p>
    <w:p w:rsidR="0036293C" w:rsidRPr="006243AA" w:rsidRDefault="008A0FB7" w:rsidP="00670CE8">
      <w:pPr>
        <w:pStyle w:val="SingleTxtG"/>
        <w:rPr>
          <w:lang w:val="en-GB"/>
        </w:rPr>
      </w:pPr>
      <w:r w:rsidRPr="006243AA">
        <w:rPr>
          <w:lang w:val="en-GB"/>
        </w:rPr>
        <w:t>W</w:t>
      </w:r>
      <w:r w:rsidR="0036293C" w:rsidRPr="006243AA">
        <w:rPr>
          <w:lang w:val="en-GB"/>
        </w:rPr>
        <w:t>ith</w:t>
      </w:r>
    </w:p>
    <w:p w:rsidR="0036293C" w:rsidRPr="006243AA" w:rsidRDefault="0036293C" w:rsidP="00670CE8">
      <w:pPr>
        <w:pStyle w:val="SingleTxtG"/>
        <w:rPr>
          <w:lang w:val="en-GB"/>
        </w:rPr>
      </w:pPr>
      <m:oMath>
        <m:r>
          <w:rPr>
            <w:rFonts w:ascii="Cambria Math" w:hAnsi="Cambria Math"/>
            <w:lang w:val="en-GB"/>
          </w:rPr>
          <m:t>40 ≤</m:t>
        </m:r>
        <m:r>
          <w:rPr>
            <w:rFonts w:ascii="Cambria Math" w:hAnsi="Cambria Math"/>
          </w:rPr>
          <m:t>N</m:t>
        </m:r>
        <m:r>
          <w:rPr>
            <w:rFonts w:ascii="Cambria Math" w:hAnsi="Cambria Math"/>
            <w:lang w:val="en-GB"/>
          </w:rPr>
          <m:t>≤ 60</m:t>
        </m:r>
      </m:oMath>
      <w:r w:rsidRPr="006243AA">
        <w:rPr>
          <w:lang w:val="en-GB"/>
        </w:rPr>
        <w:t xml:space="preserve"> for frozen mode</w:t>
      </w:r>
      <w:r w:rsidRPr="006243AA">
        <w:rPr>
          <w:lang w:val="en-GB"/>
        </w:rPr>
        <w:tab/>
        <w:t xml:space="preserve">or </w:t>
      </w:r>
      <w:r w:rsidRPr="006243AA">
        <w:rPr>
          <w:lang w:val="en-GB"/>
        </w:rPr>
        <w:tab/>
      </w:r>
      <w:r w:rsidRPr="006243AA">
        <w:rPr>
          <w:lang w:val="en-GB"/>
        </w:rPr>
        <w:br/>
      </w:r>
      <m:oMath>
        <m:r>
          <w:rPr>
            <w:rFonts w:ascii="Cambria Math" w:hAnsi="Cambria Math"/>
            <w:lang w:val="en-GB"/>
          </w:rPr>
          <m:t>50 ≤</m:t>
        </m:r>
        <m:r>
          <w:rPr>
            <w:rFonts w:ascii="Cambria Math" w:hAnsi="Cambria Math"/>
          </w:rPr>
          <m:t>N</m:t>
        </m:r>
        <m:r>
          <w:rPr>
            <w:rFonts w:ascii="Cambria Math" w:hAnsi="Cambria Math"/>
            <w:lang w:val="en-GB"/>
          </w:rPr>
          <m:t>≤ 90</m:t>
        </m:r>
      </m:oMath>
      <w:r w:rsidRPr="006243AA">
        <w:rPr>
          <w:lang w:val="en-GB"/>
        </w:rPr>
        <w:t xml:space="preserve"> for chilled/heating mode.</w:t>
      </w:r>
    </w:p>
    <w:p w:rsidR="0036293C" w:rsidRPr="006243AA" w:rsidRDefault="0036293C" w:rsidP="00670CE8">
      <w:pPr>
        <w:pStyle w:val="SingleTxtG"/>
        <w:rPr>
          <w:lang w:val="en-GB"/>
        </w:rPr>
      </w:pPr>
      <w:r w:rsidRPr="006243AA">
        <w:rPr>
          <w:lang w:val="en-GB"/>
        </w:rPr>
        <w:t>The air delivery system shall be compensated for any loss of airflow due to internal equipment such as air ducts and the frosting of the evaporator(s) and need not be continuous.</w:t>
      </w:r>
    </w:p>
    <w:p w:rsidR="0036293C" w:rsidRPr="006243AA" w:rsidRDefault="0036293C" w:rsidP="00670CE8">
      <w:pPr>
        <w:pStyle w:val="SingleTxtG"/>
        <w:rPr>
          <w:lang w:val="en-GB"/>
        </w:rPr>
      </w:pPr>
      <w:r w:rsidRPr="006243AA">
        <w:rPr>
          <w:lang w:val="en-GB"/>
        </w:rPr>
        <w:t>If the internal volume is ≥100m</w:t>
      </w:r>
      <w:r w:rsidRPr="006243AA">
        <w:rPr>
          <w:vertAlign w:val="superscript"/>
          <w:lang w:val="en-GB"/>
        </w:rPr>
        <w:t>3</w:t>
      </w:r>
      <w:r w:rsidRPr="006243AA">
        <w:rPr>
          <w:lang w:val="en-GB"/>
        </w:rPr>
        <w:t xml:space="preserve"> or ≤2, the competent authority where the equipment is registered or recorded shall determine adequate airflow based on the overall heat transfer.”</w:t>
      </w:r>
    </w:p>
    <w:p w:rsidR="0036293C" w:rsidRPr="006243AA" w:rsidRDefault="00670CE8" w:rsidP="00670CE8">
      <w:pPr>
        <w:pStyle w:val="HChG"/>
        <w:rPr>
          <w:lang w:val="en-GB"/>
        </w:rPr>
      </w:pPr>
      <w:r w:rsidRPr="006243AA">
        <w:rPr>
          <w:lang w:val="en-GB"/>
        </w:rPr>
        <w:tab/>
      </w:r>
      <w:r w:rsidRPr="006243AA">
        <w:rPr>
          <w:lang w:val="en-GB"/>
        </w:rPr>
        <w:tab/>
      </w:r>
      <w:r w:rsidR="0036293C" w:rsidRPr="006243AA">
        <w:rPr>
          <w:lang w:val="en-GB"/>
        </w:rPr>
        <w:t>Annex 1, Appendix 3</w:t>
      </w:r>
    </w:p>
    <w:p w:rsidR="0036293C" w:rsidRPr="006243AA" w:rsidRDefault="0036293C" w:rsidP="00670CE8">
      <w:pPr>
        <w:pStyle w:val="SingleTxtG"/>
        <w:rPr>
          <w:b/>
          <w:lang w:val="en-GB"/>
        </w:rPr>
      </w:pPr>
      <w:r w:rsidRPr="006243AA">
        <w:rPr>
          <w:lang w:val="en-GB"/>
        </w:rPr>
        <w:t>The ATP certificate will need to be amended with a new section below in Annex</w:t>
      </w:r>
      <w:r w:rsidR="007E62BF">
        <w:rPr>
          <w:lang w:val="en-GB"/>
        </w:rPr>
        <w:t> </w:t>
      </w:r>
      <w:r w:rsidRPr="006243AA">
        <w:rPr>
          <w:lang w:val="en-GB"/>
        </w:rPr>
        <w:t>1, Appendix</w:t>
      </w:r>
      <w:r w:rsidR="00670CE8" w:rsidRPr="006243AA">
        <w:rPr>
          <w:lang w:val="en-GB"/>
        </w:rPr>
        <w:t> </w:t>
      </w:r>
      <w:r w:rsidRPr="006243AA">
        <w:rPr>
          <w:lang w:val="en-GB"/>
        </w:rPr>
        <w:t>3.</w:t>
      </w:r>
    </w:p>
    <w:p w:rsidR="0036293C" w:rsidRPr="006243AA" w:rsidRDefault="0036293C" w:rsidP="00670CE8">
      <w:pPr>
        <w:pStyle w:val="SingleTxtG"/>
        <w:rPr>
          <w:lang w:val="en-GB"/>
        </w:rPr>
      </w:pPr>
      <w:r w:rsidRPr="006243AA">
        <w:rPr>
          <w:lang w:val="en-GB"/>
        </w:rPr>
        <w:t>“7.2.6 XX air changes/hour”</w:t>
      </w:r>
    </w:p>
    <w:p w:rsidR="0036293C" w:rsidRPr="006243AA" w:rsidRDefault="0036293C" w:rsidP="00670CE8">
      <w:pPr>
        <w:pStyle w:val="SingleTxtG"/>
        <w:rPr>
          <w:lang w:val="en-GB"/>
        </w:rPr>
      </w:pPr>
      <w:r w:rsidRPr="006243AA">
        <w:rPr>
          <w:lang w:val="en-GB"/>
        </w:rPr>
        <w:t xml:space="preserve">Where XX is the number of air changes per hour calculated by dividing the total airflow of the evaporator fans by the total internal volume of the </w:t>
      </w:r>
      <w:proofErr w:type="gramStart"/>
      <w:r w:rsidRPr="006243AA">
        <w:rPr>
          <w:lang w:val="en-GB"/>
        </w:rPr>
        <w:t>equipment as a whole</w:t>
      </w:r>
      <w:proofErr w:type="gramEnd"/>
      <w:r w:rsidRPr="006243AA">
        <w:rPr>
          <w:lang w:val="en-GB"/>
        </w:rPr>
        <w:t>.</w:t>
      </w:r>
    </w:p>
    <w:p w:rsidR="0036293C" w:rsidRDefault="0036293C" w:rsidP="0036293C">
      <w:pPr>
        <w:rPr>
          <w:b/>
          <w:bCs/>
        </w:rPr>
      </w:pPr>
      <w:r>
        <w:br w:type="page"/>
      </w:r>
    </w:p>
    <w:p w:rsidR="0036293C" w:rsidRPr="0063504F" w:rsidRDefault="00670CE8" w:rsidP="00670CE8">
      <w:pPr>
        <w:pStyle w:val="HChG"/>
        <w:numPr>
          <w:ilvl w:val="0"/>
          <w:numId w:val="17"/>
        </w:numPr>
        <w:ind w:left="1134"/>
      </w:pPr>
      <w:r w:rsidRPr="006243AA">
        <w:rPr>
          <w:lang w:val="en-GB"/>
        </w:rPr>
        <w:lastRenderedPageBreak/>
        <w:tab/>
      </w:r>
      <w:r w:rsidR="0036293C" w:rsidRPr="0063504F">
        <w:t>Impact</w:t>
      </w:r>
    </w:p>
    <w:p w:rsidR="0036293C" w:rsidRPr="006243AA" w:rsidRDefault="008A0FB7" w:rsidP="008A0FB7">
      <w:pPr>
        <w:pStyle w:val="SingleTxtG"/>
        <w:rPr>
          <w:lang w:val="en-GB"/>
        </w:rPr>
      </w:pPr>
      <w:r>
        <w:rPr>
          <w:lang w:val="en-GB"/>
        </w:rPr>
        <w:t>8.</w:t>
      </w:r>
      <w:r>
        <w:rPr>
          <w:lang w:val="en-GB"/>
        </w:rPr>
        <w:tab/>
      </w:r>
      <w:r w:rsidR="0036293C" w:rsidRPr="006243AA">
        <w:rPr>
          <w:lang w:val="en-GB"/>
        </w:rPr>
        <w:t>This change would modernise the ATP and a positive impact would be that food safety and quality would improve. The financial impact to industry is that there would be an additional cost for an airflow test in cases where it is not carried out already.</w:t>
      </w:r>
    </w:p>
    <w:p w:rsidR="0036293C" w:rsidRPr="006243AA" w:rsidRDefault="008A0FB7" w:rsidP="008A0FB7">
      <w:pPr>
        <w:pStyle w:val="SingleTxtG"/>
        <w:rPr>
          <w:lang w:val="en-GB"/>
        </w:rPr>
      </w:pPr>
      <w:r>
        <w:rPr>
          <w:lang w:val="en-GB"/>
        </w:rPr>
        <w:t>9.</w:t>
      </w:r>
      <w:r>
        <w:rPr>
          <w:lang w:val="en-GB"/>
        </w:rPr>
        <w:tab/>
      </w:r>
      <w:r w:rsidR="0036293C" w:rsidRPr="006243AA">
        <w:rPr>
          <w:lang w:val="en-GB"/>
        </w:rPr>
        <w:t xml:space="preserve">A defined flowrate for the secondary refrigerant would help ensure all products within the cargo space meet the requirements of Annex 2 and 3. </w:t>
      </w:r>
    </w:p>
    <w:p w:rsidR="0036293C" w:rsidRPr="006243AA" w:rsidRDefault="008A0FB7" w:rsidP="008A0FB7">
      <w:pPr>
        <w:pStyle w:val="SingleTxtG"/>
        <w:rPr>
          <w:lang w:val="en-GB"/>
        </w:rPr>
      </w:pPr>
      <w:r>
        <w:rPr>
          <w:lang w:val="en-GB"/>
        </w:rPr>
        <w:t>10.</w:t>
      </w:r>
      <w:r>
        <w:rPr>
          <w:lang w:val="en-GB"/>
        </w:rPr>
        <w:tab/>
      </w:r>
      <w:r w:rsidR="0036293C" w:rsidRPr="006243AA">
        <w:rPr>
          <w:lang w:val="en-GB"/>
        </w:rPr>
        <w:t>However, the airflow result is required in the machine test report and therefore there appears an inconsistency.</w:t>
      </w:r>
    </w:p>
    <w:p w:rsidR="0036293C" w:rsidRPr="00993D77" w:rsidRDefault="00670CE8" w:rsidP="00670CE8">
      <w:pPr>
        <w:pStyle w:val="HChG"/>
        <w:numPr>
          <w:ilvl w:val="0"/>
          <w:numId w:val="17"/>
        </w:numPr>
      </w:pPr>
      <w:r w:rsidRPr="006243AA">
        <w:rPr>
          <w:lang w:val="en-GB"/>
        </w:rPr>
        <w:tab/>
      </w:r>
      <w:proofErr w:type="spellStart"/>
      <w:r w:rsidR="0036293C" w:rsidRPr="00993D77">
        <w:t>Handbook</w:t>
      </w:r>
      <w:proofErr w:type="spellEnd"/>
    </w:p>
    <w:p w:rsidR="0036293C" w:rsidRPr="006243AA" w:rsidRDefault="008A0FB7" w:rsidP="008A0FB7">
      <w:pPr>
        <w:pStyle w:val="SingleTxtG"/>
        <w:rPr>
          <w:lang w:val="en-GB"/>
        </w:rPr>
      </w:pPr>
      <w:r>
        <w:rPr>
          <w:lang w:val="en-GB"/>
        </w:rPr>
        <w:t>11.</w:t>
      </w:r>
      <w:r>
        <w:rPr>
          <w:lang w:val="en-GB"/>
        </w:rPr>
        <w:tab/>
      </w:r>
      <w:bookmarkStart w:id="1" w:name="_GoBack"/>
      <w:bookmarkEnd w:id="1"/>
      <w:r w:rsidR="0036293C" w:rsidRPr="006243AA">
        <w:rPr>
          <w:lang w:val="en-GB"/>
        </w:rPr>
        <w:t>The following could be added to the handbook for additional explanation:</w:t>
      </w:r>
    </w:p>
    <w:p w:rsidR="0036293C" w:rsidRPr="006243AA" w:rsidRDefault="0036293C" w:rsidP="00670CE8">
      <w:pPr>
        <w:pStyle w:val="SingleTxtG"/>
        <w:rPr>
          <w:lang w:val="en-GB"/>
        </w:rPr>
      </w:pPr>
      <w:r w:rsidRPr="006243AA">
        <w:rPr>
          <w:lang w:val="en-GB"/>
        </w:rPr>
        <w:t xml:space="preserve">“Air flow is an essential parameter within </w:t>
      </w:r>
      <w:r w:rsidR="007E62BF" w:rsidRPr="006243AA">
        <w:rPr>
          <w:lang w:val="en-GB"/>
        </w:rPr>
        <w:t>temperature-controlled</w:t>
      </w:r>
      <w:r w:rsidRPr="006243AA">
        <w:rPr>
          <w:lang w:val="en-GB"/>
        </w:rPr>
        <w:t xml:space="preserve"> transport. </w:t>
      </w:r>
    </w:p>
    <w:p w:rsidR="0036293C" w:rsidRPr="006243AA" w:rsidRDefault="0036293C" w:rsidP="00670CE8">
      <w:pPr>
        <w:pStyle w:val="SingleTxtG"/>
        <w:rPr>
          <w:lang w:val="en-GB"/>
        </w:rPr>
      </w:pPr>
      <w:r w:rsidRPr="006243AA">
        <w:rPr>
          <w:lang w:val="en-GB"/>
        </w:rPr>
        <w:t xml:space="preserve">For frozen cargoes, airflow should be low to avoid desiccation but </w:t>
      </w:r>
      <w:proofErr w:type="gramStart"/>
      <w:r w:rsidRPr="006243AA">
        <w:rPr>
          <w:lang w:val="en-GB"/>
        </w:rPr>
        <w:t>sufficient</w:t>
      </w:r>
      <w:proofErr w:type="gramEnd"/>
      <w:r w:rsidRPr="006243AA">
        <w:rPr>
          <w:lang w:val="en-GB"/>
        </w:rPr>
        <w:t xml:space="preserve"> to remove heat entering through the insulated walls, supply air can deviate below the set temperature to remove heat without damaging the product. Chilled cargoes require higher airflow for good temperature distribution </w:t>
      </w:r>
      <w:proofErr w:type="gramStart"/>
      <w:r w:rsidRPr="006243AA">
        <w:rPr>
          <w:lang w:val="en-GB"/>
        </w:rPr>
        <w:t>and also</w:t>
      </w:r>
      <w:proofErr w:type="gramEnd"/>
      <w:r w:rsidRPr="006243AA">
        <w:rPr>
          <w:lang w:val="en-GB"/>
        </w:rPr>
        <w:t xml:space="preserve"> because the supply air temperature cannot be allowed to deviate significantly below from the set temperature due to freeze or chilling. Some chilled cargoes are metabolically active and therefore require higher airflow to remove that heat.</w:t>
      </w:r>
    </w:p>
    <w:p w:rsidR="0036293C" w:rsidRPr="006243AA" w:rsidRDefault="0036293C" w:rsidP="00670CE8">
      <w:pPr>
        <w:pStyle w:val="SingleTxtG"/>
        <w:rPr>
          <w:lang w:val="en-GB"/>
        </w:rPr>
      </w:pPr>
      <w:r w:rsidRPr="006243AA">
        <w:rPr>
          <w:lang w:val="en-GB"/>
        </w:rPr>
        <w:t xml:space="preserve">Intermittent fan operation should not be used for sensitive cargo where close temperature distribution is required. </w:t>
      </w:r>
    </w:p>
    <w:p w:rsidR="00670CE8" w:rsidRPr="006243AA" w:rsidRDefault="0036293C" w:rsidP="00670CE8">
      <w:pPr>
        <w:pStyle w:val="Heading1"/>
        <w:rPr>
          <w:lang w:val="en-GB"/>
        </w:rPr>
      </w:pPr>
      <w:r w:rsidRPr="006243AA">
        <w:rPr>
          <w:lang w:val="en-GB"/>
        </w:rPr>
        <w:t xml:space="preserve">Table D.X: </w:t>
      </w:r>
    </w:p>
    <w:p w:rsidR="0036293C" w:rsidRPr="006243AA" w:rsidRDefault="0036293C" w:rsidP="00670CE8">
      <w:pPr>
        <w:pStyle w:val="SingleTxtG"/>
        <w:rPr>
          <w:b/>
          <w:bCs/>
          <w:lang w:val="en-GB"/>
        </w:rPr>
      </w:pPr>
      <w:r w:rsidRPr="006243AA">
        <w:rPr>
          <w:b/>
          <w:bCs/>
          <w:lang w:val="en-GB"/>
        </w:rPr>
        <w:t>Examples of air flow requirements for temperature sensitive goods</w:t>
      </w:r>
    </w:p>
    <w:tbl>
      <w:tblPr>
        <w:tblW w:w="0" w:type="auto"/>
        <w:tblInd w:w="11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97"/>
        <w:gridCol w:w="236"/>
        <w:gridCol w:w="414"/>
        <w:gridCol w:w="882"/>
        <w:gridCol w:w="414"/>
        <w:gridCol w:w="864"/>
        <w:gridCol w:w="9"/>
        <w:gridCol w:w="612"/>
        <w:gridCol w:w="819"/>
        <w:gridCol w:w="9"/>
      </w:tblGrid>
      <w:tr w:rsidR="0036293C" w:rsidRPr="00282534" w:rsidTr="00FC00B8">
        <w:trPr>
          <w:trHeight w:val="448"/>
        </w:trPr>
        <w:tc>
          <w:tcPr>
            <w:tcW w:w="1633" w:type="dxa"/>
            <w:gridSpan w:val="2"/>
            <w:shd w:val="clear" w:color="auto" w:fill="4F81BD"/>
          </w:tcPr>
          <w:p w:rsidR="0036293C" w:rsidRPr="00FC51E7" w:rsidRDefault="0036293C" w:rsidP="00FC00B8">
            <w:pPr>
              <w:autoSpaceDE w:val="0"/>
              <w:autoSpaceDN w:val="0"/>
              <w:adjustRightInd w:val="0"/>
              <w:jc w:val="center"/>
              <w:rPr>
                <w:rFonts w:ascii="Calibri" w:hAnsi="Calibri"/>
                <w:b/>
                <w:bCs/>
                <w:color w:val="FFFFFF"/>
                <w:sz w:val="12"/>
                <w:szCs w:val="16"/>
              </w:rPr>
            </w:pPr>
            <w:r>
              <w:rPr>
                <w:b/>
                <w:color w:val="FFFFFF"/>
                <w:sz w:val="12"/>
                <w:szCs w:val="16"/>
              </w:rPr>
              <w:t>Type of goods</w:t>
            </w:r>
          </w:p>
        </w:tc>
        <w:tc>
          <w:tcPr>
            <w:tcW w:w="414" w:type="dxa"/>
            <w:tcBorders>
              <w:right w:val="nil"/>
            </w:tcBorders>
            <w:shd w:val="clear" w:color="auto" w:fill="4F81BD"/>
          </w:tcPr>
          <w:p w:rsidR="0036293C" w:rsidRPr="00FC51E7" w:rsidRDefault="0036293C" w:rsidP="00FC00B8">
            <w:pPr>
              <w:autoSpaceDE w:val="0"/>
              <w:autoSpaceDN w:val="0"/>
              <w:adjustRightInd w:val="0"/>
              <w:rPr>
                <w:rFonts w:ascii="Calibri" w:hAnsi="Calibri"/>
                <w:b/>
                <w:bCs/>
                <w:color w:val="FFFFFF"/>
                <w:sz w:val="12"/>
                <w:szCs w:val="16"/>
              </w:rPr>
            </w:pPr>
            <w:r>
              <w:rPr>
                <w:b/>
                <w:noProof/>
                <w:color w:val="FFFFFF"/>
                <w:sz w:val="12"/>
                <w:szCs w:val="16"/>
                <w:lang w:eastAsia="en-GB"/>
              </w:rPr>
              <w:drawing>
                <wp:inline distT="0" distB="0" distL="0" distR="0" wp14:anchorId="3964C58E" wp14:editId="69FBA430">
                  <wp:extent cx="180975" cy="24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882" w:type="dxa"/>
            <w:tcBorders>
              <w:left w:val="nil"/>
            </w:tcBorders>
            <w:shd w:val="clear" w:color="auto" w:fill="4F81BD"/>
          </w:tcPr>
          <w:p w:rsidR="0036293C" w:rsidRPr="00FC51E7" w:rsidRDefault="0036293C" w:rsidP="00FC00B8">
            <w:pPr>
              <w:autoSpaceDE w:val="0"/>
              <w:autoSpaceDN w:val="0"/>
              <w:adjustRightInd w:val="0"/>
              <w:jc w:val="right"/>
              <w:rPr>
                <w:rFonts w:ascii="Calibri" w:hAnsi="Calibri"/>
                <w:b/>
                <w:bCs/>
                <w:color w:val="FFFFFF"/>
                <w:sz w:val="12"/>
                <w:szCs w:val="16"/>
              </w:rPr>
            </w:pPr>
            <w:r w:rsidRPr="00FC51E7">
              <w:rPr>
                <w:rFonts w:ascii="Calibri" w:hAnsi="Calibri"/>
                <w:b/>
                <w:bCs/>
                <w:color w:val="FFFFFF"/>
                <w:sz w:val="12"/>
                <w:szCs w:val="16"/>
              </w:rPr>
              <w:t xml:space="preserve">Temperature </w:t>
            </w:r>
            <w:r>
              <w:rPr>
                <w:rFonts w:ascii="Calibri" w:hAnsi="Calibri"/>
                <w:b/>
                <w:bCs/>
                <w:color w:val="FFFFFF"/>
                <w:sz w:val="12"/>
                <w:szCs w:val="16"/>
              </w:rPr>
              <w:t>range</w:t>
            </w:r>
          </w:p>
          <w:p w:rsidR="0036293C" w:rsidRPr="00FC51E7" w:rsidRDefault="0036293C" w:rsidP="00FC00B8">
            <w:pPr>
              <w:autoSpaceDE w:val="0"/>
              <w:autoSpaceDN w:val="0"/>
              <w:adjustRightInd w:val="0"/>
              <w:jc w:val="right"/>
              <w:rPr>
                <w:rFonts w:ascii="Calibri" w:hAnsi="Calibri"/>
                <w:b/>
                <w:bCs/>
                <w:color w:val="FFFFFF"/>
                <w:sz w:val="12"/>
                <w:szCs w:val="16"/>
              </w:rPr>
            </w:pPr>
            <w:r w:rsidRPr="00FC51E7">
              <w:rPr>
                <w:rFonts w:ascii="Calibri" w:hAnsi="Calibri"/>
                <w:b/>
                <w:bCs/>
                <w:color w:val="FFFFFF"/>
                <w:sz w:val="12"/>
                <w:szCs w:val="16"/>
              </w:rPr>
              <w:t>[°C]</w:t>
            </w:r>
          </w:p>
        </w:tc>
        <w:tc>
          <w:tcPr>
            <w:tcW w:w="414" w:type="dxa"/>
            <w:tcBorders>
              <w:right w:val="nil"/>
            </w:tcBorders>
            <w:shd w:val="clear" w:color="auto" w:fill="4F81BD"/>
          </w:tcPr>
          <w:p w:rsidR="0036293C" w:rsidRPr="00FC51E7" w:rsidRDefault="0036293C" w:rsidP="00FC00B8">
            <w:pPr>
              <w:autoSpaceDE w:val="0"/>
              <w:autoSpaceDN w:val="0"/>
              <w:adjustRightInd w:val="0"/>
              <w:rPr>
                <w:rFonts w:ascii="Calibri" w:hAnsi="Calibri"/>
                <w:b/>
                <w:bCs/>
                <w:color w:val="FFFFFF"/>
                <w:sz w:val="12"/>
                <w:szCs w:val="16"/>
              </w:rPr>
            </w:pPr>
            <w:r>
              <w:rPr>
                <w:b/>
                <w:noProof/>
                <w:color w:val="FFFFFF"/>
                <w:sz w:val="12"/>
                <w:szCs w:val="16"/>
                <w:lang w:eastAsia="en-GB"/>
              </w:rPr>
              <w:drawing>
                <wp:inline distT="0" distB="0" distL="0" distR="0" wp14:anchorId="75D6A9D7" wp14:editId="473E863B">
                  <wp:extent cx="19050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3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873" w:type="dxa"/>
            <w:gridSpan w:val="2"/>
            <w:tcBorders>
              <w:left w:val="nil"/>
            </w:tcBorders>
            <w:shd w:val="clear" w:color="auto" w:fill="4F81BD"/>
          </w:tcPr>
          <w:p w:rsidR="0036293C" w:rsidRPr="00FC51E7" w:rsidRDefault="0036293C" w:rsidP="00FC00B8">
            <w:pPr>
              <w:autoSpaceDE w:val="0"/>
              <w:autoSpaceDN w:val="0"/>
              <w:adjustRightInd w:val="0"/>
              <w:jc w:val="right"/>
              <w:rPr>
                <w:rFonts w:ascii="Calibri" w:hAnsi="Calibri"/>
                <w:b/>
                <w:bCs/>
                <w:color w:val="FFFFFF"/>
                <w:sz w:val="12"/>
                <w:szCs w:val="16"/>
              </w:rPr>
            </w:pPr>
            <w:r w:rsidRPr="00FC51E7">
              <w:rPr>
                <w:rFonts w:ascii="Calibri" w:hAnsi="Calibri"/>
                <w:b/>
                <w:bCs/>
                <w:color w:val="FFFFFF"/>
                <w:sz w:val="12"/>
                <w:szCs w:val="16"/>
              </w:rPr>
              <w:t xml:space="preserve">Sensitivity </w:t>
            </w:r>
            <w:r w:rsidRPr="00FC51E7">
              <w:rPr>
                <w:rFonts w:ascii="Calibri" w:hAnsi="Calibri"/>
                <w:b/>
                <w:bCs/>
                <w:color w:val="FFFFFF"/>
                <w:sz w:val="12"/>
                <w:szCs w:val="16"/>
              </w:rPr>
              <w:br/>
              <w:t>to humidity</w:t>
            </w:r>
          </w:p>
        </w:tc>
        <w:tc>
          <w:tcPr>
            <w:tcW w:w="612" w:type="dxa"/>
            <w:tcBorders>
              <w:right w:val="nil"/>
            </w:tcBorders>
            <w:shd w:val="clear" w:color="auto" w:fill="4F81BD"/>
          </w:tcPr>
          <w:p w:rsidR="0036293C" w:rsidRPr="00FC51E7" w:rsidRDefault="0036293C" w:rsidP="00FC00B8">
            <w:pPr>
              <w:autoSpaceDE w:val="0"/>
              <w:autoSpaceDN w:val="0"/>
              <w:adjustRightInd w:val="0"/>
              <w:rPr>
                <w:rFonts w:ascii="Calibri" w:hAnsi="Calibri"/>
                <w:b/>
                <w:bCs/>
                <w:color w:val="FFFFFF"/>
                <w:sz w:val="12"/>
                <w:szCs w:val="16"/>
              </w:rPr>
            </w:pPr>
            <w:r>
              <w:rPr>
                <w:b/>
                <w:noProof/>
                <w:color w:val="FFFFFF"/>
                <w:sz w:val="12"/>
                <w:szCs w:val="16"/>
                <w:lang w:eastAsia="en-GB"/>
              </w:rPr>
              <w:drawing>
                <wp:inline distT="0" distB="0" distL="0" distR="0" wp14:anchorId="44B05947" wp14:editId="3C5DDC73">
                  <wp:extent cx="2476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3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828" w:type="dxa"/>
            <w:gridSpan w:val="2"/>
            <w:tcBorders>
              <w:left w:val="nil"/>
            </w:tcBorders>
            <w:shd w:val="clear" w:color="auto" w:fill="4F81BD"/>
          </w:tcPr>
          <w:p w:rsidR="0036293C" w:rsidRPr="00FC51E7" w:rsidRDefault="0036293C" w:rsidP="00FC00B8">
            <w:pPr>
              <w:autoSpaceDE w:val="0"/>
              <w:autoSpaceDN w:val="0"/>
              <w:adjustRightInd w:val="0"/>
              <w:rPr>
                <w:rFonts w:ascii="Calibri" w:hAnsi="Calibri"/>
                <w:b/>
                <w:bCs/>
                <w:color w:val="FFFFFF"/>
                <w:sz w:val="12"/>
                <w:szCs w:val="16"/>
              </w:rPr>
            </w:pPr>
            <w:r w:rsidRPr="00FC51E7">
              <w:rPr>
                <w:rFonts w:ascii="Calibri" w:hAnsi="Calibri"/>
                <w:b/>
                <w:bCs/>
                <w:color w:val="FFFFFF"/>
                <w:sz w:val="12"/>
                <w:szCs w:val="16"/>
              </w:rPr>
              <w:t>Recommended airflow rate [</w:t>
            </w:r>
            <w:r w:rsidRPr="00FC51E7">
              <w:rPr>
                <w:rFonts w:ascii="Calibri" w:hAnsi="Calibri"/>
                <w:bCs/>
                <w:color w:val="000000"/>
                <w:sz w:val="14"/>
                <w:szCs w:val="24"/>
              </w:rPr>
              <w:t>times/empty volume of container]</w:t>
            </w:r>
          </w:p>
        </w:tc>
      </w:tr>
      <w:tr w:rsidR="0036293C" w:rsidTr="00FC00B8">
        <w:trPr>
          <w:gridAfter w:val="1"/>
          <w:wAfter w:w="9" w:type="dxa"/>
          <w:trHeight w:val="448"/>
        </w:trPr>
        <w:tc>
          <w:tcPr>
            <w:tcW w:w="1397" w:type="dxa"/>
            <w:tcBorders>
              <w:right w:val="nil"/>
            </w:tcBorders>
            <w:shd w:val="clear" w:color="auto" w:fill="4F81BD"/>
          </w:tcPr>
          <w:p w:rsidR="0036293C" w:rsidRPr="00FC51E7" w:rsidRDefault="0036293C" w:rsidP="00FC00B8">
            <w:pPr>
              <w:autoSpaceDE w:val="0"/>
              <w:autoSpaceDN w:val="0"/>
              <w:adjustRightInd w:val="0"/>
              <w:rPr>
                <w:b/>
                <w:color w:val="FFFFFF"/>
                <w:sz w:val="12"/>
                <w:szCs w:val="16"/>
              </w:rPr>
            </w:pPr>
            <w:r w:rsidRPr="00FC51E7">
              <w:rPr>
                <w:b/>
                <w:color w:val="FFFFFF"/>
                <w:sz w:val="12"/>
                <w:szCs w:val="16"/>
              </w:rPr>
              <w:t>Hang</w:t>
            </w:r>
            <w:r>
              <w:rPr>
                <w:b/>
                <w:color w:val="FFFFFF"/>
                <w:sz w:val="12"/>
                <w:szCs w:val="16"/>
              </w:rPr>
              <w:t>ing</w:t>
            </w:r>
            <w:r w:rsidRPr="00FC51E7">
              <w:rPr>
                <w:b/>
                <w:color w:val="FFFFFF"/>
                <w:sz w:val="12"/>
                <w:szCs w:val="16"/>
              </w:rPr>
              <w:t xml:space="preserve"> meat</w:t>
            </w:r>
          </w:p>
        </w:tc>
        <w:tc>
          <w:tcPr>
            <w:tcW w:w="236" w:type="dxa"/>
            <w:tcBorders>
              <w:left w:val="nil"/>
              <w:bottom w:val="single" w:sz="4" w:space="0" w:color="FFFFFF"/>
            </w:tcBorders>
            <w:shd w:val="clear" w:color="auto" w:fill="4F81BD"/>
          </w:tcPr>
          <w:p w:rsidR="0036293C" w:rsidRPr="00FC51E7" w:rsidRDefault="0036293C" w:rsidP="00FC00B8">
            <w:pPr>
              <w:autoSpaceDE w:val="0"/>
              <w:autoSpaceDN w:val="0"/>
              <w:adjustRightInd w:val="0"/>
              <w:ind w:left="-108"/>
              <w:rPr>
                <w:rFonts w:ascii="Calibri" w:hAnsi="Calibri"/>
                <w:b/>
                <w:bCs/>
                <w:color w:val="000000"/>
                <w:szCs w:val="24"/>
                <w:u w:val="single"/>
              </w:rPr>
            </w:pPr>
          </w:p>
        </w:tc>
        <w:tc>
          <w:tcPr>
            <w:tcW w:w="1296" w:type="dxa"/>
            <w:gridSpan w:val="2"/>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-1/+1°C</w:t>
            </w:r>
          </w:p>
        </w:tc>
        <w:tc>
          <w:tcPr>
            <w:tcW w:w="1278" w:type="dxa"/>
            <w:gridSpan w:val="2"/>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Yes</w:t>
            </w:r>
          </w:p>
        </w:tc>
        <w:tc>
          <w:tcPr>
            <w:tcW w:w="1440" w:type="dxa"/>
            <w:gridSpan w:val="3"/>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 xml:space="preserve">40 – 60 </w:t>
            </w:r>
          </w:p>
        </w:tc>
      </w:tr>
      <w:tr w:rsidR="0036293C" w:rsidTr="00FC00B8">
        <w:trPr>
          <w:gridAfter w:val="1"/>
          <w:wAfter w:w="9" w:type="dxa"/>
          <w:trHeight w:val="448"/>
        </w:trPr>
        <w:tc>
          <w:tcPr>
            <w:tcW w:w="1397" w:type="dxa"/>
            <w:tcBorders>
              <w:right w:val="nil"/>
            </w:tcBorders>
            <w:shd w:val="clear" w:color="auto" w:fill="4F81BD"/>
          </w:tcPr>
          <w:p w:rsidR="0036293C" w:rsidRPr="00FC51E7" w:rsidRDefault="0036293C" w:rsidP="00FC00B8">
            <w:pPr>
              <w:autoSpaceDE w:val="0"/>
              <w:autoSpaceDN w:val="0"/>
              <w:adjustRightInd w:val="0"/>
              <w:rPr>
                <w:b/>
                <w:color w:val="FFFFFF"/>
                <w:sz w:val="12"/>
                <w:szCs w:val="16"/>
              </w:rPr>
            </w:pPr>
            <w:r w:rsidRPr="00FC51E7">
              <w:rPr>
                <w:b/>
                <w:color w:val="FFFFFF"/>
                <w:sz w:val="12"/>
                <w:szCs w:val="16"/>
              </w:rPr>
              <w:t>Prepared/smoked foods Unpackaged</w:t>
            </w:r>
          </w:p>
        </w:tc>
        <w:tc>
          <w:tcPr>
            <w:tcW w:w="236" w:type="dxa"/>
            <w:tcBorders>
              <w:left w:val="nil"/>
              <w:bottom w:val="single" w:sz="4" w:space="0" w:color="FFFFFF"/>
            </w:tcBorders>
            <w:shd w:val="clear" w:color="auto" w:fill="4F81BD"/>
          </w:tcPr>
          <w:p w:rsidR="0036293C" w:rsidRPr="00FC51E7" w:rsidRDefault="0036293C" w:rsidP="00FC00B8">
            <w:pPr>
              <w:autoSpaceDE w:val="0"/>
              <w:autoSpaceDN w:val="0"/>
              <w:adjustRightInd w:val="0"/>
              <w:ind w:left="-108"/>
              <w:rPr>
                <w:rFonts w:ascii="Calibri" w:hAnsi="Calibri"/>
                <w:b/>
                <w:bCs/>
                <w:color w:val="000000"/>
                <w:szCs w:val="24"/>
                <w:u w:val="single"/>
              </w:rPr>
            </w:pPr>
          </w:p>
        </w:tc>
        <w:tc>
          <w:tcPr>
            <w:tcW w:w="1296" w:type="dxa"/>
            <w:gridSpan w:val="2"/>
            <w:shd w:val="clear" w:color="auto" w:fill="auto"/>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0/+2°C</w:t>
            </w:r>
          </w:p>
        </w:tc>
        <w:tc>
          <w:tcPr>
            <w:tcW w:w="1278" w:type="dxa"/>
            <w:gridSpan w:val="2"/>
            <w:shd w:val="clear" w:color="auto" w:fill="auto"/>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No for packaged products</w:t>
            </w:r>
          </w:p>
        </w:tc>
        <w:tc>
          <w:tcPr>
            <w:tcW w:w="1440" w:type="dxa"/>
            <w:gridSpan w:val="3"/>
            <w:shd w:val="clear" w:color="auto" w:fill="auto"/>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 xml:space="preserve">40 – 50 </w:t>
            </w:r>
          </w:p>
        </w:tc>
      </w:tr>
      <w:tr w:rsidR="0036293C" w:rsidTr="00FC00B8">
        <w:trPr>
          <w:gridAfter w:val="1"/>
          <w:wAfter w:w="9" w:type="dxa"/>
          <w:trHeight w:val="440"/>
        </w:trPr>
        <w:tc>
          <w:tcPr>
            <w:tcW w:w="1397" w:type="dxa"/>
            <w:tcBorders>
              <w:right w:val="nil"/>
            </w:tcBorders>
            <w:shd w:val="clear" w:color="auto" w:fill="4F81BD"/>
          </w:tcPr>
          <w:p w:rsidR="0036293C" w:rsidRPr="00FC51E7" w:rsidRDefault="0036293C" w:rsidP="00FC00B8">
            <w:pPr>
              <w:autoSpaceDE w:val="0"/>
              <w:autoSpaceDN w:val="0"/>
              <w:adjustRightInd w:val="0"/>
              <w:rPr>
                <w:b/>
                <w:color w:val="FFFFFF"/>
                <w:sz w:val="12"/>
                <w:szCs w:val="16"/>
              </w:rPr>
            </w:pPr>
            <w:r w:rsidRPr="00FC51E7">
              <w:rPr>
                <w:b/>
                <w:color w:val="FFFFFF"/>
                <w:sz w:val="12"/>
                <w:szCs w:val="16"/>
              </w:rPr>
              <w:t>Dairy products</w:t>
            </w:r>
          </w:p>
        </w:tc>
        <w:tc>
          <w:tcPr>
            <w:tcW w:w="236" w:type="dxa"/>
            <w:tcBorders>
              <w:left w:val="nil"/>
              <w:bottom w:val="single" w:sz="4" w:space="0" w:color="FFFFFF"/>
            </w:tcBorders>
            <w:shd w:val="clear" w:color="auto" w:fill="4F81BD"/>
          </w:tcPr>
          <w:p w:rsidR="0036293C" w:rsidRPr="00FC51E7" w:rsidRDefault="0036293C" w:rsidP="00FC00B8">
            <w:pPr>
              <w:autoSpaceDE w:val="0"/>
              <w:autoSpaceDN w:val="0"/>
              <w:adjustRightInd w:val="0"/>
              <w:ind w:left="-108"/>
              <w:rPr>
                <w:rFonts w:ascii="Calibri" w:hAnsi="Calibri"/>
                <w:b/>
                <w:bCs/>
                <w:color w:val="000000"/>
                <w:szCs w:val="24"/>
                <w:u w:val="single"/>
              </w:rPr>
            </w:pPr>
          </w:p>
        </w:tc>
        <w:tc>
          <w:tcPr>
            <w:tcW w:w="1296" w:type="dxa"/>
            <w:gridSpan w:val="2"/>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+2/+6°C</w:t>
            </w:r>
          </w:p>
        </w:tc>
        <w:tc>
          <w:tcPr>
            <w:tcW w:w="1278" w:type="dxa"/>
            <w:gridSpan w:val="2"/>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Yes</w:t>
            </w:r>
          </w:p>
        </w:tc>
        <w:tc>
          <w:tcPr>
            <w:tcW w:w="1440" w:type="dxa"/>
            <w:gridSpan w:val="3"/>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 xml:space="preserve">40 – 50 </w:t>
            </w:r>
          </w:p>
        </w:tc>
      </w:tr>
      <w:tr w:rsidR="0036293C" w:rsidTr="00FC00B8">
        <w:trPr>
          <w:gridAfter w:val="1"/>
          <w:wAfter w:w="9" w:type="dxa"/>
          <w:trHeight w:val="448"/>
        </w:trPr>
        <w:tc>
          <w:tcPr>
            <w:tcW w:w="1397" w:type="dxa"/>
            <w:tcBorders>
              <w:right w:val="nil"/>
            </w:tcBorders>
            <w:shd w:val="clear" w:color="auto" w:fill="4F81BD"/>
          </w:tcPr>
          <w:p w:rsidR="0036293C" w:rsidRPr="00FC51E7" w:rsidRDefault="0036293C" w:rsidP="00FC00B8">
            <w:pPr>
              <w:autoSpaceDE w:val="0"/>
              <w:autoSpaceDN w:val="0"/>
              <w:adjustRightInd w:val="0"/>
              <w:rPr>
                <w:b/>
                <w:color w:val="FFFFFF"/>
                <w:sz w:val="12"/>
                <w:szCs w:val="16"/>
              </w:rPr>
            </w:pPr>
            <w:r w:rsidRPr="00FC51E7">
              <w:rPr>
                <w:b/>
                <w:color w:val="FFFFFF"/>
                <w:sz w:val="12"/>
                <w:szCs w:val="16"/>
              </w:rPr>
              <w:t>Fruits and vegetables</w:t>
            </w:r>
          </w:p>
        </w:tc>
        <w:tc>
          <w:tcPr>
            <w:tcW w:w="236" w:type="dxa"/>
            <w:tcBorders>
              <w:left w:val="nil"/>
              <w:bottom w:val="single" w:sz="4" w:space="0" w:color="FFFFFF"/>
            </w:tcBorders>
            <w:shd w:val="clear" w:color="auto" w:fill="4F81BD"/>
          </w:tcPr>
          <w:p w:rsidR="0036293C" w:rsidRPr="00FC51E7" w:rsidRDefault="0036293C" w:rsidP="00FC00B8">
            <w:pPr>
              <w:autoSpaceDE w:val="0"/>
              <w:autoSpaceDN w:val="0"/>
              <w:adjustRightInd w:val="0"/>
              <w:ind w:left="-108"/>
              <w:rPr>
                <w:rFonts w:ascii="Calibri" w:hAnsi="Calibri"/>
                <w:b/>
                <w:bCs/>
                <w:color w:val="000000"/>
                <w:szCs w:val="24"/>
                <w:u w:val="single"/>
              </w:rPr>
            </w:pPr>
          </w:p>
        </w:tc>
        <w:tc>
          <w:tcPr>
            <w:tcW w:w="1296" w:type="dxa"/>
            <w:gridSpan w:val="2"/>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+6/+8°C</w:t>
            </w:r>
          </w:p>
        </w:tc>
        <w:tc>
          <w:tcPr>
            <w:tcW w:w="1278" w:type="dxa"/>
            <w:gridSpan w:val="2"/>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Yes</w:t>
            </w:r>
          </w:p>
        </w:tc>
        <w:tc>
          <w:tcPr>
            <w:tcW w:w="1440" w:type="dxa"/>
            <w:gridSpan w:val="3"/>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 xml:space="preserve">55 – 70 </w:t>
            </w:r>
          </w:p>
        </w:tc>
      </w:tr>
      <w:tr w:rsidR="0036293C" w:rsidTr="00FC00B8">
        <w:trPr>
          <w:gridAfter w:val="1"/>
          <w:wAfter w:w="9" w:type="dxa"/>
          <w:trHeight w:val="448"/>
        </w:trPr>
        <w:tc>
          <w:tcPr>
            <w:tcW w:w="1397" w:type="dxa"/>
            <w:tcBorders>
              <w:right w:val="nil"/>
            </w:tcBorders>
            <w:shd w:val="clear" w:color="auto" w:fill="4F81BD"/>
          </w:tcPr>
          <w:p w:rsidR="0036293C" w:rsidRPr="00FC51E7" w:rsidRDefault="0036293C" w:rsidP="00FC00B8">
            <w:pPr>
              <w:autoSpaceDE w:val="0"/>
              <w:autoSpaceDN w:val="0"/>
              <w:adjustRightInd w:val="0"/>
              <w:rPr>
                <w:b/>
                <w:color w:val="FFFFFF"/>
                <w:sz w:val="12"/>
                <w:szCs w:val="16"/>
              </w:rPr>
            </w:pPr>
            <w:r w:rsidRPr="00FC51E7">
              <w:rPr>
                <w:b/>
                <w:color w:val="FFFFFF"/>
                <w:sz w:val="12"/>
                <w:szCs w:val="16"/>
              </w:rPr>
              <w:t>Bananas</w:t>
            </w:r>
          </w:p>
        </w:tc>
        <w:tc>
          <w:tcPr>
            <w:tcW w:w="236" w:type="dxa"/>
            <w:tcBorders>
              <w:left w:val="nil"/>
              <w:bottom w:val="single" w:sz="4" w:space="0" w:color="FFFFFF"/>
            </w:tcBorders>
            <w:shd w:val="clear" w:color="auto" w:fill="4F81BD"/>
          </w:tcPr>
          <w:p w:rsidR="0036293C" w:rsidRPr="00FC51E7" w:rsidRDefault="0036293C" w:rsidP="00FC00B8">
            <w:pPr>
              <w:autoSpaceDE w:val="0"/>
              <w:autoSpaceDN w:val="0"/>
              <w:adjustRightInd w:val="0"/>
              <w:ind w:left="-108"/>
              <w:rPr>
                <w:rFonts w:ascii="Calibri" w:hAnsi="Calibri"/>
                <w:b/>
                <w:bCs/>
                <w:color w:val="000000"/>
                <w:szCs w:val="24"/>
                <w:u w:val="single"/>
              </w:rPr>
            </w:pPr>
          </w:p>
        </w:tc>
        <w:tc>
          <w:tcPr>
            <w:tcW w:w="1296" w:type="dxa"/>
            <w:gridSpan w:val="2"/>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+13°C</w:t>
            </w:r>
          </w:p>
        </w:tc>
        <w:tc>
          <w:tcPr>
            <w:tcW w:w="1278" w:type="dxa"/>
            <w:gridSpan w:val="2"/>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average</w:t>
            </w:r>
          </w:p>
        </w:tc>
        <w:tc>
          <w:tcPr>
            <w:tcW w:w="1440" w:type="dxa"/>
            <w:gridSpan w:val="3"/>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 xml:space="preserve">60 – 90 </w:t>
            </w:r>
          </w:p>
        </w:tc>
      </w:tr>
      <w:tr w:rsidR="0036293C" w:rsidTr="00FC00B8">
        <w:trPr>
          <w:gridAfter w:val="1"/>
          <w:wAfter w:w="9" w:type="dxa"/>
          <w:trHeight w:val="448"/>
        </w:trPr>
        <w:tc>
          <w:tcPr>
            <w:tcW w:w="1397" w:type="dxa"/>
            <w:tcBorders>
              <w:right w:val="nil"/>
            </w:tcBorders>
            <w:shd w:val="clear" w:color="auto" w:fill="4F81BD"/>
          </w:tcPr>
          <w:p w:rsidR="0036293C" w:rsidRPr="00FC51E7" w:rsidRDefault="0036293C" w:rsidP="00FC00B8">
            <w:pPr>
              <w:autoSpaceDE w:val="0"/>
              <w:autoSpaceDN w:val="0"/>
              <w:adjustRightInd w:val="0"/>
              <w:rPr>
                <w:b/>
                <w:color w:val="FFFFFF"/>
                <w:sz w:val="12"/>
                <w:szCs w:val="16"/>
              </w:rPr>
            </w:pPr>
          </w:p>
        </w:tc>
        <w:tc>
          <w:tcPr>
            <w:tcW w:w="236" w:type="dxa"/>
            <w:tcBorders>
              <w:left w:val="nil"/>
              <w:bottom w:val="single" w:sz="4" w:space="0" w:color="FFFFFF"/>
            </w:tcBorders>
            <w:shd w:val="clear" w:color="auto" w:fill="4F81BD"/>
          </w:tcPr>
          <w:p w:rsidR="0036293C" w:rsidRPr="00FC51E7" w:rsidRDefault="0036293C" w:rsidP="00FC00B8">
            <w:pPr>
              <w:autoSpaceDE w:val="0"/>
              <w:autoSpaceDN w:val="0"/>
              <w:adjustRightInd w:val="0"/>
              <w:ind w:left="-108"/>
              <w:rPr>
                <w:rFonts w:ascii="Calibri" w:hAnsi="Calibri"/>
                <w:b/>
                <w:bCs/>
                <w:color w:val="000000"/>
                <w:szCs w:val="24"/>
                <w:u w:val="single"/>
              </w:rPr>
            </w:pPr>
          </w:p>
        </w:tc>
        <w:tc>
          <w:tcPr>
            <w:tcW w:w="1296" w:type="dxa"/>
            <w:gridSpan w:val="2"/>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p>
        </w:tc>
        <w:tc>
          <w:tcPr>
            <w:tcW w:w="1278" w:type="dxa"/>
            <w:gridSpan w:val="2"/>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p>
        </w:tc>
        <w:tc>
          <w:tcPr>
            <w:tcW w:w="1440" w:type="dxa"/>
            <w:gridSpan w:val="3"/>
            <w:shd w:val="clear" w:color="auto" w:fill="DBE5F1"/>
            <w:vAlign w:val="center"/>
          </w:tcPr>
          <w:p w:rsidR="0036293C" w:rsidRPr="00FC51E7" w:rsidRDefault="0036293C" w:rsidP="00FC00B8">
            <w:pPr>
              <w:autoSpaceDE w:val="0"/>
              <w:autoSpaceDN w:val="0"/>
              <w:adjustRightInd w:val="0"/>
              <w:jc w:val="center"/>
              <w:rPr>
                <w:rFonts w:ascii="Calibri" w:hAnsi="Calibri"/>
                <w:bCs/>
                <w:color w:val="000000"/>
                <w:sz w:val="14"/>
                <w:szCs w:val="24"/>
              </w:rPr>
            </w:pPr>
          </w:p>
        </w:tc>
      </w:tr>
      <w:tr w:rsidR="0036293C" w:rsidTr="00FC00B8">
        <w:trPr>
          <w:gridAfter w:val="1"/>
          <w:wAfter w:w="9" w:type="dxa"/>
          <w:trHeight w:val="448"/>
        </w:trPr>
        <w:tc>
          <w:tcPr>
            <w:tcW w:w="1397" w:type="dxa"/>
            <w:tcBorders>
              <w:right w:val="nil"/>
            </w:tcBorders>
            <w:shd w:val="clear" w:color="auto" w:fill="4F81BD"/>
          </w:tcPr>
          <w:p w:rsidR="0036293C" w:rsidRPr="00FC51E7" w:rsidRDefault="0036293C" w:rsidP="00FC00B8">
            <w:pPr>
              <w:autoSpaceDE w:val="0"/>
              <w:autoSpaceDN w:val="0"/>
              <w:adjustRightInd w:val="0"/>
              <w:rPr>
                <w:b/>
                <w:color w:val="FFFFFF"/>
                <w:sz w:val="12"/>
                <w:szCs w:val="16"/>
              </w:rPr>
            </w:pPr>
            <w:r w:rsidRPr="00FC51E7">
              <w:rPr>
                <w:b/>
                <w:color w:val="FFFFFF"/>
                <w:sz w:val="12"/>
                <w:szCs w:val="16"/>
              </w:rPr>
              <w:t>Frozen foods/ice cream</w:t>
            </w:r>
          </w:p>
        </w:tc>
        <w:tc>
          <w:tcPr>
            <w:tcW w:w="236" w:type="dxa"/>
            <w:tcBorders>
              <w:left w:val="nil"/>
            </w:tcBorders>
            <w:shd w:val="clear" w:color="auto" w:fill="4F81BD"/>
          </w:tcPr>
          <w:p w:rsidR="0036293C" w:rsidRPr="00FC51E7" w:rsidRDefault="0036293C" w:rsidP="00FC00B8">
            <w:pPr>
              <w:autoSpaceDE w:val="0"/>
              <w:autoSpaceDN w:val="0"/>
              <w:adjustRightInd w:val="0"/>
              <w:ind w:left="-108"/>
              <w:rPr>
                <w:rFonts w:ascii="Calibri" w:hAnsi="Calibri"/>
                <w:b/>
                <w:bCs/>
                <w:color w:val="000000"/>
                <w:szCs w:val="24"/>
                <w:u w:val="single"/>
              </w:rPr>
            </w:pPr>
          </w:p>
        </w:tc>
        <w:tc>
          <w:tcPr>
            <w:tcW w:w="1296" w:type="dxa"/>
            <w:gridSpan w:val="2"/>
            <w:shd w:val="clear" w:color="auto" w:fill="auto"/>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Pr>
                <w:rFonts w:ascii="Calibri" w:hAnsi="Calibri" w:cs="Calibri"/>
                <w:bCs/>
                <w:color w:val="000000"/>
                <w:sz w:val="14"/>
                <w:szCs w:val="24"/>
              </w:rPr>
              <w:t>&lt; -</w:t>
            </w:r>
            <w:r>
              <w:rPr>
                <w:rFonts w:ascii="Calibri" w:hAnsi="Calibri"/>
                <w:bCs/>
                <w:color w:val="000000"/>
                <w:sz w:val="14"/>
                <w:szCs w:val="24"/>
              </w:rPr>
              <w:t>18</w:t>
            </w:r>
            <w:r w:rsidRPr="00FC51E7">
              <w:rPr>
                <w:rFonts w:ascii="Calibri" w:hAnsi="Calibri"/>
                <w:bCs/>
                <w:color w:val="000000"/>
                <w:sz w:val="14"/>
                <w:szCs w:val="24"/>
              </w:rPr>
              <w:t>°C</w:t>
            </w:r>
          </w:p>
        </w:tc>
        <w:tc>
          <w:tcPr>
            <w:tcW w:w="1278" w:type="dxa"/>
            <w:gridSpan w:val="2"/>
            <w:shd w:val="clear" w:color="auto" w:fill="auto"/>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sidRPr="00FC51E7">
              <w:rPr>
                <w:rFonts w:ascii="Calibri" w:hAnsi="Calibri"/>
                <w:bCs/>
                <w:color w:val="000000"/>
                <w:sz w:val="14"/>
                <w:szCs w:val="24"/>
              </w:rPr>
              <w:t>No</w:t>
            </w:r>
          </w:p>
        </w:tc>
        <w:tc>
          <w:tcPr>
            <w:tcW w:w="1440" w:type="dxa"/>
            <w:gridSpan w:val="3"/>
            <w:shd w:val="clear" w:color="auto" w:fill="auto"/>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Pr>
                <w:rFonts w:ascii="Calibri" w:hAnsi="Calibri"/>
                <w:bCs/>
                <w:color w:val="000000"/>
                <w:sz w:val="14"/>
                <w:szCs w:val="24"/>
              </w:rPr>
              <w:t xml:space="preserve">40 – 60 </w:t>
            </w:r>
          </w:p>
        </w:tc>
      </w:tr>
      <w:tr w:rsidR="0036293C" w:rsidTr="00FC00B8">
        <w:trPr>
          <w:gridAfter w:val="1"/>
          <w:wAfter w:w="9" w:type="dxa"/>
          <w:trHeight w:val="448"/>
        </w:trPr>
        <w:tc>
          <w:tcPr>
            <w:tcW w:w="1397" w:type="dxa"/>
            <w:tcBorders>
              <w:right w:val="nil"/>
            </w:tcBorders>
            <w:shd w:val="clear" w:color="auto" w:fill="4F81BD"/>
          </w:tcPr>
          <w:p w:rsidR="0036293C" w:rsidRPr="00FC51E7" w:rsidRDefault="0036293C" w:rsidP="00FC00B8">
            <w:pPr>
              <w:autoSpaceDE w:val="0"/>
              <w:autoSpaceDN w:val="0"/>
              <w:adjustRightInd w:val="0"/>
              <w:rPr>
                <w:b/>
                <w:color w:val="FFFFFF"/>
                <w:sz w:val="12"/>
                <w:szCs w:val="16"/>
              </w:rPr>
            </w:pPr>
            <w:r>
              <w:rPr>
                <w:b/>
                <w:color w:val="FFFFFF"/>
                <w:sz w:val="12"/>
                <w:szCs w:val="16"/>
              </w:rPr>
              <w:t>frozen pharmaceuticals</w:t>
            </w:r>
          </w:p>
        </w:tc>
        <w:tc>
          <w:tcPr>
            <w:tcW w:w="236" w:type="dxa"/>
            <w:tcBorders>
              <w:left w:val="nil"/>
            </w:tcBorders>
            <w:shd w:val="clear" w:color="auto" w:fill="4F81BD"/>
          </w:tcPr>
          <w:p w:rsidR="0036293C" w:rsidRPr="00FC51E7" w:rsidRDefault="0036293C" w:rsidP="00FC00B8">
            <w:pPr>
              <w:autoSpaceDE w:val="0"/>
              <w:autoSpaceDN w:val="0"/>
              <w:adjustRightInd w:val="0"/>
              <w:ind w:left="-108"/>
              <w:rPr>
                <w:rFonts w:ascii="Calibri" w:hAnsi="Calibri"/>
                <w:b/>
                <w:bCs/>
                <w:color w:val="000000"/>
                <w:szCs w:val="24"/>
                <w:u w:val="single"/>
              </w:rPr>
            </w:pPr>
          </w:p>
        </w:tc>
        <w:tc>
          <w:tcPr>
            <w:tcW w:w="1296" w:type="dxa"/>
            <w:gridSpan w:val="2"/>
            <w:shd w:val="clear" w:color="auto" w:fill="auto"/>
            <w:vAlign w:val="center"/>
          </w:tcPr>
          <w:p w:rsidR="0036293C" w:rsidRDefault="0036293C" w:rsidP="00FC00B8">
            <w:pPr>
              <w:autoSpaceDE w:val="0"/>
              <w:autoSpaceDN w:val="0"/>
              <w:adjustRightInd w:val="0"/>
              <w:jc w:val="center"/>
              <w:rPr>
                <w:rFonts w:ascii="Calibri" w:hAnsi="Calibri" w:cs="Calibri"/>
                <w:bCs/>
                <w:color w:val="000000"/>
                <w:sz w:val="14"/>
                <w:szCs w:val="24"/>
              </w:rPr>
            </w:pPr>
            <w:r>
              <w:rPr>
                <w:rFonts w:ascii="Calibri" w:hAnsi="Calibri" w:cs="Calibri"/>
                <w:bCs/>
                <w:color w:val="000000"/>
                <w:sz w:val="14"/>
                <w:szCs w:val="24"/>
              </w:rPr>
              <w:t xml:space="preserve">&lt; -18 °C </w:t>
            </w:r>
          </w:p>
        </w:tc>
        <w:tc>
          <w:tcPr>
            <w:tcW w:w="1278" w:type="dxa"/>
            <w:gridSpan w:val="2"/>
            <w:shd w:val="clear" w:color="auto" w:fill="auto"/>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Pr>
                <w:rFonts w:ascii="Calibri" w:hAnsi="Calibri"/>
                <w:bCs/>
                <w:color w:val="000000"/>
                <w:sz w:val="14"/>
                <w:szCs w:val="24"/>
              </w:rPr>
              <w:t>low</w:t>
            </w:r>
          </w:p>
        </w:tc>
        <w:tc>
          <w:tcPr>
            <w:tcW w:w="1440" w:type="dxa"/>
            <w:gridSpan w:val="3"/>
            <w:shd w:val="clear" w:color="auto" w:fill="auto"/>
            <w:vAlign w:val="center"/>
          </w:tcPr>
          <w:p w:rsidR="0036293C" w:rsidRPr="00CA5AFA" w:rsidRDefault="0036293C" w:rsidP="00FC00B8">
            <w:pPr>
              <w:autoSpaceDE w:val="0"/>
              <w:autoSpaceDN w:val="0"/>
              <w:adjustRightInd w:val="0"/>
              <w:jc w:val="center"/>
              <w:rPr>
                <w:rFonts w:ascii="Calibri" w:hAnsi="Calibri"/>
                <w:bCs/>
                <w:color w:val="000000"/>
                <w:sz w:val="14"/>
                <w:szCs w:val="24"/>
                <w:vertAlign w:val="superscript"/>
              </w:rPr>
            </w:pPr>
            <w:r>
              <w:rPr>
                <w:rFonts w:ascii="Calibri" w:hAnsi="Calibri"/>
                <w:bCs/>
                <w:color w:val="000000"/>
                <w:sz w:val="14"/>
                <w:szCs w:val="24"/>
              </w:rPr>
              <w:t>40 – 60*</w:t>
            </w:r>
            <w:r>
              <w:rPr>
                <w:rFonts w:ascii="Calibri" w:hAnsi="Calibri"/>
                <w:bCs/>
                <w:color w:val="000000"/>
                <w:sz w:val="14"/>
                <w:szCs w:val="24"/>
                <w:vertAlign w:val="superscript"/>
              </w:rPr>
              <w:t>)</w:t>
            </w:r>
          </w:p>
        </w:tc>
      </w:tr>
      <w:tr w:rsidR="0036293C" w:rsidTr="00FC00B8">
        <w:trPr>
          <w:gridAfter w:val="1"/>
          <w:wAfter w:w="9" w:type="dxa"/>
          <w:trHeight w:val="448"/>
        </w:trPr>
        <w:tc>
          <w:tcPr>
            <w:tcW w:w="1397" w:type="dxa"/>
            <w:tcBorders>
              <w:right w:val="nil"/>
            </w:tcBorders>
            <w:shd w:val="clear" w:color="auto" w:fill="4F81BD"/>
          </w:tcPr>
          <w:p w:rsidR="0036293C" w:rsidRPr="00FC51E7" w:rsidRDefault="0036293C" w:rsidP="00FC00B8">
            <w:pPr>
              <w:autoSpaceDE w:val="0"/>
              <w:autoSpaceDN w:val="0"/>
              <w:adjustRightInd w:val="0"/>
              <w:rPr>
                <w:b/>
                <w:color w:val="FFFFFF"/>
                <w:sz w:val="12"/>
                <w:szCs w:val="16"/>
              </w:rPr>
            </w:pPr>
            <w:r>
              <w:rPr>
                <w:b/>
                <w:color w:val="FFFFFF"/>
                <w:sz w:val="12"/>
                <w:szCs w:val="16"/>
              </w:rPr>
              <w:t xml:space="preserve">Pharmaceuticals (e.g. vaccine, insulin) </w:t>
            </w:r>
          </w:p>
        </w:tc>
        <w:tc>
          <w:tcPr>
            <w:tcW w:w="236" w:type="dxa"/>
            <w:tcBorders>
              <w:left w:val="nil"/>
            </w:tcBorders>
            <w:shd w:val="clear" w:color="auto" w:fill="4F81BD"/>
          </w:tcPr>
          <w:p w:rsidR="0036293C" w:rsidRPr="00FC51E7" w:rsidRDefault="0036293C" w:rsidP="00FC00B8">
            <w:pPr>
              <w:autoSpaceDE w:val="0"/>
              <w:autoSpaceDN w:val="0"/>
              <w:adjustRightInd w:val="0"/>
              <w:ind w:left="-108"/>
              <w:rPr>
                <w:rFonts w:ascii="Calibri" w:hAnsi="Calibri"/>
                <w:b/>
                <w:bCs/>
                <w:color w:val="000000"/>
                <w:szCs w:val="24"/>
                <w:u w:val="single"/>
              </w:rPr>
            </w:pPr>
          </w:p>
        </w:tc>
        <w:tc>
          <w:tcPr>
            <w:tcW w:w="1296" w:type="dxa"/>
            <w:gridSpan w:val="2"/>
            <w:shd w:val="clear" w:color="auto" w:fill="auto"/>
            <w:vAlign w:val="center"/>
          </w:tcPr>
          <w:p w:rsidR="0036293C" w:rsidRDefault="0036293C" w:rsidP="00FC00B8">
            <w:pPr>
              <w:autoSpaceDE w:val="0"/>
              <w:autoSpaceDN w:val="0"/>
              <w:adjustRightInd w:val="0"/>
              <w:jc w:val="center"/>
              <w:rPr>
                <w:rFonts w:ascii="Calibri" w:hAnsi="Calibri"/>
                <w:bCs/>
                <w:color w:val="000000"/>
                <w:sz w:val="14"/>
                <w:szCs w:val="24"/>
              </w:rPr>
            </w:pPr>
            <w:r>
              <w:rPr>
                <w:rFonts w:ascii="Calibri" w:hAnsi="Calibri"/>
                <w:bCs/>
                <w:color w:val="000000"/>
                <w:sz w:val="14"/>
                <w:szCs w:val="24"/>
              </w:rPr>
              <w:t xml:space="preserve">+2/+8 °C </w:t>
            </w:r>
          </w:p>
        </w:tc>
        <w:tc>
          <w:tcPr>
            <w:tcW w:w="1278" w:type="dxa"/>
            <w:gridSpan w:val="2"/>
            <w:shd w:val="clear" w:color="auto" w:fill="auto"/>
            <w:vAlign w:val="center"/>
          </w:tcPr>
          <w:p w:rsidR="0036293C" w:rsidRPr="00FC51E7" w:rsidRDefault="0036293C" w:rsidP="00FC00B8">
            <w:pPr>
              <w:autoSpaceDE w:val="0"/>
              <w:autoSpaceDN w:val="0"/>
              <w:adjustRightInd w:val="0"/>
              <w:jc w:val="center"/>
              <w:rPr>
                <w:rFonts w:ascii="Calibri" w:hAnsi="Calibri"/>
                <w:bCs/>
                <w:color w:val="000000"/>
                <w:sz w:val="14"/>
                <w:szCs w:val="24"/>
              </w:rPr>
            </w:pPr>
            <w:r>
              <w:rPr>
                <w:rFonts w:ascii="Calibri" w:hAnsi="Calibri"/>
                <w:bCs/>
                <w:color w:val="000000"/>
                <w:sz w:val="14"/>
                <w:szCs w:val="24"/>
              </w:rPr>
              <w:t>low</w:t>
            </w:r>
          </w:p>
        </w:tc>
        <w:tc>
          <w:tcPr>
            <w:tcW w:w="1440" w:type="dxa"/>
            <w:gridSpan w:val="3"/>
            <w:shd w:val="clear" w:color="auto" w:fill="auto"/>
            <w:vAlign w:val="center"/>
          </w:tcPr>
          <w:p w:rsidR="0036293C" w:rsidRPr="00CA5AFA" w:rsidRDefault="0036293C" w:rsidP="00FC00B8">
            <w:pPr>
              <w:autoSpaceDE w:val="0"/>
              <w:autoSpaceDN w:val="0"/>
              <w:adjustRightInd w:val="0"/>
              <w:jc w:val="center"/>
              <w:rPr>
                <w:rFonts w:ascii="Calibri" w:hAnsi="Calibri"/>
                <w:bCs/>
                <w:color w:val="000000"/>
                <w:sz w:val="14"/>
                <w:szCs w:val="24"/>
                <w:vertAlign w:val="superscript"/>
              </w:rPr>
            </w:pPr>
            <w:r>
              <w:rPr>
                <w:rFonts w:ascii="Calibri" w:hAnsi="Calibri"/>
                <w:bCs/>
                <w:color w:val="000000"/>
                <w:sz w:val="14"/>
                <w:szCs w:val="24"/>
              </w:rPr>
              <w:t>60– 90 *</w:t>
            </w:r>
            <w:r>
              <w:rPr>
                <w:rFonts w:ascii="Calibri" w:hAnsi="Calibri"/>
                <w:bCs/>
                <w:color w:val="000000"/>
                <w:sz w:val="14"/>
                <w:szCs w:val="24"/>
                <w:vertAlign w:val="superscript"/>
              </w:rPr>
              <w:t>)</w:t>
            </w:r>
          </w:p>
        </w:tc>
      </w:tr>
      <w:tr w:rsidR="0036293C" w:rsidTr="00FC00B8">
        <w:trPr>
          <w:gridAfter w:val="1"/>
          <w:wAfter w:w="9" w:type="dxa"/>
          <w:trHeight w:val="448"/>
        </w:trPr>
        <w:tc>
          <w:tcPr>
            <w:tcW w:w="1397" w:type="dxa"/>
            <w:tcBorders>
              <w:right w:val="nil"/>
            </w:tcBorders>
            <w:shd w:val="clear" w:color="auto" w:fill="4F81BD"/>
          </w:tcPr>
          <w:p w:rsidR="0036293C" w:rsidRDefault="0036293C" w:rsidP="00FC00B8">
            <w:pPr>
              <w:autoSpaceDE w:val="0"/>
              <w:autoSpaceDN w:val="0"/>
              <w:adjustRightInd w:val="0"/>
              <w:rPr>
                <w:b/>
                <w:color w:val="FFFFFF"/>
                <w:sz w:val="12"/>
                <w:szCs w:val="16"/>
              </w:rPr>
            </w:pPr>
            <w:r>
              <w:rPr>
                <w:b/>
                <w:color w:val="FFFFFF"/>
                <w:sz w:val="12"/>
                <w:szCs w:val="16"/>
              </w:rPr>
              <w:t>Other pharmaceuticals and cosmetics</w:t>
            </w:r>
          </w:p>
        </w:tc>
        <w:tc>
          <w:tcPr>
            <w:tcW w:w="236" w:type="dxa"/>
            <w:tcBorders>
              <w:left w:val="nil"/>
            </w:tcBorders>
            <w:shd w:val="clear" w:color="auto" w:fill="4F81BD"/>
          </w:tcPr>
          <w:p w:rsidR="0036293C" w:rsidRPr="00FC51E7" w:rsidRDefault="0036293C" w:rsidP="00FC00B8">
            <w:pPr>
              <w:autoSpaceDE w:val="0"/>
              <w:autoSpaceDN w:val="0"/>
              <w:adjustRightInd w:val="0"/>
              <w:ind w:left="-108"/>
              <w:rPr>
                <w:rFonts w:ascii="Calibri" w:hAnsi="Calibri"/>
                <w:b/>
                <w:bCs/>
                <w:color w:val="000000"/>
                <w:szCs w:val="24"/>
                <w:u w:val="single"/>
              </w:rPr>
            </w:pPr>
          </w:p>
        </w:tc>
        <w:tc>
          <w:tcPr>
            <w:tcW w:w="1296" w:type="dxa"/>
            <w:gridSpan w:val="2"/>
            <w:shd w:val="clear" w:color="auto" w:fill="auto"/>
            <w:vAlign w:val="center"/>
          </w:tcPr>
          <w:p w:rsidR="0036293C" w:rsidRDefault="0036293C" w:rsidP="00FC00B8">
            <w:pPr>
              <w:autoSpaceDE w:val="0"/>
              <w:autoSpaceDN w:val="0"/>
              <w:adjustRightInd w:val="0"/>
              <w:jc w:val="center"/>
              <w:rPr>
                <w:rFonts w:ascii="Calibri" w:hAnsi="Calibri"/>
                <w:bCs/>
                <w:color w:val="000000"/>
                <w:sz w:val="14"/>
                <w:szCs w:val="24"/>
              </w:rPr>
            </w:pPr>
            <w:r>
              <w:rPr>
                <w:rFonts w:ascii="Calibri" w:hAnsi="Calibri"/>
                <w:bCs/>
                <w:color w:val="000000"/>
                <w:sz w:val="14"/>
                <w:szCs w:val="24"/>
              </w:rPr>
              <w:t xml:space="preserve">+15/+25 °C </w:t>
            </w:r>
          </w:p>
        </w:tc>
        <w:tc>
          <w:tcPr>
            <w:tcW w:w="1278" w:type="dxa"/>
            <w:gridSpan w:val="2"/>
            <w:shd w:val="clear" w:color="auto" w:fill="auto"/>
            <w:vAlign w:val="center"/>
          </w:tcPr>
          <w:p w:rsidR="0036293C" w:rsidRDefault="0036293C" w:rsidP="00FC00B8">
            <w:pPr>
              <w:autoSpaceDE w:val="0"/>
              <w:autoSpaceDN w:val="0"/>
              <w:adjustRightInd w:val="0"/>
              <w:jc w:val="center"/>
              <w:rPr>
                <w:rFonts w:ascii="Calibri" w:hAnsi="Calibri"/>
                <w:bCs/>
                <w:color w:val="000000"/>
                <w:sz w:val="14"/>
                <w:szCs w:val="24"/>
              </w:rPr>
            </w:pPr>
            <w:r>
              <w:rPr>
                <w:rFonts w:ascii="Calibri" w:hAnsi="Calibri"/>
                <w:bCs/>
                <w:color w:val="000000"/>
                <w:sz w:val="14"/>
                <w:szCs w:val="24"/>
              </w:rPr>
              <w:t>low</w:t>
            </w:r>
          </w:p>
        </w:tc>
        <w:tc>
          <w:tcPr>
            <w:tcW w:w="1440" w:type="dxa"/>
            <w:gridSpan w:val="3"/>
            <w:shd w:val="clear" w:color="auto" w:fill="auto"/>
            <w:vAlign w:val="center"/>
          </w:tcPr>
          <w:p w:rsidR="0036293C" w:rsidRPr="00C807E8" w:rsidRDefault="0036293C" w:rsidP="00FC00B8">
            <w:pPr>
              <w:autoSpaceDE w:val="0"/>
              <w:autoSpaceDN w:val="0"/>
              <w:adjustRightInd w:val="0"/>
              <w:jc w:val="center"/>
              <w:rPr>
                <w:rFonts w:ascii="Calibri" w:hAnsi="Calibri"/>
                <w:bCs/>
                <w:color w:val="000000"/>
                <w:sz w:val="14"/>
                <w:szCs w:val="24"/>
              </w:rPr>
            </w:pPr>
            <w:r>
              <w:rPr>
                <w:rFonts w:ascii="Calibri" w:hAnsi="Calibri"/>
                <w:bCs/>
                <w:color w:val="000000"/>
                <w:sz w:val="14"/>
                <w:szCs w:val="24"/>
              </w:rPr>
              <w:t>40–60 *)</w:t>
            </w:r>
          </w:p>
        </w:tc>
      </w:tr>
    </w:tbl>
    <w:p w:rsidR="0036293C" w:rsidRDefault="0036293C" w:rsidP="0036293C"/>
    <w:p w:rsidR="0036293C" w:rsidRPr="006243AA" w:rsidRDefault="0036293C" w:rsidP="00670CE8">
      <w:pPr>
        <w:pStyle w:val="SingleTxtG"/>
        <w:rPr>
          <w:lang w:val="en-GB"/>
        </w:rPr>
      </w:pPr>
      <w:r w:rsidRPr="006243AA">
        <w:rPr>
          <w:lang w:val="en-GB"/>
        </w:rPr>
        <w:t>The air flow rate can be modulated if indicated temperature range has been reached except where indicated by *</w:t>
      </w:r>
      <w:r w:rsidRPr="006243AA">
        <w:rPr>
          <w:vertAlign w:val="superscript"/>
          <w:lang w:val="en-GB"/>
        </w:rPr>
        <w:t>)</w:t>
      </w:r>
      <w:r w:rsidRPr="006243AA">
        <w:rPr>
          <w:lang w:val="en-GB"/>
        </w:rPr>
        <w:t>.</w:t>
      </w:r>
    </w:p>
    <w:p w:rsidR="0036293C" w:rsidRPr="006243AA" w:rsidRDefault="0036293C" w:rsidP="00670CE8">
      <w:pPr>
        <w:pStyle w:val="SingleTxtG"/>
        <w:rPr>
          <w:lang w:val="en-GB"/>
        </w:rPr>
      </w:pPr>
      <w:r w:rsidRPr="006243AA">
        <w:rPr>
          <w:lang w:val="en-GB"/>
        </w:rPr>
        <w:lastRenderedPageBreak/>
        <w:t xml:space="preserve">Other special applications are </w:t>
      </w:r>
      <w:r w:rsidR="007E62BF" w:rsidRPr="006243AA">
        <w:rPr>
          <w:lang w:val="en-GB"/>
        </w:rPr>
        <w:t>existing</w:t>
      </w:r>
      <w:r w:rsidRPr="006243AA">
        <w:rPr>
          <w:lang w:val="en-GB"/>
        </w:rPr>
        <w:t xml:space="preserve"> and may modulate the range of the air flow (e.g. living animals, art work).” </w:t>
      </w:r>
    </w:p>
    <w:p w:rsidR="00670CE8" w:rsidRPr="00670CE8" w:rsidRDefault="00670CE8" w:rsidP="00670CE8">
      <w:pPr>
        <w:spacing w:before="240"/>
        <w:jc w:val="center"/>
        <w:rPr>
          <w:u w:val="single"/>
        </w:rPr>
      </w:pPr>
      <w:r>
        <w:rPr>
          <w:u w:val="single"/>
        </w:rPr>
        <w:tab/>
      </w:r>
      <w:r>
        <w:rPr>
          <w:u w:val="single"/>
        </w:rPr>
        <w:tab/>
      </w:r>
      <w:r>
        <w:rPr>
          <w:u w:val="single"/>
        </w:rPr>
        <w:tab/>
      </w:r>
    </w:p>
    <w:sectPr w:rsidR="00670CE8" w:rsidRPr="00670CE8" w:rsidSect="00E87D8C">
      <w:headerReference w:type="even" r:id="rId12"/>
      <w:headerReference w:type="default" r:id="rId13"/>
      <w:footerReference w:type="even" r:id="rId14"/>
      <w:footerReference w:type="defaul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93C" w:rsidRDefault="0036293C" w:rsidP="00F95C08">
      <w:pPr>
        <w:spacing w:line="240" w:lineRule="auto"/>
      </w:pPr>
    </w:p>
  </w:endnote>
  <w:endnote w:type="continuationSeparator" w:id="0">
    <w:p w:rsidR="0036293C" w:rsidRPr="00AC3823" w:rsidRDefault="0036293C" w:rsidP="00AC3823">
      <w:pPr>
        <w:pStyle w:val="Footer"/>
      </w:pPr>
    </w:p>
  </w:endnote>
  <w:endnote w:type="continuationNotice" w:id="1">
    <w:p w:rsidR="0036293C" w:rsidRDefault="003629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066229"/>
      <w:docPartObj>
        <w:docPartGallery w:val="Page Numbers (Bottom of Page)"/>
        <w:docPartUnique/>
      </w:docPartObj>
    </w:sdtPr>
    <w:sdtEndPr>
      <w:rPr>
        <w:b/>
        <w:bCs/>
        <w:noProof/>
      </w:rPr>
    </w:sdtEndPr>
    <w:sdtContent>
      <w:p w:rsidR="00077431" w:rsidRPr="00077431" w:rsidRDefault="00077431">
        <w:pPr>
          <w:pStyle w:val="Footer"/>
          <w:rPr>
            <w:b/>
            <w:bCs/>
          </w:rPr>
        </w:pPr>
        <w:r w:rsidRPr="00077431">
          <w:rPr>
            <w:b/>
            <w:bCs/>
          </w:rPr>
          <w:fldChar w:fldCharType="begin"/>
        </w:r>
        <w:r w:rsidRPr="00077431">
          <w:rPr>
            <w:b/>
            <w:bCs/>
          </w:rPr>
          <w:instrText xml:space="preserve"> PAGE   \* MERGEFORMAT </w:instrText>
        </w:r>
        <w:r w:rsidRPr="00077431">
          <w:rPr>
            <w:b/>
            <w:bCs/>
          </w:rPr>
          <w:fldChar w:fldCharType="separate"/>
        </w:r>
        <w:r w:rsidRPr="00077431">
          <w:rPr>
            <w:b/>
            <w:bCs/>
            <w:noProof/>
          </w:rPr>
          <w:t>2</w:t>
        </w:r>
        <w:r w:rsidRPr="00077431">
          <w:rPr>
            <w:b/>
            <w:bCs/>
            <w:noProof/>
          </w:rPr>
          <w:fldChar w:fldCharType="end"/>
        </w:r>
      </w:p>
    </w:sdtContent>
  </w:sdt>
  <w:p w:rsidR="00077431" w:rsidRDefault="00077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790341"/>
      <w:docPartObj>
        <w:docPartGallery w:val="Page Numbers (Bottom of Page)"/>
        <w:docPartUnique/>
      </w:docPartObj>
    </w:sdtPr>
    <w:sdtEndPr>
      <w:rPr>
        <w:b/>
        <w:bCs/>
        <w:noProof/>
      </w:rPr>
    </w:sdtEndPr>
    <w:sdtContent>
      <w:p w:rsidR="00077431" w:rsidRPr="00077431" w:rsidRDefault="00077431">
        <w:pPr>
          <w:pStyle w:val="Footer"/>
          <w:jc w:val="right"/>
          <w:rPr>
            <w:b/>
            <w:bCs/>
          </w:rPr>
        </w:pPr>
        <w:r w:rsidRPr="00077431">
          <w:rPr>
            <w:b/>
            <w:bCs/>
          </w:rPr>
          <w:fldChar w:fldCharType="begin"/>
        </w:r>
        <w:r w:rsidRPr="00077431">
          <w:rPr>
            <w:b/>
            <w:bCs/>
          </w:rPr>
          <w:instrText xml:space="preserve"> PAGE   \* MERGEFORMAT </w:instrText>
        </w:r>
        <w:r w:rsidRPr="00077431">
          <w:rPr>
            <w:b/>
            <w:bCs/>
          </w:rPr>
          <w:fldChar w:fldCharType="separate"/>
        </w:r>
        <w:r w:rsidRPr="00077431">
          <w:rPr>
            <w:b/>
            <w:bCs/>
            <w:noProof/>
          </w:rPr>
          <w:t>2</w:t>
        </w:r>
        <w:r w:rsidRPr="00077431">
          <w:rPr>
            <w:b/>
            <w:bCs/>
            <w:noProof/>
          </w:rPr>
          <w:fldChar w:fldCharType="end"/>
        </w:r>
      </w:p>
    </w:sdtContent>
  </w:sdt>
  <w:p w:rsidR="00077431" w:rsidRDefault="00077431" w:rsidP="000774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93C" w:rsidRPr="00AC3823" w:rsidRDefault="0036293C" w:rsidP="00AC3823">
      <w:pPr>
        <w:pStyle w:val="Footer"/>
        <w:tabs>
          <w:tab w:val="right" w:pos="2155"/>
        </w:tabs>
        <w:spacing w:after="80" w:line="240" w:lineRule="atLeast"/>
        <w:ind w:left="680"/>
        <w:rPr>
          <w:u w:val="single"/>
        </w:rPr>
      </w:pPr>
      <w:r>
        <w:rPr>
          <w:u w:val="single"/>
        </w:rPr>
        <w:tab/>
      </w:r>
    </w:p>
  </w:footnote>
  <w:footnote w:type="continuationSeparator" w:id="0">
    <w:p w:rsidR="0036293C" w:rsidRPr="00AC3823" w:rsidRDefault="0036293C" w:rsidP="00AC3823">
      <w:pPr>
        <w:pStyle w:val="Footer"/>
        <w:tabs>
          <w:tab w:val="right" w:pos="2155"/>
        </w:tabs>
        <w:spacing w:after="80" w:line="240" w:lineRule="atLeast"/>
        <w:ind w:left="680"/>
        <w:rPr>
          <w:u w:val="single"/>
        </w:rPr>
      </w:pPr>
      <w:r>
        <w:rPr>
          <w:u w:val="single"/>
        </w:rPr>
        <w:tab/>
      </w:r>
    </w:p>
  </w:footnote>
  <w:footnote w:type="continuationNotice" w:id="1">
    <w:p w:rsidR="0036293C" w:rsidRPr="00AC3823" w:rsidRDefault="0036293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D8C" w:rsidRDefault="00E87D8C">
    <w:pPr>
      <w:pStyle w:val="Header"/>
    </w:pPr>
    <w:r>
      <w:t>ECE/TRANS/WP.11/2019/17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D8C" w:rsidRDefault="00E87D8C" w:rsidP="00E87D8C">
    <w:pPr>
      <w:pStyle w:val="Header"/>
      <w:jc w:val="right"/>
    </w:pPr>
    <w:r>
      <w:t>ECE/TRANS/WP.11/2019/17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DEC2628"/>
    <w:multiLevelType w:val="hybridMultilevel"/>
    <w:tmpl w:val="1A08F098"/>
    <w:lvl w:ilvl="0" w:tplc="73F863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FE2476C"/>
    <w:multiLevelType w:val="hybridMultilevel"/>
    <w:tmpl w:val="55120EB8"/>
    <w:lvl w:ilvl="0" w:tplc="B8B2F3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F43708D"/>
    <w:multiLevelType w:val="hybridMultilevel"/>
    <w:tmpl w:val="BE7E67A0"/>
    <w:lvl w:ilvl="0" w:tplc="FA4E32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3C"/>
    <w:rsid w:val="00017F94"/>
    <w:rsid w:val="00023842"/>
    <w:rsid w:val="000334F9"/>
    <w:rsid w:val="00077431"/>
    <w:rsid w:val="0007796D"/>
    <w:rsid w:val="000B7790"/>
    <w:rsid w:val="000C390E"/>
    <w:rsid w:val="00103267"/>
    <w:rsid w:val="00111F2F"/>
    <w:rsid w:val="0014365E"/>
    <w:rsid w:val="0014660A"/>
    <w:rsid w:val="00150DB2"/>
    <w:rsid w:val="00176178"/>
    <w:rsid w:val="001F525A"/>
    <w:rsid w:val="00223272"/>
    <w:rsid w:val="0024779E"/>
    <w:rsid w:val="00291F1D"/>
    <w:rsid w:val="0029407C"/>
    <w:rsid w:val="00350987"/>
    <w:rsid w:val="00353ED5"/>
    <w:rsid w:val="0036293C"/>
    <w:rsid w:val="00382A1F"/>
    <w:rsid w:val="00390178"/>
    <w:rsid w:val="003D1AD0"/>
    <w:rsid w:val="00446FE5"/>
    <w:rsid w:val="00452396"/>
    <w:rsid w:val="004D1CEB"/>
    <w:rsid w:val="005505B7"/>
    <w:rsid w:val="00556FA0"/>
    <w:rsid w:val="00560000"/>
    <w:rsid w:val="00573BE5"/>
    <w:rsid w:val="00586ED3"/>
    <w:rsid w:val="00596AA9"/>
    <w:rsid w:val="006122C4"/>
    <w:rsid w:val="006243AA"/>
    <w:rsid w:val="00670CE8"/>
    <w:rsid w:val="006E2C9B"/>
    <w:rsid w:val="0071601D"/>
    <w:rsid w:val="0076624F"/>
    <w:rsid w:val="00766CEC"/>
    <w:rsid w:val="0079527C"/>
    <w:rsid w:val="007A62E6"/>
    <w:rsid w:val="007D0A06"/>
    <w:rsid w:val="007E62BF"/>
    <w:rsid w:val="00801CCE"/>
    <w:rsid w:val="0080684C"/>
    <w:rsid w:val="00815502"/>
    <w:rsid w:val="00871C75"/>
    <w:rsid w:val="008776DC"/>
    <w:rsid w:val="008A0FB7"/>
    <w:rsid w:val="008F2A1D"/>
    <w:rsid w:val="0093050C"/>
    <w:rsid w:val="00957790"/>
    <w:rsid w:val="009705C8"/>
    <w:rsid w:val="00A12AB5"/>
    <w:rsid w:val="00AC3823"/>
    <w:rsid w:val="00AD3959"/>
    <w:rsid w:val="00AE323C"/>
    <w:rsid w:val="00AE7D9F"/>
    <w:rsid w:val="00B00181"/>
    <w:rsid w:val="00B43C66"/>
    <w:rsid w:val="00B765F7"/>
    <w:rsid w:val="00BA0CA9"/>
    <w:rsid w:val="00BB3E59"/>
    <w:rsid w:val="00BE1F4C"/>
    <w:rsid w:val="00BE4745"/>
    <w:rsid w:val="00BF3C2C"/>
    <w:rsid w:val="00C02897"/>
    <w:rsid w:val="00C84723"/>
    <w:rsid w:val="00C94FD2"/>
    <w:rsid w:val="00CF3AE1"/>
    <w:rsid w:val="00CF7886"/>
    <w:rsid w:val="00D3439C"/>
    <w:rsid w:val="00D40AEB"/>
    <w:rsid w:val="00DA22F4"/>
    <w:rsid w:val="00DB1831"/>
    <w:rsid w:val="00DD3BFD"/>
    <w:rsid w:val="00DF6678"/>
    <w:rsid w:val="00E1065A"/>
    <w:rsid w:val="00E22CF2"/>
    <w:rsid w:val="00E33F14"/>
    <w:rsid w:val="00E52D9F"/>
    <w:rsid w:val="00E87D8C"/>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8433"/>
    <o:shapelayout v:ext="edit">
      <o:idmap v:ext="edit" data="1"/>
    </o:shapelayout>
  </w:shapeDefaults>
  <w:decimalSymbol w:val="."/>
  <w:listSeparator w:val=","/>
  <w14:docId w14:val="0E5176E9"/>
  <w15:chartTrackingRefBased/>
  <w15:docId w15:val="{B8BFC16C-6FEC-4FCC-839F-73CC0299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93C"/>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kinsoku w:val="0"/>
      <w:overflowPunct w:val="0"/>
      <w:autoSpaceDE w:val="0"/>
      <w:autoSpaceDN w:val="0"/>
      <w:adjustRightInd w:val="0"/>
      <w:snapToGrid w:val="0"/>
      <w:outlineLvl w:val="1"/>
    </w:pPr>
    <w:rPr>
      <w:rFonts w:eastAsiaTheme="minorEastAsia"/>
      <w:lang w:val="fr-CH" w:eastAsia="zh-CN"/>
    </w:rPr>
  </w:style>
  <w:style w:type="paragraph" w:styleId="Heading3">
    <w:name w:val="heading 3"/>
    <w:basedOn w:val="Normal"/>
    <w:next w:val="Normal"/>
    <w:link w:val="Heading3Char"/>
    <w:semiHidden/>
    <w:qFormat/>
    <w:rsid w:val="00023842"/>
    <w:pPr>
      <w:kinsoku w:val="0"/>
      <w:overflowPunct w:val="0"/>
      <w:autoSpaceDE w:val="0"/>
      <w:autoSpaceDN w:val="0"/>
      <w:adjustRightInd w:val="0"/>
      <w:snapToGrid w:val="0"/>
      <w:outlineLvl w:val="2"/>
    </w:pPr>
    <w:rPr>
      <w:rFonts w:eastAsiaTheme="minorEastAsia"/>
      <w:lang w:val="fr-CH" w:eastAsia="zh-CN"/>
    </w:rPr>
  </w:style>
  <w:style w:type="paragraph" w:styleId="Heading4">
    <w:name w:val="heading 4"/>
    <w:basedOn w:val="Normal"/>
    <w:next w:val="Normal"/>
    <w:link w:val="Heading4Char"/>
    <w:semiHidden/>
    <w:qFormat/>
    <w:rsid w:val="00023842"/>
    <w:pPr>
      <w:kinsoku w:val="0"/>
      <w:overflowPunct w:val="0"/>
      <w:autoSpaceDE w:val="0"/>
      <w:autoSpaceDN w:val="0"/>
      <w:adjustRightInd w:val="0"/>
      <w:snapToGrid w:val="0"/>
      <w:outlineLvl w:val="3"/>
    </w:pPr>
    <w:rPr>
      <w:rFonts w:eastAsiaTheme="minorEastAsia"/>
      <w:lang w:val="fr-CH" w:eastAsia="zh-CN"/>
    </w:rPr>
  </w:style>
  <w:style w:type="paragraph" w:styleId="Heading5">
    <w:name w:val="heading 5"/>
    <w:basedOn w:val="Normal"/>
    <w:next w:val="Normal"/>
    <w:link w:val="Heading5Char"/>
    <w:semiHidden/>
    <w:qFormat/>
    <w:rsid w:val="00023842"/>
    <w:pPr>
      <w:kinsoku w:val="0"/>
      <w:overflowPunct w:val="0"/>
      <w:autoSpaceDE w:val="0"/>
      <w:autoSpaceDN w:val="0"/>
      <w:adjustRightInd w:val="0"/>
      <w:snapToGrid w:val="0"/>
      <w:outlineLvl w:val="4"/>
    </w:pPr>
    <w:rPr>
      <w:rFonts w:eastAsiaTheme="minorEastAsia"/>
      <w:lang w:val="fr-CH" w:eastAsia="zh-CN"/>
    </w:rPr>
  </w:style>
  <w:style w:type="paragraph" w:styleId="Heading6">
    <w:name w:val="heading 6"/>
    <w:basedOn w:val="Normal"/>
    <w:next w:val="Normal"/>
    <w:link w:val="Heading6Char"/>
    <w:semiHidden/>
    <w:qFormat/>
    <w:rsid w:val="00023842"/>
    <w:pPr>
      <w:kinsoku w:val="0"/>
      <w:overflowPunct w:val="0"/>
      <w:autoSpaceDE w:val="0"/>
      <w:autoSpaceDN w:val="0"/>
      <w:adjustRightInd w:val="0"/>
      <w:snapToGrid w:val="0"/>
      <w:outlineLvl w:val="5"/>
    </w:pPr>
    <w:rPr>
      <w:rFonts w:eastAsiaTheme="minorEastAsia"/>
      <w:lang w:val="fr-CH" w:eastAsia="zh-CN"/>
    </w:rPr>
  </w:style>
  <w:style w:type="paragraph" w:styleId="Heading7">
    <w:name w:val="heading 7"/>
    <w:basedOn w:val="Normal"/>
    <w:next w:val="Normal"/>
    <w:link w:val="Heading7Char"/>
    <w:semiHidden/>
    <w:qFormat/>
    <w:rsid w:val="00023842"/>
    <w:pPr>
      <w:kinsoku w:val="0"/>
      <w:overflowPunct w:val="0"/>
      <w:autoSpaceDE w:val="0"/>
      <w:autoSpaceDN w:val="0"/>
      <w:adjustRightInd w:val="0"/>
      <w:snapToGrid w:val="0"/>
      <w:outlineLvl w:val="6"/>
    </w:pPr>
    <w:rPr>
      <w:rFonts w:eastAsiaTheme="minorEastAsia"/>
      <w:lang w:val="fr-CH" w:eastAsia="zh-CN"/>
    </w:rPr>
  </w:style>
  <w:style w:type="paragraph" w:styleId="Heading8">
    <w:name w:val="heading 8"/>
    <w:basedOn w:val="Normal"/>
    <w:next w:val="Normal"/>
    <w:link w:val="Heading8Char"/>
    <w:semiHidden/>
    <w:qFormat/>
    <w:rsid w:val="00023842"/>
    <w:pPr>
      <w:kinsoku w:val="0"/>
      <w:overflowPunct w:val="0"/>
      <w:autoSpaceDE w:val="0"/>
      <w:autoSpaceDN w:val="0"/>
      <w:adjustRightInd w:val="0"/>
      <w:snapToGrid w:val="0"/>
      <w:outlineLvl w:val="7"/>
    </w:pPr>
    <w:rPr>
      <w:rFonts w:eastAsiaTheme="minorEastAsia"/>
      <w:lang w:val="fr-CH" w:eastAsia="zh-CN"/>
    </w:rPr>
  </w:style>
  <w:style w:type="paragraph" w:styleId="Heading9">
    <w:name w:val="heading 9"/>
    <w:basedOn w:val="Normal"/>
    <w:next w:val="Normal"/>
    <w:link w:val="Heading9Char"/>
    <w:semiHidden/>
    <w:qFormat/>
    <w:rsid w:val="00023842"/>
    <w:pPr>
      <w:kinsoku w:val="0"/>
      <w:overflowPunct w:val="0"/>
      <w:autoSpaceDE w:val="0"/>
      <w:autoSpaceDN w:val="0"/>
      <w:adjustRightInd w:val="0"/>
      <w:snapToGrid w:val="0"/>
      <w:outlineLvl w:val="8"/>
    </w:pPr>
    <w:rPr>
      <w:rFonts w:eastAsiaTheme="minorEastAsia"/>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lang w:val="fr-CH" w:eastAsia="zh-CN"/>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kinsoku w:val="0"/>
      <w:overflowPunct w:val="0"/>
      <w:autoSpaceDE w:val="0"/>
      <w:autoSpaceDN w:val="0"/>
      <w:adjustRightInd w:val="0"/>
      <w:snapToGrid w:val="0"/>
      <w:spacing w:line="240" w:lineRule="auto"/>
    </w:pPr>
    <w:rPr>
      <w:rFonts w:eastAsiaTheme="minorEastAsia"/>
      <w:sz w:val="16"/>
      <w:lang w:val="fr-CH" w:eastAsia="zh-CN"/>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EastAsia"/>
      <w:b/>
      <w:sz w:val="34"/>
      <w:lang w:val="fr-CH" w:eastAsia="zh-CN"/>
    </w:rPr>
  </w:style>
  <w:style w:type="paragraph" w:customStyle="1" w:styleId="HChG">
    <w:name w:val="_ H _Ch_G"/>
    <w:basedOn w:val="Normal"/>
    <w:next w:val="Normal"/>
    <w:qFormat/>
    <w:rsid w:val="0080684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EastAsia"/>
      <w:b/>
      <w:sz w:val="28"/>
      <w:lang w:val="fr-CH" w:eastAsia="zh-CN"/>
    </w:rPr>
  </w:style>
  <w:style w:type="paragraph" w:customStyle="1" w:styleId="H1G">
    <w:name w:val="_ H_1_G"/>
    <w:basedOn w:val="Normal"/>
    <w:next w:val="Normal"/>
    <w:qFormat/>
    <w:rsid w:val="0080684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EastAsia"/>
      <w:b/>
      <w:sz w:val="24"/>
      <w:lang w:val="fr-CH" w:eastAsia="zh-CN"/>
    </w:rPr>
  </w:style>
  <w:style w:type="paragraph" w:customStyle="1" w:styleId="H23G">
    <w:name w:val="_ H_2/3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b/>
      <w:lang w:val="fr-CH" w:eastAsia="zh-CN"/>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i/>
      <w:lang w:val="fr-CH" w:eastAsia="zh-CN"/>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lang w:val="fr-CH" w:eastAsia="zh-CN"/>
    </w:rPr>
  </w:style>
  <w:style w:type="paragraph" w:customStyle="1" w:styleId="SingleTxtG">
    <w:name w:val="_ Single Txt_G"/>
    <w:basedOn w:val="Normal"/>
    <w:qFormat/>
    <w:rsid w:val="0080684C"/>
    <w:pPr>
      <w:kinsoku w:val="0"/>
      <w:overflowPunct w:val="0"/>
      <w:autoSpaceDE w:val="0"/>
      <w:autoSpaceDN w:val="0"/>
      <w:adjustRightInd w:val="0"/>
      <w:snapToGrid w:val="0"/>
      <w:spacing w:after="120"/>
      <w:ind w:left="1134" w:right="1134"/>
      <w:jc w:val="both"/>
    </w:pPr>
    <w:rPr>
      <w:rFonts w:eastAsiaTheme="minorEastAsia"/>
      <w:lang w:val="fr-CH" w:eastAsia="zh-CN"/>
    </w:rPr>
  </w:style>
  <w:style w:type="paragraph" w:customStyle="1" w:styleId="SLG">
    <w:name w:val="__S_L_G"/>
    <w:basedOn w:val="Normal"/>
    <w:next w:val="Normal"/>
    <w:rsid w:val="0080684C"/>
    <w:pPr>
      <w:keepNext/>
      <w:keepLines/>
      <w:kinsoku w:val="0"/>
      <w:overflowPunct w:val="0"/>
      <w:autoSpaceDE w:val="0"/>
      <w:autoSpaceDN w:val="0"/>
      <w:adjustRightInd w:val="0"/>
      <w:snapToGrid w:val="0"/>
      <w:spacing w:before="240" w:after="240" w:line="580" w:lineRule="exact"/>
      <w:ind w:left="1134" w:right="1134"/>
    </w:pPr>
    <w:rPr>
      <w:rFonts w:eastAsiaTheme="minorEastAsia"/>
      <w:b/>
      <w:sz w:val="56"/>
      <w:lang w:val="fr-CH" w:eastAsia="zh-CN"/>
    </w:rPr>
  </w:style>
  <w:style w:type="paragraph" w:customStyle="1" w:styleId="SMG">
    <w:name w:val="__S_M_G"/>
    <w:basedOn w:val="Normal"/>
    <w:next w:val="Normal"/>
    <w:rsid w:val="0080684C"/>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SSG">
    <w:name w:val="__S_S_G"/>
    <w:basedOn w:val="Normal"/>
    <w:next w:val="Normal"/>
    <w:rsid w:val="0080684C"/>
    <w:pPr>
      <w:keepNext/>
      <w:keepLines/>
      <w:kinsoku w:val="0"/>
      <w:overflowPunct w:val="0"/>
      <w:autoSpaceDE w:val="0"/>
      <w:autoSpaceDN w:val="0"/>
      <w:adjustRightInd w:val="0"/>
      <w:snapToGrid w:val="0"/>
      <w:spacing w:before="240" w:after="240" w:line="300" w:lineRule="exact"/>
      <w:ind w:left="1134" w:right="1134"/>
    </w:pPr>
    <w:rPr>
      <w:rFonts w:eastAsiaTheme="minorEastAsia"/>
      <w:b/>
      <w:sz w:val="28"/>
      <w:lang w:val="fr-CH" w:eastAsia="zh-CN"/>
    </w:rPr>
  </w:style>
  <w:style w:type="paragraph" w:customStyle="1" w:styleId="XLargeG">
    <w:name w:val="__XLarge_G"/>
    <w:basedOn w:val="Normal"/>
    <w:next w:val="Normal"/>
    <w:rsid w:val="00871C75"/>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Theme="minorEastAsia"/>
      <w:lang w:val="fr-CH" w:eastAsia="zh-CN"/>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Theme="minorEastAsia"/>
      <w:lang w:val="fr-CH" w:eastAsia="zh-CN"/>
    </w:r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BodyText">
    <w:name w:val="Body Text"/>
    <w:basedOn w:val="Normal"/>
    <w:link w:val="BodyTextChar"/>
    <w:semiHidden/>
    <w:rsid w:val="0036293C"/>
    <w:pPr>
      <w:suppressAutoHyphens w:val="0"/>
      <w:autoSpaceDE w:val="0"/>
      <w:autoSpaceDN w:val="0"/>
      <w:adjustRightInd w:val="0"/>
      <w:spacing w:line="240" w:lineRule="auto"/>
    </w:pPr>
    <w:rPr>
      <w:rFonts w:ascii="Arial" w:hAnsi="Arial" w:cs="Arial"/>
      <w:color w:val="FF0000"/>
      <w:sz w:val="24"/>
      <w:lang w:val="en-US"/>
    </w:rPr>
  </w:style>
  <w:style w:type="character" w:customStyle="1" w:styleId="BodyTextChar">
    <w:name w:val="Body Text Char"/>
    <w:basedOn w:val="DefaultParagraphFont"/>
    <w:link w:val="BodyText"/>
    <w:semiHidden/>
    <w:rsid w:val="0036293C"/>
    <w:rPr>
      <w:rFonts w:ascii="Arial" w:eastAsia="Times New Roman" w:hAnsi="Arial" w:cs="Arial"/>
      <w:color w:val="FF0000"/>
      <w:sz w:val="24"/>
      <w:lang w:val="en-US" w:eastAsia="en-US"/>
    </w:rPr>
  </w:style>
  <w:style w:type="paragraph" w:styleId="Caption">
    <w:name w:val="caption"/>
    <w:basedOn w:val="Normal"/>
    <w:next w:val="Normal"/>
    <w:qFormat/>
    <w:rsid w:val="0036293C"/>
    <w:pPr>
      <w:suppressAutoHyphens w:val="0"/>
      <w:spacing w:before="120" w:after="120" w:line="230" w:lineRule="atLeast"/>
      <w:jc w:val="both"/>
    </w:pPr>
    <w:rPr>
      <w:rFonts w:ascii="Arial" w:eastAsia="MS Mincho" w:hAnsi="Arial"/>
      <w:b/>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199D-06A2-42E5-AB6C-D2F0598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993</Words>
  <Characters>4747</Characters>
  <Application>Microsoft Office Word</Application>
  <DocSecurity>0</DocSecurity>
  <Lines>158</Lines>
  <Paragraphs>124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Diaz</cp:lastModifiedBy>
  <cp:revision>12</cp:revision>
  <cp:lastPrinted>2019-07-22T05:50:00Z</cp:lastPrinted>
  <dcterms:created xsi:type="dcterms:W3CDTF">2019-07-19T05:22:00Z</dcterms:created>
  <dcterms:modified xsi:type="dcterms:W3CDTF">2019-07-24T10:35:00Z</dcterms:modified>
</cp:coreProperties>
</file>