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543C49">
            <w:pPr>
              <w:jc w:val="right"/>
            </w:pPr>
            <w:r w:rsidRPr="00C0554D">
              <w:rPr>
                <w:sz w:val="40"/>
              </w:rPr>
              <w:t>ECE</w:t>
            </w:r>
            <w:r>
              <w:t>/TRANS/WP.11/201</w:t>
            </w:r>
            <w:r w:rsidR="00543C49">
              <w:t>9</w:t>
            </w:r>
            <w:r>
              <w:t>/</w:t>
            </w:r>
            <w:r w:rsidR="000B6ED0">
              <w:t>16</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F23B93" w:rsidP="00C0554D">
            <w:pPr>
              <w:spacing w:before="120"/>
            </w:pPr>
            <w:r>
              <w:rPr>
                <w:noProof/>
                <w:lang w:val="nl-NL" w:eastAsia="nl-NL"/>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760C04" w:rsidP="00C0554D">
            <w:pPr>
              <w:spacing w:line="240" w:lineRule="exact"/>
            </w:pPr>
            <w:r>
              <w:t>2</w:t>
            </w:r>
            <w:r w:rsidR="008536EB">
              <w:t>4</w:t>
            </w:r>
            <w:bookmarkStart w:id="0" w:name="_GoBack"/>
            <w:bookmarkEnd w:id="0"/>
            <w:r w:rsidR="00BE04BD">
              <w:t xml:space="preserve"> July </w:t>
            </w:r>
            <w:r w:rsidR="00F616E0">
              <w:t>201</w:t>
            </w:r>
            <w:r w:rsidR="00543C49">
              <w:t>9</w:t>
            </w:r>
          </w:p>
          <w:p w:rsidR="00F616E0" w:rsidRDefault="00F616E0" w:rsidP="00C0554D">
            <w:pPr>
              <w:spacing w:line="240" w:lineRule="exact"/>
            </w:pPr>
          </w:p>
          <w:p w:rsidR="00B56E9C" w:rsidRDefault="00F616E0" w:rsidP="00C0554D">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0F155A">
        <w:rPr>
          <w:b/>
        </w:rPr>
        <w:t>eventy</w:t>
      </w:r>
      <w:r w:rsidR="00600B10">
        <w:rPr>
          <w:b/>
        </w:rPr>
        <w:t>-</w:t>
      </w:r>
      <w:r w:rsidR="000F155A">
        <w:rPr>
          <w:b/>
        </w:rPr>
        <w:t>f</w:t>
      </w:r>
      <w:r w:rsidR="00E16BEF">
        <w:rPr>
          <w:b/>
        </w:rPr>
        <w:t>ifth</w:t>
      </w:r>
      <w:r w:rsidR="000F155A">
        <w:rPr>
          <w:b/>
        </w:rPr>
        <w:t xml:space="preserve"> </w:t>
      </w:r>
      <w:r w:rsidR="00C96DF2">
        <w:rPr>
          <w:b/>
        </w:rPr>
        <w:t>session</w:t>
      </w:r>
    </w:p>
    <w:p w:rsidR="00C96DF2" w:rsidRDefault="00FE2FEF" w:rsidP="00C96DF2">
      <w:r>
        <w:t>Geneva</w:t>
      </w:r>
      <w:r w:rsidR="00F616E0">
        <w:t xml:space="preserve">, </w:t>
      </w:r>
      <w:r w:rsidR="00543C49">
        <w:t>8</w:t>
      </w:r>
      <w:r w:rsidR="00413616">
        <w:t>-</w:t>
      </w:r>
      <w:r w:rsidR="00543C49">
        <w:t>11</w:t>
      </w:r>
      <w:r w:rsidR="00F616E0">
        <w:t xml:space="preserve"> </w:t>
      </w:r>
      <w:r w:rsidR="00413616">
        <w:t xml:space="preserve">October </w:t>
      </w:r>
      <w:r w:rsidR="00CB487E">
        <w:t>201</w:t>
      </w:r>
      <w:r w:rsidR="00543C49">
        <w:t>9</w:t>
      </w:r>
    </w:p>
    <w:p w:rsidR="00C96DF2" w:rsidRDefault="00FA7D6D" w:rsidP="00C96DF2">
      <w:r>
        <w:t>I</w:t>
      </w:r>
      <w:r w:rsidR="00F616E0">
        <w:t>tem</w:t>
      </w:r>
      <w:r w:rsidR="00482896">
        <w:t xml:space="preserve"> 5 (b)</w:t>
      </w:r>
      <w:r w:rsidR="00705EC0">
        <w:t xml:space="preserve"> </w:t>
      </w:r>
      <w:r w:rsidR="0024772E">
        <w:t>of the provisional agenda</w:t>
      </w:r>
    </w:p>
    <w:p w:rsidR="00BF2162" w:rsidRDefault="00BF2162" w:rsidP="00543C49">
      <w:pPr>
        <w:rPr>
          <w:b/>
        </w:rPr>
      </w:pPr>
      <w:r w:rsidRPr="00482896">
        <w:rPr>
          <w:b/>
        </w:rPr>
        <w:t>Proposal of amendments to the ATP:</w:t>
      </w:r>
      <w:r w:rsidR="00482896">
        <w:rPr>
          <w:b/>
        </w:rPr>
        <w:br/>
        <w:t>n</w:t>
      </w:r>
      <w:r w:rsidRPr="00482896">
        <w:rPr>
          <w:b/>
        </w:rPr>
        <w:t>ew proposals</w:t>
      </w:r>
    </w:p>
    <w:p w:rsidR="00CB487E" w:rsidRPr="00496B0F" w:rsidRDefault="00446BA7" w:rsidP="00E16BEF">
      <w:pPr>
        <w:pStyle w:val="HChG"/>
        <w:ind w:right="284"/>
        <w:rPr>
          <w:lang w:val="en-US" w:eastAsia="ar-SA"/>
        </w:rPr>
      </w:pPr>
      <w:r>
        <w:rPr>
          <w:lang w:eastAsia="ar-SA"/>
        </w:rPr>
        <w:tab/>
      </w:r>
      <w:r>
        <w:rPr>
          <w:lang w:eastAsia="ar-SA"/>
        </w:rPr>
        <w:tab/>
      </w:r>
      <w:r w:rsidR="002050C0">
        <w:rPr>
          <w:lang w:eastAsia="ar-SA"/>
        </w:rPr>
        <w:t xml:space="preserve">Proposals </w:t>
      </w:r>
      <w:r w:rsidR="002050C0" w:rsidRPr="00F23B93">
        <w:t>improving</w:t>
      </w:r>
      <w:r w:rsidR="002050C0">
        <w:rPr>
          <w:lang w:eastAsia="ar-SA"/>
        </w:rPr>
        <w:t xml:space="preserve"> </w:t>
      </w:r>
      <w:r w:rsidR="00543C49">
        <w:rPr>
          <w:lang w:eastAsia="ar-SA"/>
        </w:rPr>
        <w:t>test reports and ATP certificate of conformity</w:t>
      </w:r>
    </w:p>
    <w:p w:rsidR="00364DF6" w:rsidRPr="00496B0F" w:rsidRDefault="00CB487E" w:rsidP="00E16BEF">
      <w:pPr>
        <w:pStyle w:val="H1G"/>
        <w:ind w:right="284"/>
        <w:rPr>
          <w:lang w:val="en-US"/>
        </w:rPr>
      </w:pPr>
      <w:r>
        <w:tab/>
      </w:r>
      <w:r>
        <w:tab/>
      </w:r>
      <w:r w:rsidR="00496B0F" w:rsidRPr="00496B0F">
        <w:rPr>
          <w:lang w:val="en-US"/>
        </w:rPr>
        <w:t xml:space="preserve">Transmitted by </w:t>
      </w:r>
      <w:r w:rsidR="00BE04BD">
        <w:rPr>
          <w:lang w:val="en-US"/>
        </w:rPr>
        <w:t xml:space="preserve">the Government of </w:t>
      </w:r>
      <w:r w:rsidR="00543C49">
        <w:rPr>
          <w:lang w:val="en-US"/>
        </w:rPr>
        <w:t>the Netherlands on behalf of the</w:t>
      </w:r>
      <w:r w:rsidR="00B440EA">
        <w:rPr>
          <w:lang w:val="en-US"/>
        </w:rPr>
        <w:t xml:space="preserve"> </w:t>
      </w:r>
      <w:r w:rsidR="006D4BA8">
        <w:rPr>
          <w:lang w:val="en-US"/>
        </w:rPr>
        <w:t>informal working group</w:t>
      </w:r>
      <w:r w:rsidR="004B604A">
        <w:rPr>
          <w:lang w:val="en-US"/>
        </w:rPr>
        <w:t xml:space="preserve"> on </w:t>
      </w:r>
      <w:r w:rsidR="006E7845">
        <w:t>on the improvements on the approval system of ATP equipment and thermal units</w:t>
      </w:r>
    </w:p>
    <w:p w:rsidR="00496B0F" w:rsidRDefault="00496B0F" w:rsidP="00E16BEF">
      <w:pPr>
        <w:pStyle w:val="HChG"/>
        <w:ind w:right="284"/>
        <w:rPr>
          <w:lang w:val="en-US"/>
        </w:rPr>
      </w:pPr>
      <w:r>
        <w:rPr>
          <w:lang w:val="en-US"/>
        </w:rPr>
        <w:tab/>
      </w:r>
      <w:r>
        <w:rPr>
          <w:lang w:val="en-US"/>
        </w:rPr>
        <w:tab/>
      </w:r>
      <w:r w:rsidRPr="00F23B93">
        <w:t>Introduction</w:t>
      </w:r>
    </w:p>
    <w:p w:rsidR="00543C49" w:rsidRDefault="00543C49" w:rsidP="00E16BEF">
      <w:pPr>
        <w:pStyle w:val="SingleTxtG"/>
        <w:numPr>
          <w:ilvl w:val="0"/>
          <w:numId w:val="24"/>
        </w:numPr>
        <w:ind w:left="1134" w:right="284" w:firstLine="0"/>
        <w:rPr>
          <w:b/>
        </w:rPr>
      </w:pPr>
      <w:r>
        <w:t>The informal working group on the improvement</w:t>
      </w:r>
      <w:r w:rsidR="004B604A">
        <w:t>s</w:t>
      </w:r>
      <w:r>
        <w:t xml:space="preserve"> o</w:t>
      </w:r>
      <w:r w:rsidR="004B604A">
        <w:t>n</w:t>
      </w:r>
      <w:r>
        <w:t xml:space="preserve"> the approval system</w:t>
      </w:r>
      <w:r w:rsidR="004B604A">
        <w:t xml:space="preserve"> of ATP equipment and thermal units</w:t>
      </w:r>
      <w:r>
        <w:t xml:space="preserve"> is working on issues that may improve</w:t>
      </w:r>
      <w:r w:rsidR="004B604A">
        <w:t xml:space="preserve">ments the acceptance of </w:t>
      </w:r>
      <w:r>
        <w:t>approval</w:t>
      </w:r>
      <w:r w:rsidR="004B604A">
        <w:t>s</w:t>
      </w:r>
      <w:r>
        <w:t xml:space="preserve">. A report of the informal group that outlines the discussions and the suggestions made to improve the system will be presented in a forthcoming informal document. In the working group detail improvements are </w:t>
      </w:r>
      <w:r w:rsidR="004B604A">
        <w:t>concluded</w:t>
      </w:r>
      <w:r>
        <w:t xml:space="preserve"> that </w:t>
      </w:r>
      <w:r w:rsidR="004B604A">
        <w:t>will</w:t>
      </w:r>
      <w:r w:rsidR="002F0425">
        <w:t xml:space="preserve"> </w:t>
      </w:r>
      <w:r>
        <w:t>improve the acceptance of test reports and issue of ATP certificates at short notice.</w:t>
      </w:r>
    </w:p>
    <w:p w:rsidR="00543C49" w:rsidRPr="00482896" w:rsidRDefault="007D1337" w:rsidP="00E16BEF">
      <w:pPr>
        <w:pStyle w:val="H23G"/>
        <w:ind w:right="284"/>
      </w:pPr>
      <w:r>
        <w:tab/>
      </w:r>
      <w:r>
        <w:tab/>
      </w:r>
      <w:r w:rsidR="00543C49" w:rsidRPr="00482896">
        <w:t>Part 1</w:t>
      </w:r>
    </w:p>
    <w:p w:rsidR="00543C49" w:rsidRPr="004B604A" w:rsidRDefault="00543C49" w:rsidP="00E16BEF">
      <w:pPr>
        <w:pStyle w:val="SingleTxtG"/>
        <w:ind w:right="284"/>
        <w:rPr>
          <w:lang w:val="fr-FR"/>
        </w:rPr>
      </w:pPr>
      <w:r>
        <w:t>2.</w:t>
      </w:r>
      <w:r>
        <w:tab/>
        <w:t xml:space="preserve">Consistent use of the terms “independent”, “non-independent” and “mains operated” in the regulation. </w:t>
      </w:r>
      <w:r w:rsidRPr="004B604A">
        <w:rPr>
          <w:lang w:val="fr-FR"/>
        </w:rPr>
        <w:t>In the French version “autonome”, “non autonome” and “raccordé à une installation centrale”</w:t>
      </w:r>
    </w:p>
    <w:p w:rsidR="00543C49" w:rsidRPr="00482896" w:rsidRDefault="00543C49" w:rsidP="00E16BEF">
      <w:pPr>
        <w:pStyle w:val="SingleTxtG"/>
        <w:ind w:right="284"/>
        <w:rPr>
          <w:b/>
          <w:bCs/>
          <w:i/>
          <w:iCs/>
        </w:rPr>
      </w:pPr>
      <w:r w:rsidRPr="00482896">
        <w:rPr>
          <w:b/>
          <w:bCs/>
          <w:i/>
          <w:iCs/>
        </w:rPr>
        <w:t>Proposal 1</w:t>
      </w:r>
    </w:p>
    <w:p w:rsidR="00543C49" w:rsidRDefault="00543C49" w:rsidP="00E16BEF">
      <w:pPr>
        <w:pStyle w:val="SingleTxtG"/>
        <w:ind w:left="1418" w:right="284"/>
      </w:pPr>
      <w:r>
        <w:t>In test report model No. 12 “Determination of effective refrigerating capacity of a refrigeration unit in accordance with section 4 of ATP Annex 1, Appendix 2” replace under the heading of “Category”:</w:t>
      </w:r>
    </w:p>
    <w:p w:rsidR="00543C49" w:rsidRDefault="00543C49" w:rsidP="00E16BEF">
      <w:pPr>
        <w:pStyle w:val="SingleTxtG"/>
        <w:ind w:left="1418" w:right="284"/>
      </w:pPr>
      <w:r>
        <w:t>“Self-contained/not self-contained” by “</w:t>
      </w:r>
      <w:r w:rsidRPr="00F2014A">
        <w:rPr>
          <w:i/>
        </w:rPr>
        <w:t>Drive independent/dependent/mains operated</w:t>
      </w:r>
      <w:r w:rsidRPr="00F2014A">
        <w:rPr>
          <w:i/>
          <w:vertAlign w:val="superscript"/>
        </w:rPr>
        <w:t>1</w:t>
      </w:r>
      <w:r>
        <w:t>”</w:t>
      </w:r>
      <w:r w:rsidR="00E16BEF">
        <w:t>.</w:t>
      </w:r>
    </w:p>
    <w:p w:rsidR="00543C49" w:rsidRPr="00482896" w:rsidRDefault="00543C49" w:rsidP="00E16BEF">
      <w:pPr>
        <w:pStyle w:val="SingleTxtG"/>
        <w:ind w:right="284"/>
        <w:rPr>
          <w:b/>
          <w:bCs/>
          <w:i/>
          <w:iCs/>
          <w:lang w:val="en-US"/>
        </w:rPr>
      </w:pPr>
      <w:r w:rsidRPr="00482896">
        <w:rPr>
          <w:b/>
          <w:bCs/>
          <w:i/>
          <w:iCs/>
          <w:lang w:val="en-US"/>
        </w:rPr>
        <w:lastRenderedPageBreak/>
        <w:t>Proposal 2</w:t>
      </w:r>
    </w:p>
    <w:p w:rsidR="00543C49" w:rsidRDefault="00543C49" w:rsidP="00E16BEF">
      <w:pPr>
        <w:pStyle w:val="SingleTxtG"/>
        <w:ind w:left="1418" w:right="284"/>
      </w:pPr>
      <w:r w:rsidRPr="00ED6F5B">
        <w:rPr>
          <w:lang w:val="en-US"/>
        </w:rPr>
        <w:t xml:space="preserve">In line 6.1.2 of the </w:t>
      </w:r>
      <w:r>
        <w:t>“</w:t>
      </w:r>
      <w:r w:rsidRPr="00ED6F5B">
        <w:rPr>
          <w:lang w:val="en-US"/>
        </w:rPr>
        <w:t>Model form of certificate of c</w:t>
      </w:r>
      <w:r w:rsidR="004B604A">
        <w:rPr>
          <w:lang w:val="en-US"/>
        </w:rPr>
        <w:t xml:space="preserve">ompliance of the equipment, as </w:t>
      </w:r>
      <w:r w:rsidR="004B604A">
        <w:t>prescribed</w:t>
      </w:r>
      <w:r>
        <w:t xml:space="preserve"> in Annex1, Appendix 1, paragraph 3” (English version only)</w:t>
      </w:r>
    </w:p>
    <w:p w:rsidR="00543C49" w:rsidRDefault="00543C49" w:rsidP="00E16BEF">
      <w:pPr>
        <w:pStyle w:val="SingleTxtG"/>
        <w:ind w:left="1418" w:right="284"/>
      </w:pPr>
      <w:r>
        <w:t>Replace “Not independent” by “dependent”.</w:t>
      </w:r>
    </w:p>
    <w:p w:rsidR="00543C49" w:rsidRPr="00482896" w:rsidRDefault="00543C49" w:rsidP="00E16BEF">
      <w:pPr>
        <w:spacing w:after="120"/>
        <w:ind w:left="1134" w:right="284"/>
        <w:rPr>
          <w:b/>
          <w:bCs/>
          <w:i/>
        </w:rPr>
      </w:pPr>
      <w:r w:rsidRPr="00482896">
        <w:rPr>
          <w:b/>
          <w:bCs/>
          <w:i/>
        </w:rPr>
        <w:t>Proposal 3</w:t>
      </w:r>
    </w:p>
    <w:p w:rsidR="00543C49" w:rsidRPr="00ED6F5B" w:rsidRDefault="00543C49" w:rsidP="00E16BEF">
      <w:pPr>
        <w:pStyle w:val="SingleTxtG"/>
        <w:ind w:left="1418" w:right="284"/>
        <w:rPr>
          <w:lang w:val="en-US"/>
        </w:rPr>
      </w:pPr>
      <w:r>
        <w:t>In the paragraph following the example of distinguishing marks in the first line replace “non-independent” by “</w:t>
      </w:r>
      <w:r w:rsidRPr="00F2014A">
        <w:rPr>
          <w:i/>
        </w:rPr>
        <w:t>dependent</w:t>
      </w:r>
      <w:r>
        <w:t>”.</w:t>
      </w:r>
    </w:p>
    <w:p w:rsidR="00543C49" w:rsidRPr="00482896" w:rsidRDefault="00543C49" w:rsidP="00E16BEF">
      <w:pPr>
        <w:pStyle w:val="SingleTxtG"/>
        <w:ind w:right="284"/>
        <w:rPr>
          <w:b/>
          <w:bCs/>
        </w:rPr>
      </w:pPr>
      <w:r w:rsidRPr="00482896">
        <w:rPr>
          <w:b/>
          <w:bCs/>
        </w:rPr>
        <w:t>Justification</w:t>
      </w:r>
    </w:p>
    <w:p w:rsidR="00543C49" w:rsidRDefault="00E16BEF" w:rsidP="00E16BEF">
      <w:pPr>
        <w:pStyle w:val="SingleTxtG"/>
        <w:ind w:right="284"/>
      </w:pPr>
      <w:r>
        <w:t>3.</w:t>
      </w:r>
      <w:r>
        <w:tab/>
      </w:r>
      <w:r w:rsidR="00543C49">
        <w:t xml:space="preserve">In the regulation a difference is made between thermal appliances that can function independent of the movement of a vehicle of the running of the engine of the vehicle. This means that the supply, or </w:t>
      </w:r>
      <w:proofErr w:type="gramStart"/>
      <w:r w:rsidR="00543C49">
        <w:t>sufficient</w:t>
      </w:r>
      <w:proofErr w:type="gramEnd"/>
      <w:r w:rsidR="00543C49">
        <w:t xml:space="preserve"> supply, of heating or cooling during standstill of the vehicle is not guaranteed. The use of these terms is </w:t>
      </w:r>
      <w:proofErr w:type="gramStart"/>
      <w:r w:rsidR="00543C49">
        <w:t>in particular in</w:t>
      </w:r>
      <w:proofErr w:type="gramEnd"/>
      <w:r w:rsidR="00543C49">
        <w:t xml:space="preserve"> the English version not consistently applied leading to confusion.</w:t>
      </w:r>
    </w:p>
    <w:p w:rsidR="00543C49" w:rsidRPr="00482896" w:rsidRDefault="007D1337" w:rsidP="00E16BEF">
      <w:pPr>
        <w:pStyle w:val="H23G"/>
        <w:ind w:right="284"/>
      </w:pPr>
      <w:r>
        <w:tab/>
      </w:r>
      <w:r>
        <w:tab/>
      </w:r>
      <w:r w:rsidR="00543C49" w:rsidRPr="00482896">
        <w:t>Part 2</w:t>
      </w:r>
    </w:p>
    <w:p w:rsidR="00543C49" w:rsidRDefault="00E16BEF" w:rsidP="00E16BEF">
      <w:pPr>
        <w:pStyle w:val="SingleTxtG"/>
        <w:ind w:right="284"/>
      </w:pPr>
      <w:r>
        <w:t>4.</w:t>
      </w:r>
      <w:r>
        <w:tab/>
      </w:r>
      <w:r w:rsidR="00543C49">
        <w:t xml:space="preserve">The notation of the exact date of manufacture results in problems with finding the information on the unit and if not filled in correctly refusal of the test report and delay in the issue of ATP certificates. There is no </w:t>
      </w:r>
      <w:proofErr w:type="gramStart"/>
      <w:r w:rsidR="00543C49">
        <w:t>particular reason</w:t>
      </w:r>
      <w:proofErr w:type="gramEnd"/>
      <w:r w:rsidR="00543C49">
        <w:t xml:space="preserve"> to be so precise. </w:t>
      </w:r>
    </w:p>
    <w:p w:rsidR="00543C49" w:rsidRPr="00482896" w:rsidRDefault="00543C49" w:rsidP="00E16BEF">
      <w:pPr>
        <w:pStyle w:val="SingleTxtG"/>
        <w:ind w:right="284"/>
        <w:rPr>
          <w:b/>
          <w:bCs/>
          <w:i/>
          <w:iCs/>
        </w:rPr>
      </w:pPr>
      <w:r w:rsidRPr="00482896">
        <w:rPr>
          <w:b/>
          <w:bCs/>
          <w:i/>
          <w:iCs/>
        </w:rPr>
        <w:t>Proposal 4</w:t>
      </w:r>
    </w:p>
    <w:p w:rsidR="00543C49" w:rsidRDefault="00543C49" w:rsidP="00E16BEF">
      <w:pPr>
        <w:pStyle w:val="SingleTxtG"/>
        <w:ind w:left="1418" w:right="284"/>
      </w:pPr>
      <w:r>
        <w:t>In test report model No. 12 “Determination of effective refrigerating capacity of a refrigeration unit in accordance with section 4 of ATP Annex 1, Appendix 2” replace under (a) Technical specification:</w:t>
      </w:r>
    </w:p>
    <w:p w:rsidR="00543C49" w:rsidRDefault="00543C49" w:rsidP="00E16BEF">
      <w:pPr>
        <w:pStyle w:val="SingleTxtG"/>
        <w:ind w:left="1418" w:right="284"/>
      </w:pPr>
      <w:r>
        <w:t>“Date of Manufacture” in “</w:t>
      </w:r>
      <w:r w:rsidRPr="00F2014A">
        <w:rPr>
          <w:i/>
        </w:rPr>
        <w:t>Year of manufacture</w:t>
      </w:r>
      <w:r>
        <w:t>”.</w:t>
      </w:r>
    </w:p>
    <w:p w:rsidR="00543C49" w:rsidRPr="00482896" w:rsidRDefault="00543C49" w:rsidP="00E16BEF">
      <w:pPr>
        <w:pStyle w:val="SingleTxtG"/>
        <w:ind w:right="284"/>
        <w:rPr>
          <w:b/>
          <w:bCs/>
        </w:rPr>
      </w:pPr>
      <w:r w:rsidRPr="00482896">
        <w:rPr>
          <w:b/>
          <w:bCs/>
        </w:rPr>
        <w:t>Justification</w:t>
      </w:r>
    </w:p>
    <w:p w:rsidR="00543C49" w:rsidRDefault="00E16BEF" w:rsidP="00E16BEF">
      <w:pPr>
        <w:pStyle w:val="SingleTxtG"/>
        <w:ind w:right="284"/>
      </w:pPr>
      <w:r>
        <w:t>5.</w:t>
      </w:r>
      <w:r>
        <w:tab/>
      </w:r>
      <w:r w:rsidR="00543C49">
        <w:t xml:space="preserve">In all other test reports year of manufacture is used. It is felt that while in Report No 13 date of manufacture does not serve </w:t>
      </w:r>
      <w:proofErr w:type="gramStart"/>
      <w:r w:rsidR="00543C49">
        <w:t>particular purpose</w:t>
      </w:r>
      <w:proofErr w:type="gramEnd"/>
      <w:r w:rsidR="00543C49">
        <w:t xml:space="preserve"> and proves difficult to retrieve in all cases. Also</w:t>
      </w:r>
      <w:r>
        <w:t>,</w:t>
      </w:r>
      <w:r w:rsidR="00543C49">
        <w:t xml:space="preserve"> the manufactures plate in Annex 1, Appendix 1 paragraph 5 requires only month and year of construction but not the actual day-month-year.</w:t>
      </w:r>
    </w:p>
    <w:p w:rsidR="00543C49" w:rsidRPr="00482896" w:rsidRDefault="007D1337" w:rsidP="00E16BEF">
      <w:pPr>
        <w:pStyle w:val="H23G"/>
        <w:ind w:right="284"/>
      </w:pPr>
      <w:r>
        <w:tab/>
      </w:r>
      <w:r>
        <w:tab/>
      </w:r>
      <w:r w:rsidR="00543C49" w:rsidRPr="00482896">
        <w:t>Part 3</w:t>
      </w:r>
    </w:p>
    <w:p w:rsidR="00543C49" w:rsidRDefault="00E16BEF" w:rsidP="00E16BEF">
      <w:pPr>
        <w:pStyle w:val="SingleTxtG"/>
        <w:ind w:right="284"/>
      </w:pPr>
      <w:r>
        <w:t>6.</w:t>
      </w:r>
      <w:r>
        <w:tab/>
      </w:r>
      <w:r w:rsidR="00543C49">
        <w:t>Detailed information concerning the condenser in Test report Model No. 13.</w:t>
      </w:r>
    </w:p>
    <w:p w:rsidR="00543C49" w:rsidRPr="00482896" w:rsidRDefault="00543C49" w:rsidP="00E16BEF">
      <w:pPr>
        <w:pStyle w:val="SingleTxtG"/>
        <w:ind w:right="284"/>
        <w:rPr>
          <w:b/>
          <w:bCs/>
          <w:i/>
          <w:iCs/>
        </w:rPr>
      </w:pPr>
      <w:r w:rsidRPr="00482896">
        <w:rPr>
          <w:b/>
          <w:bCs/>
          <w:i/>
          <w:iCs/>
        </w:rPr>
        <w:t>Proposal 5</w:t>
      </w:r>
    </w:p>
    <w:p w:rsidR="00543C49" w:rsidRDefault="00543C49" w:rsidP="00E16BEF">
      <w:pPr>
        <w:pStyle w:val="SingleTxtG"/>
        <w:ind w:left="1418" w:right="284"/>
      </w:pPr>
      <w:r>
        <w:t>Amend the first line of the table concerning “heat exchangers” to read as below:</w:t>
      </w:r>
    </w:p>
    <w:tbl>
      <w:tblPr>
        <w:tblStyle w:val="TableGrid"/>
        <w:tblW w:w="7370" w:type="dxa"/>
        <w:tblInd w:w="1134" w:type="dxa"/>
        <w:tblLook w:val="04A0" w:firstRow="1" w:lastRow="0" w:firstColumn="1" w:lastColumn="0" w:noHBand="0" w:noVBand="1"/>
      </w:tblPr>
      <w:tblGrid>
        <w:gridCol w:w="2211"/>
        <w:gridCol w:w="2567"/>
        <w:gridCol w:w="2592"/>
      </w:tblGrid>
      <w:tr w:rsidR="00543C49" w:rsidTr="007D1337">
        <w:trPr>
          <w:trHeight w:val="315"/>
        </w:trPr>
        <w:tc>
          <w:tcPr>
            <w:tcW w:w="2708" w:type="dxa"/>
          </w:tcPr>
          <w:p w:rsidR="00543C49" w:rsidRPr="00F2014A" w:rsidRDefault="00543C49" w:rsidP="00E16BEF">
            <w:pPr>
              <w:ind w:left="1134" w:right="284"/>
              <w:rPr>
                <w:i/>
              </w:rPr>
            </w:pPr>
          </w:p>
        </w:tc>
        <w:tc>
          <w:tcPr>
            <w:tcW w:w="2702" w:type="dxa"/>
          </w:tcPr>
          <w:p w:rsidR="00543C49" w:rsidRPr="00F2014A" w:rsidRDefault="00543C49" w:rsidP="00E16BEF">
            <w:pPr>
              <w:ind w:left="1134" w:right="284"/>
              <w:rPr>
                <w:i/>
              </w:rPr>
            </w:pPr>
            <w:r w:rsidRPr="00F2014A">
              <w:rPr>
                <w:i/>
              </w:rPr>
              <w:t>Condenser</w:t>
            </w:r>
          </w:p>
        </w:tc>
        <w:tc>
          <w:tcPr>
            <w:tcW w:w="2712" w:type="dxa"/>
          </w:tcPr>
          <w:p w:rsidR="00543C49" w:rsidRPr="00F2014A" w:rsidRDefault="00543C49" w:rsidP="00E16BEF">
            <w:pPr>
              <w:ind w:left="1134" w:right="284"/>
              <w:rPr>
                <w:i/>
              </w:rPr>
            </w:pPr>
            <w:r w:rsidRPr="00F2014A">
              <w:rPr>
                <w:i/>
              </w:rPr>
              <w:t>Evaporator</w:t>
            </w:r>
          </w:p>
        </w:tc>
      </w:tr>
      <w:tr w:rsidR="00543C49" w:rsidTr="007D1337">
        <w:trPr>
          <w:trHeight w:val="303"/>
        </w:trPr>
        <w:tc>
          <w:tcPr>
            <w:tcW w:w="2708" w:type="dxa"/>
          </w:tcPr>
          <w:p w:rsidR="00543C49" w:rsidRPr="00F2014A" w:rsidRDefault="00543C49" w:rsidP="00E16BEF">
            <w:pPr>
              <w:tabs>
                <w:tab w:val="left" w:pos="1335"/>
              </w:tabs>
              <w:ind w:right="284"/>
              <w:rPr>
                <w:i/>
              </w:rPr>
            </w:pPr>
            <w:r>
              <w:rPr>
                <w:i/>
              </w:rPr>
              <w:t xml:space="preserve">    </w:t>
            </w:r>
            <w:r w:rsidRPr="00F2014A">
              <w:rPr>
                <w:i/>
              </w:rPr>
              <w:t xml:space="preserve">Make </w:t>
            </w:r>
            <w:r w:rsidRPr="00F2014A">
              <w:rPr>
                <w:i/>
                <w:vertAlign w:val="superscript"/>
              </w:rPr>
              <w:t>2/</w:t>
            </w:r>
          </w:p>
        </w:tc>
        <w:tc>
          <w:tcPr>
            <w:tcW w:w="2702" w:type="dxa"/>
          </w:tcPr>
          <w:p w:rsidR="00543C49" w:rsidRPr="00F2014A" w:rsidRDefault="00543C49" w:rsidP="00E16BEF">
            <w:pPr>
              <w:ind w:left="1134" w:right="284"/>
              <w:rPr>
                <w:i/>
              </w:rPr>
            </w:pPr>
          </w:p>
        </w:tc>
        <w:tc>
          <w:tcPr>
            <w:tcW w:w="2712" w:type="dxa"/>
          </w:tcPr>
          <w:p w:rsidR="00543C49" w:rsidRPr="00F2014A" w:rsidRDefault="00543C49" w:rsidP="00E16BEF">
            <w:pPr>
              <w:ind w:left="1134" w:right="284"/>
              <w:rPr>
                <w:i/>
              </w:rPr>
            </w:pPr>
          </w:p>
        </w:tc>
      </w:tr>
      <w:tr w:rsidR="00543C49" w:rsidTr="007D1337">
        <w:trPr>
          <w:trHeight w:val="315"/>
        </w:trPr>
        <w:tc>
          <w:tcPr>
            <w:tcW w:w="2708" w:type="dxa"/>
          </w:tcPr>
          <w:p w:rsidR="00543C49" w:rsidRPr="00F2014A" w:rsidRDefault="00543C49" w:rsidP="00E16BEF">
            <w:pPr>
              <w:ind w:right="284"/>
              <w:rPr>
                <w:i/>
              </w:rPr>
            </w:pPr>
            <w:r>
              <w:rPr>
                <w:i/>
              </w:rPr>
              <w:t xml:space="preserve">    </w:t>
            </w:r>
            <w:r w:rsidRPr="00F2014A">
              <w:rPr>
                <w:i/>
              </w:rPr>
              <w:t xml:space="preserve">Type (if applicable) </w:t>
            </w:r>
            <w:r w:rsidRPr="00F2014A">
              <w:rPr>
                <w:i/>
                <w:vertAlign w:val="superscript"/>
              </w:rPr>
              <w:t>2/</w:t>
            </w:r>
          </w:p>
        </w:tc>
        <w:tc>
          <w:tcPr>
            <w:tcW w:w="2702" w:type="dxa"/>
          </w:tcPr>
          <w:p w:rsidR="00543C49" w:rsidRPr="00F2014A" w:rsidRDefault="00543C49" w:rsidP="00E16BEF">
            <w:pPr>
              <w:ind w:left="1134" w:right="284"/>
              <w:rPr>
                <w:i/>
              </w:rPr>
            </w:pPr>
          </w:p>
        </w:tc>
        <w:tc>
          <w:tcPr>
            <w:tcW w:w="2712" w:type="dxa"/>
          </w:tcPr>
          <w:p w:rsidR="00543C49" w:rsidRPr="00F2014A" w:rsidRDefault="00543C49" w:rsidP="00E16BEF">
            <w:pPr>
              <w:ind w:left="1134" w:right="284"/>
              <w:rPr>
                <w:i/>
              </w:rPr>
            </w:pPr>
          </w:p>
        </w:tc>
      </w:tr>
    </w:tbl>
    <w:p w:rsidR="00543C49" w:rsidRPr="00482896" w:rsidRDefault="00543C49" w:rsidP="00E16BEF">
      <w:pPr>
        <w:pStyle w:val="SingleTxtG"/>
        <w:keepNext/>
        <w:keepLines/>
        <w:spacing w:before="120"/>
        <w:ind w:right="284"/>
        <w:rPr>
          <w:b/>
          <w:bCs/>
          <w:i/>
          <w:iCs/>
        </w:rPr>
      </w:pPr>
      <w:r w:rsidRPr="00482896">
        <w:rPr>
          <w:b/>
          <w:bCs/>
          <w:i/>
          <w:iCs/>
        </w:rPr>
        <w:t>Proposal 6</w:t>
      </w:r>
    </w:p>
    <w:p w:rsidR="00543C49" w:rsidRDefault="00543C49" w:rsidP="00E16BEF">
      <w:pPr>
        <w:pStyle w:val="SingleTxtG"/>
        <w:keepNext/>
        <w:keepLines/>
        <w:ind w:left="1418" w:right="284"/>
      </w:pPr>
      <w:r>
        <w:t>Replace the wording of foot note “2” at the end of test report Model No.12:</w:t>
      </w:r>
    </w:p>
    <w:p w:rsidR="00543C49" w:rsidRDefault="00543C49" w:rsidP="00E16BEF">
      <w:pPr>
        <w:pStyle w:val="SingleTxtG"/>
        <w:ind w:left="1418" w:right="284"/>
      </w:pPr>
      <w:r>
        <w:t>“2 Value indicated by the manufacturer” in “</w:t>
      </w:r>
      <w:r w:rsidRPr="00F2014A">
        <w:rPr>
          <w:i/>
        </w:rPr>
        <w:t>2 information indicated by the manufacturer</w:t>
      </w:r>
      <w:r>
        <w:t>”</w:t>
      </w:r>
    </w:p>
    <w:p w:rsidR="00543C49" w:rsidRPr="00482896" w:rsidRDefault="00543C49" w:rsidP="00E16BEF">
      <w:pPr>
        <w:pStyle w:val="SingleTxtG"/>
        <w:pageBreakBefore/>
        <w:ind w:right="284"/>
        <w:rPr>
          <w:b/>
          <w:bCs/>
        </w:rPr>
      </w:pPr>
      <w:r w:rsidRPr="00482896">
        <w:rPr>
          <w:b/>
          <w:bCs/>
        </w:rPr>
        <w:lastRenderedPageBreak/>
        <w:t xml:space="preserve">Justification </w:t>
      </w:r>
    </w:p>
    <w:p w:rsidR="00543C49" w:rsidRPr="00283C16" w:rsidRDefault="00E16BEF" w:rsidP="00E16BEF">
      <w:pPr>
        <w:pStyle w:val="SingleTxtG"/>
        <w:ind w:right="284"/>
        <w:rPr>
          <w:rFonts w:eastAsia="Calibri"/>
          <w:i/>
          <w:lang w:val="en-US"/>
        </w:rPr>
      </w:pPr>
      <w:r>
        <w:t>7.</w:t>
      </w:r>
      <w:r>
        <w:tab/>
      </w:r>
      <w:r w:rsidR="00543C49">
        <w:t xml:space="preserve">Some information is just not available or possible to inspect due to the assembly when offered for a test. In many cases the condenser is fabricated by the unit manufacturer and is </w:t>
      </w:r>
      <w:proofErr w:type="gramStart"/>
      <w:r w:rsidR="00543C49">
        <w:t>particular top</w:t>
      </w:r>
      <w:proofErr w:type="gramEnd"/>
      <w:r w:rsidR="00543C49">
        <w:t xml:space="preserve"> the type and has no individual type name. </w:t>
      </w:r>
    </w:p>
    <w:p w:rsidR="003C4BB1" w:rsidRPr="00A044AB" w:rsidRDefault="003C4BB1" w:rsidP="00A044AB">
      <w:pPr>
        <w:spacing w:before="240"/>
        <w:jc w:val="center"/>
        <w:rPr>
          <w:rFonts w:eastAsia="SimSun"/>
          <w:u w:val="single"/>
          <w:lang w:val="en-US" w:eastAsia="zh-CN"/>
        </w:rPr>
      </w:pPr>
      <w:r w:rsidRPr="00543C49">
        <w:rPr>
          <w:rFonts w:eastAsia="SimSun"/>
          <w:lang w:val="en-US" w:eastAsia="zh-CN"/>
        </w:rPr>
        <w:tab/>
      </w:r>
      <w:r w:rsidR="00A044AB">
        <w:rPr>
          <w:rFonts w:eastAsia="SimSun"/>
          <w:u w:val="single"/>
          <w:lang w:val="en-US" w:eastAsia="zh-CN"/>
        </w:rPr>
        <w:tab/>
      </w:r>
      <w:r w:rsidR="00A044AB">
        <w:rPr>
          <w:rFonts w:eastAsia="SimSun"/>
          <w:u w:val="single"/>
          <w:lang w:val="en-US" w:eastAsia="zh-CN"/>
        </w:rPr>
        <w:tab/>
      </w:r>
      <w:r w:rsidR="00A044AB">
        <w:rPr>
          <w:rFonts w:eastAsia="SimSun"/>
          <w:u w:val="single"/>
          <w:lang w:val="en-US" w:eastAsia="zh-CN"/>
        </w:rPr>
        <w:tab/>
      </w:r>
    </w:p>
    <w:sectPr w:rsidR="003C4BB1" w:rsidRPr="00A044AB" w:rsidSect="00543C49">
      <w:headerReference w:type="even" r:id="rId9"/>
      <w:headerReference w:type="default" r:id="rId10"/>
      <w:footerReference w:type="even" r:id="rId11"/>
      <w:footerReference w:type="default" r:id="rId12"/>
      <w:endnotePr>
        <w:numFmt w:val="decimal"/>
      </w:endnotePr>
      <w:pgSz w:w="11907" w:h="16840" w:code="9"/>
      <w:pgMar w:top="1701" w:right="198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3B5" w:rsidRDefault="00FE73B5"/>
  </w:endnote>
  <w:endnote w:type="continuationSeparator" w:id="0">
    <w:p w:rsidR="00FE73B5" w:rsidRDefault="00FE73B5"/>
  </w:endnote>
  <w:endnote w:type="continuationNotice" w:id="1">
    <w:p w:rsidR="00FE73B5" w:rsidRDefault="00FE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05" w:rsidRPr="00F616E0" w:rsidRDefault="00A06005"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4B604A">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05" w:rsidRPr="00F616E0" w:rsidRDefault="00A06005"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4B604A">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3B5" w:rsidRPr="000B175B" w:rsidRDefault="00FE73B5" w:rsidP="000B175B">
      <w:pPr>
        <w:tabs>
          <w:tab w:val="right" w:pos="2155"/>
        </w:tabs>
        <w:spacing w:after="80"/>
        <w:ind w:left="680"/>
        <w:rPr>
          <w:u w:val="single"/>
        </w:rPr>
      </w:pPr>
      <w:r>
        <w:rPr>
          <w:u w:val="single"/>
        </w:rPr>
        <w:tab/>
      </w:r>
    </w:p>
  </w:footnote>
  <w:footnote w:type="continuationSeparator" w:id="0">
    <w:p w:rsidR="00FE73B5" w:rsidRPr="00FC68B7" w:rsidRDefault="00FE73B5" w:rsidP="00FC68B7">
      <w:pPr>
        <w:tabs>
          <w:tab w:val="left" w:pos="2155"/>
        </w:tabs>
        <w:spacing w:after="80"/>
        <w:ind w:left="680"/>
        <w:rPr>
          <w:u w:val="single"/>
        </w:rPr>
      </w:pPr>
      <w:r>
        <w:rPr>
          <w:u w:val="single"/>
        </w:rPr>
        <w:tab/>
      </w:r>
    </w:p>
  </w:footnote>
  <w:footnote w:type="continuationNotice" w:id="1">
    <w:p w:rsidR="00FE73B5" w:rsidRDefault="00FE7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05" w:rsidRPr="00F616E0" w:rsidRDefault="00D42BDA" w:rsidP="003C4BB1">
    <w:pPr>
      <w:pStyle w:val="Header"/>
    </w:pPr>
    <w:r>
      <w:t>ECE/TRANS/WP.11/201</w:t>
    </w:r>
    <w:r w:rsidR="00543C49">
      <w:t>9</w:t>
    </w:r>
    <w:r w:rsidR="00A06005">
      <w:t>/</w:t>
    </w:r>
    <w:r w:rsidR="00482896">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05" w:rsidRPr="00F616E0" w:rsidRDefault="00D42BDA" w:rsidP="00F616E0">
    <w:pPr>
      <w:pStyle w:val="Header"/>
      <w:jc w:val="right"/>
    </w:pPr>
    <w:r>
      <w:t>ECE/TRANS/WP.11/201</w:t>
    </w:r>
    <w:r w:rsidR="00543C49">
      <w:t>9</w:t>
    </w:r>
    <w:r w:rsidR="00A06005">
      <w:t>/</w:t>
    </w:r>
    <w:r w:rsidR="00A044AB">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D61C9"/>
    <w:multiLevelType w:val="hybridMultilevel"/>
    <w:tmpl w:val="CC0EC0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4467EC"/>
    <w:multiLevelType w:val="hybridMultilevel"/>
    <w:tmpl w:val="57AA7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23795A"/>
    <w:multiLevelType w:val="hybridMultilevel"/>
    <w:tmpl w:val="4C5A6914"/>
    <w:lvl w:ilvl="0" w:tplc="D08ADA38">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2064A"/>
    <w:multiLevelType w:val="hybridMultilevel"/>
    <w:tmpl w:val="E4E852E4"/>
    <w:lvl w:ilvl="0" w:tplc="F36869C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6B33FA4"/>
    <w:multiLevelType w:val="hybridMultilevel"/>
    <w:tmpl w:val="092406B4"/>
    <w:lvl w:ilvl="0" w:tplc="B55047F6">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3"/>
  </w:num>
  <w:num w:numId="14">
    <w:abstractNumId w:val="21"/>
  </w:num>
  <w:num w:numId="15">
    <w:abstractNumId w:val="23"/>
  </w:num>
  <w:num w:numId="16">
    <w:abstractNumId w:val="17"/>
  </w:num>
  <w:num w:numId="17">
    <w:abstractNumId w:val="15"/>
  </w:num>
  <w:num w:numId="18">
    <w:abstractNumId w:val="19"/>
  </w:num>
  <w:num w:numId="19">
    <w:abstractNumId w:val="11"/>
  </w:num>
  <w:num w:numId="20">
    <w:abstractNumId w:val="10"/>
  </w:num>
  <w:num w:numId="21">
    <w:abstractNumId w:val="18"/>
  </w:num>
  <w:num w:numId="22">
    <w:abstractNumId w:val="12"/>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3E"/>
    <w:rsid w:val="000036AF"/>
    <w:rsid w:val="0000431F"/>
    <w:rsid w:val="000121C0"/>
    <w:rsid w:val="00014F08"/>
    <w:rsid w:val="00021E79"/>
    <w:rsid w:val="00025A8C"/>
    <w:rsid w:val="000267A0"/>
    <w:rsid w:val="00026B0C"/>
    <w:rsid w:val="00032971"/>
    <w:rsid w:val="00036FFC"/>
    <w:rsid w:val="00046B1F"/>
    <w:rsid w:val="00050F6B"/>
    <w:rsid w:val="000513C9"/>
    <w:rsid w:val="00051B62"/>
    <w:rsid w:val="000539FC"/>
    <w:rsid w:val="00057CAB"/>
    <w:rsid w:val="00057E97"/>
    <w:rsid w:val="00062906"/>
    <w:rsid w:val="00063B49"/>
    <w:rsid w:val="000646F4"/>
    <w:rsid w:val="0006553B"/>
    <w:rsid w:val="000716F6"/>
    <w:rsid w:val="000724C3"/>
    <w:rsid w:val="00072A11"/>
    <w:rsid w:val="00072C8C"/>
    <w:rsid w:val="000733B5"/>
    <w:rsid w:val="00081815"/>
    <w:rsid w:val="000818E6"/>
    <w:rsid w:val="00082F1C"/>
    <w:rsid w:val="00082F82"/>
    <w:rsid w:val="00083CE4"/>
    <w:rsid w:val="0009181A"/>
    <w:rsid w:val="0009238E"/>
    <w:rsid w:val="000931C0"/>
    <w:rsid w:val="000A2D79"/>
    <w:rsid w:val="000A6F43"/>
    <w:rsid w:val="000B0595"/>
    <w:rsid w:val="000B0A5F"/>
    <w:rsid w:val="000B175B"/>
    <w:rsid w:val="000B3A0F"/>
    <w:rsid w:val="000B4EF7"/>
    <w:rsid w:val="000B6ED0"/>
    <w:rsid w:val="000C1325"/>
    <w:rsid w:val="000C2C03"/>
    <w:rsid w:val="000C2D2E"/>
    <w:rsid w:val="000D596F"/>
    <w:rsid w:val="000E0415"/>
    <w:rsid w:val="000E2E01"/>
    <w:rsid w:val="000E72E5"/>
    <w:rsid w:val="000F155A"/>
    <w:rsid w:val="001103AA"/>
    <w:rsid w:val="001125D2"/>
    <w:rsid w:val="00113059"/>
    <w:rsid w:val="0011666B"/>
    <w:rsid w:val="0012193C"/>
    <w:rsid w:val="0012408B"/>
    <w:rsid w:val="00147FBE"/>
    <w:rsid w:val="001529E6"/>
    <w:rsid w:val="001610B9"/>
    <w:rsid w:val="00165F3A"/>
    <w:rsid w:val="001673B2"/>
    <w:rsid w:val="001708DB"/>
    <w:rsid w:val="00182015"/>
    <w:rsid w:val="001844FB"/>
    <w:rsid w:val="00187A6E"/>
    <w:rsid w:val="0019099F"/>
    <w:rsid w:val="00190E3A"/>
    <w:rsid w:val="001A65D6"/>
    <w:rsid w:val="001B2386"/>
    <w:rsid w:val="001B4B04"/>
    <w:rsid w:val="001B7022"/>
    <w:rsid w:val="001C0665"/>
    <w:rsid w:val="001C12E3"/>
    <w:rsid w:val="001C5F78"/>
    <w:rsid w:val="001C6663"/>
    <w:rsid w:val="001C7895"/>
    <w:rsid w:val="001C7AEB"/>
    <w:rsid w:val="001D0C8C"/>
    <w:rsid w:val="001D1419"/>
    <w:rsid w:val="001D26DF"/>
    <w:rsid w:val="001D31B0"/>
    <w:rsid w:val="001D3A03"/>
    <w:rsid w:val="001D6208"/>
    <w:rsid w:val="001E11BF"/>
    <w:rsid w:val="001E6881"/>
    <w:rsid w:val="001E7B67"/>
    <w:rsid w:val="001F35DE"/>
    <w:rsid w:val="001F55CD"/>
    <w:rsid w:val="001F6C6A"/>
    <w:rsid w:val="00202DA8"/>
    <w:rsid w:val="002050C0"/>
    <w:rsid w:val="00211E0B"/>
    <w:rsid w:val="00220A35"/>
    <w:rsid w:val="00232390"/>
    <w:rsid w:val="00232A3C"/>
    <w:rsid w:val="00234D39"/>
    <w:rsid w:val="0023604B"/>
    <w:rsid w:val="00237D94"/>
    <w:rsid w:val="00242783"/>
    <w:rsid w:val="002457A3"/>
    <w:rsid w:val="0024772E"/>
    <w:rsid w:val="00247CF5"/>
    <w:rsid w:val="0025644D"/>
    <w:rsid w:val="00264ADD"/>
    <w:rsid w:val="00266CBC"/>
    <w:rsid w:val="00267F5F"/>
    <w:rsid w:val="0027319B"/>
    <w:rsid w:val="00274058"/>
    <w:rsid w:val="00283C16"/>
    <w:rsid w:val="00284647"/>
    <w:rsid w:val="0028692C"/>
    <w:rsid w:val="00286B4D"/>
    <w:rsid w:val="00286C00"/>
    <w:rsid w:val="0029243B"/>
    <w:rsid w:val="002B6500"/>
    <w:rsid w:val="002C103C"/>
    <w:rsid w:val="002D4643"/>
    <w:rsid w:val="002D6171"/>
    <w:rsid w:val="002E046D"/>
    <w:rsid w:val="002E5BFC"/>
    <w:rsid w:val="002F0425"/>
    <w:rsid w:val="002F175C"/>
    <w:rsid w:val="00302E18"/>
    <w:rsid w:val="00305E87"/>
    <w:rsid w:val="0030613B"/>
    <w:rsid w:val="003229D8"/>
    <w:rsid w:val="00323D36"/>
    <w:rsid w:val="00327A6D"/>
    <w:rsid w:val="0033606C"/>
    <w:rsid w:val="00344B55"/>
    <w:rsid w:val="00350EE7"/>
    <w:rsid w:val="00352709"/>
    <w:rsid w:val="00354A0B"/>
    <w:rsid w:val="003604C6"/>
    <w:rsid w:val="003619B5"/>
    <w:rsid w:val="00362CCE"/>
    <w:rsid w:val="00364DF6"/>
    <w:rsid w:val="00365763"/>
    <w:rsid w:val="00371178"/>
    <w:rsid w:val="0037178C"/>
    <w:rsid w:val="00387AC1"/>
    <w:rsid w:val="00391B64"/>
    <w:rsid w:val="00392E47"/>
    <w:rsid w:val="00396E68"/>
    <w:rsid w:val="00397B90"/>
    <w:rsid w:val="003A443C"/>
    <w:rsid w:val="003A6810"/>
    <w:rsid w:val="003B02BF"/>
    <w:rsid w:val="003B2357"/>
    <w:rsid w:val="003B2F18"/>
    <w:rsid w:val="003C1F49"/>
    <w:rsid w:val="003C2020"/>
    <w:rsid w:val="003C2CC4"/>
    <w:rsid w:val="003C4BB1"/>
    <w:rsid w:val="003D1847"/>
    <w:rsid w:val="003D4B23"/>
    <w:rsid w:val="003D5CF9"/>
    <w:rsid w:val="003E021C"/>
    <w:rsid w:val="003E130E"/>
    <w:rsid w:val="003F7842"/>
    <w:rsid w:val="0040100F"/>
    <w:rsid w:val="00404879"/>
    <w:rsid w:val="00410C89"/>
    <w:rsid w:val="00413616"/>
    <w:rsid w:val="00414F52"/>
    <w:rsid w:val="00422E03"/>
    <w:rsid w:val="00426B9B"/>
    <w:rsid w:val="00430C99"/>
    <w:rsid w:val="004325CB"/>
    <w:rsid w:val="00434C67"/>
    <w:rsid w:val="00434CE9"/>
    <w:rsid w:val="00442A83"/>
    <w:rsid w:val="00446BA7"/>
    <w:rsid w:val="0045495B"/>
    <w:rsid w:val="00455AF8"/>
    <w:rsid w:val="004561E5"/>
    <w:rsid w:val="00464B22"/>
    <w:rsid w:val="00466DBF"/>
    <w:rsid w:val="004670E4"/>
    <w:rsid w:val="00476114"/>
    <w:rsid w:val="00476600"/>
    <w:rsid w:val="00482896"/>
    <w:rsid w:val="0048397A"/>
    <w:rsid w:val="00485CBB"/>
    <w:rsid w:val="004866B7"/>
    <w:rsid w:val="00491891"/>
    <w:rsid w:val="00496046"/>
    <w:rsid w:val="00496B0F"/>
    <w:rsid w:val="004B1578"/>
    <w:rsid w:val="004B5475"/>
    <w:rsid w:val="004B604A"/>
    <w:rsid w:val="004C2461"/>
    <w:rsid w:val="004C56F1"/>
    <w:rsid w:val="004C7462"/>
    <w:rsid w:val="004D472E"/>
    <w:rsid w:val="004E26EF"/>
    <w:rsid w:val="004E77B2"/>
    <w:rsid w:val="00502665"/>
    <w:rsid w:val="00503A8C"/>
    <w:rsid w:val="00504B2D"/>
    <w:rsid w:val="005062DE"/>
    <w:rsid w:val="0051221D"/>
    <w:rsid w:val="00512997"/>
    <w:rsid w:val="00514FB7"/>
    <w:rsid w:val="0052136D"/>
    <w:rsid w:val="00525154"/>
    <w:rsid w:val="00525638"/>
    <w:rsid w:val="0052775E"/>
    <w:rsid w:val="0053252A"/>
    <w:rsid w:val="0053775A"/>
    <w:rsid w:val="005420F2"/>
    <w:rsid w:val="00543C49"/>
    <w:rsid w:val="005505B3"/>
    <w:rsid w:val="00554E53"/>
    <w:rsid w:val="005600B6"/>
    <w:rsid w:val="00562612"/>
    <w:rsid w:val="005628B6"/>
    <w:rsid w:val="005826B9"/>
    <w:rsid w:val="005830E7"/>
    <w:rsid w:val="005941EC"/>
    <w:rsid w:val="00595DC2"/>
    <w:rsid w:val="0059724D"/>
    <w:rsid w:val="005B29FC"/>
    <w:rsid w:val="005B3DB3"/>
    <w:rsid w:val="005B4E13"/>
    <w:rsid w:val="005B5837"/>
    <w:rsid w:val="005B6BEE"/>
    <w:rsid w:val="005C342F"/>
    <w:rsid w:val="005C47A6"/>
    <w:rsid w:val="005C5A53"/>
    <w:rsid w:val="005C5D29"/>
    <w:rsid w:val="005C5F78"/>
    <w:rsid w:val="005D6907"/>
    <w:rsid w:val="005D7AAE"/>
    <w:rsid w:val="005E7AB8"/>
    <w:rsid w:val="005F3FB8"/>
    <w:rsid w:val="005F7B75"/>
    <w:rsid w:val="006001EE"/>
    <w:rsid w:val="00600B10"/>
    <w:rsid w:val="00600B94"/>
    <w:rsid w:val="00605042"/>
    <w:rsid w:val="00611FC4"/>
    <w:rsid w:val="006176FB"/>
    <w:rsid w:val="006179CB"/>
    <w:rsid w:val="00635554"/>
    <w:rsid w:val="0063557E"/>
    <w:rsid w:val="00640B26"/>
    <w:rsid w:val="00642106"/>
    <w:rsid w:val="006441C3"/>
    <w:rsid w:val="0064668B"/>
    <w:rsid w:val="00651E1A"/>
    <w:rsid w:val="00652D0A"/>
    <w:rsid w:val="006573AB"/>
    <w:rsid w:val="00660162"/>
    <w:rsid w:val="00662BB6"/>
    <w:rsid w:val="00672B32"/>
    <w:rsid w:val="00676606"/>
    <w:rsid w:val="00681EDD"/>
    <w:rsid w:val="00684C21"/>
    <w:rsid w:val="0069490A"/>
    <w:rsid w:val="006A1A4A"/>
    <w:rsid w:val="006A2530"/>
    <w:rsid w:val="006A3207"/>
    <w:rsid w:val="006B6A4C"/>
    <w:rsid w:val="006B7518"/>
    <w:rsid w:val="006C3589"/>
    <w:rsid w:val="006C44C4"/>
    <w:rsid w:val="006D37AF"/>
    <w:rsid w:val="006D4BA8"/>
    <w:rsid w:val="006D51D0"/>
    <w:rsid w:val="006D5FB9"/>
    <w:rsid w:val="006D7784"/>
    <w:rsid w:val="006E564B"/>
    <w:rsid w:val="006E7191"/>
    <w:rsid w:val="006E729E"/>
    <w:rsid w:val="006E7845"/>
    <w:rsid w:val="006F47C8"/>
    <w:rsid w:val="00703577"/>
    <w:rsid w:val="00703F54"/>
    <w:rsid w:val="007048FD"/>
    <w:rsid w:val="00705894"/>
    <w:rsid w:val="00705EC0"/>
    <w:rsid w:val="007100BF"/>
    <w:rsid w:val="00720AE7"/>
    <w:rsid w:val="00721E67"/>
    <w:rsid w:val="00723123"/>
    <w:rsid w:val="0072632A"/>
    <w:rsid w:val="00726728"/>
    <w:rsid w:val="007327D5"/>
    <w:rsid w:val="007338AA"/>
    <w:rsid w:val="0073737F"/>
    <w:rsid w:val="00741515"/>
    <w:rsid w:val="00741E0C"/>
    <w:rsid w:val="00742312"/>
    <w:rsid w:val="00751BFE"/>
    <w:rsid w:val="00760C04"/>
    <w:rsid w:val="007629C8"/>
    <w:rsid w:val="007679A4"/>
    <w:rsid w:val="0077047D"/>
    <w:rsid w:val="00776645"/>
    <w:rsid w:val="0078095E"/>
    <w:rsid w:val="00781CCE"/>
    <w:rsid w:val="007873A7"/>
    <w:rsid w:val="00793BC2"/>
    <w:rsid w:val="007A34F1"/>
    <w:rsid w:val="007A3D1E"/>
    <w:rsid w:val="007A4E46"/>
    <w:rsid w:val="007B2258"/>
    <w:rsid w:val="007B6BA5"/>
    <w:rsid w:val="007C3390"/>
    <w:rsid w:val="007C4F4B"/>
    <w:rsid w:val="007D1337"/>
    <w:rsid w:val="007D6507"/>
    <w:rsid w:val="007E01E9"/>
    <w:rsid w:val="007E63F3"/>
    <w:rsid w:val="007F224B"/>
    <w:rsid w:val="007F4792"/>
    <w:rsid w:val="007F4DB3"/>
    <w:rsid w:val="007F5A76"/>
    <w:rsid w:val="007F6611"/>
    <w:rsid w:val="007F7AAB"/>
    <w:rsid w:val="00810128"/>
    <w:rsid w:val="00811920"/>
    <w:rsid w:val="00815AD0"/>
    <w:rsid w:val="00821246"/>
    <w:rsid w:val="008242D7"/>
    <w:rsid w:val="008257B1"/>
    <w:rsid w:val="00832334"/>
    <w:rsid w:val="00832554"/>
    <w:rsid w:val="00833EBD"/>
    <w:rsid w:val="00843767"/>
    <w:rsid w:val="0084407E"/>
    <w:rsid w:val="00845693"/>
    <w:rsid w:val="00845ECD"/>
    <w:rsid w:val="008517AC"/>
    <w:rsid w:val="008536EB"/>
    <w:rsid w:val="008550CC"/>
    <w:rsid w:val="00856B9E"/>
    <w:rsid w:val="008601E2"/>
    <w:rsid w:val="00865286"/>
    <w:rsid w:val="008679D9"/>
    <w:rsid w:val="00875ECE"/>
    <w:rsid w:val="00881592"/>
    <w:rsid w:val="00881CEE"/>
    <w:rsid w:val="00884CBC"/>
    <w:rsid w:val="008878DE"/>
    <w:rsid w:val="00887DC0"/>
    <w:rsid w:val="008979B1"/>
    <w:rsid w:val="008A4E53"/>
    <w:rsid w:val="008A5B18"/>
    <w:rsid w:val="008A6B25"/>
    <w:rsid w:val="008A6C4F"/>
    <w:rsid w:val="008B2335"/>
    <w:rsid w:val="008B74AA"/>
    <w:rsid w:val="008C1437"/>
    <w:rsid w:val="008C207A"/>
    <w:rsid w:val="008C5740"/>
    <w:rsid w:val="008D0D92"/>
    <w:rsid w:val="008D51AD"/>
    <w:rsid w:val="008D5336"/>
    <w:rsid w:val="008D54C6"/>
    <w:rsid w:val="008D6733"/>
    <w:rsid w:val="008D7DED"/>
    <w:rsid w:val="008E0678"/>
    <w:rsid w:val="008E71F9"/>
    <w:rsid w:val="008E7AEC"/>
    <w:rsid w:val="008F08E5"/>
    <w:rsid w:val="008F1400"/>
    <w:rsid w:val="008F31D2"/>
    <w:rsid w:val="008F6516"/>
    <w:rsid w:val="008F7290"/>
    <w:rsid w:val="00906FB4"/>
    <w:rsid w:val="00917FDE"/>
    <w:rsid w:val="009223CA"/>
    <w:rsid w:val="00923D1B"/>
    <w:rsid w:val="00924E71"/>
    <w:rsid w:val="00930AC6"/>
    <w:rsid w:val="009315A2"/>
    <w:rsid w:val="009349D5"/>
    <w:rsid w:val="00940F93"/>
    <w:rsid w:val="009425D2"/>
    <w:rsid w:val="00942D48"/>
    <w:rsid w:val="009539D0"/>
    <w:rsid w:val="00962A7A"/>
    <w:rsid w:val="00966FF1"/>
    <w:rsid w:val="00971493"/>
    <w:rsid w:val="00975739"/>
    <w:rsid w:val="009760F3"/>
    <w:rsid w:val="00976463"/>
    <w:rsid w:val="00976CFB"/>
    <w:rsid w:val="00985F52"/>
    <w:rsid w:val="009879AF"/>
    <w:rsid w:val="0099507D"/>
    <w:rsid w:val="009950EC"/>
    <w:rsid w:val="009A0830"/>
    <w:rsid w:val="009A0E8D"/>
    <w:rsid w:val="009B26E7"/>
    <w:rsid w:val="009B7F91"/>
    <w:rsid w:val="009E1B4E"/>
    <w:rsid w:val="009E24F3"/>
    <w:rsid w:val="009E31C0"/>
    <w:rsid w:val="009F244A"/>
    <w:rsid w:val="00A00697"/>
    <w:rsid w:val="00A00A3F"/>
    <w:rsid w:val="00A01489"/>
    <w:rsid w:val="00A044AB"/>
    <w:rsid w:val="00A047B6"/>
    <w:rsid w:val="00A06005"/>
    <w:rsid w:val="00A20E54"/>
    <w:rsid w:val="00A22880"/>
    <w:rsid w:val="00A22930"/>
    <w:rsid w:val="00A3026E"/>
    <w:rsid w:val="00A338F1"/>
    <w:rsid w:val="00A35BE0"/>
    <w:rsid w:val="00A4230C"/>
    <w:rsid w:val="00A43341"/>
    <w:rsid w:val="00A46B70"/>
    <w:rsid w:val="00A5552C"/>
    <w:rsid w:val="00A55883"/>
    <w:rsid w:val="00A6129C"/>
    <w:rsid w:val="00A626FF"/>
    <w:rsid w:val="00A643DB"/>
    <w:rsid w:val="00A72F22"/>
    <w:rsid w:val="00A7360F"/>
    <w:rsid w:val="00A748A6"/>
    <w:rsid w:val="00A7633F"/>
    <w:rsid w:val="00A769F4"/>
    <w:rsid w:val="00A776B4"/>
    <w:rsid w:val="00A94361"/>
    <w:rsid w:val="00AA167F"/>
    <w:rsid w:val="00AA293C"/>
    <w:rsid w:val="00AA4FB6"/>
    <w:rsid w:val="00AA5957"/>
    <w:rsid w:val="00AA6D10"/>
    <w:rsid w:val="00AB0752"/>
    <w:rsid w:val="00AB3756"/>
    <w:rsid w:val="00AD0BD9"/>
    <w:rsid w:val="00AD5755"/>
    <w:rsid w:val="00AD57F5"/>
    <w:rsid w:val="00AE3AEE"/>
    <w:rsid w:val="00AE6AFE"/>
    <w:rsid w:val="00AF1EF6"/>
    <w:rsid w:val="00AF4248"/>
    <w:rsid w:val="00B01C44"/>
    <w:rsid w:val="00B046C2"/>
    <w:rsid w:val="00B050D1"/>
    <w:rsid w:val="00B07395"/>
    <w:rsid w:val="00B10009"/>
    <w:rsid w:val="00B229D7"/>
    <w:rsid w:val="00B25706"/>
    <w:rsid w:val="00B25D98"/>
    <w:rsid w:val="00B26134"/>
    <w:rsid w:val="00B30179"/>
    <w:rsid w:val="00B320EE"/>
    <w:rsid w:val="00B37870"/>
    <w:rsid w:val="00B41B3A"/>
    <w:rsid w:val="00B421C1"/>
    <w:rsid w:val="00B440EA"/>
    <w:rsid w:val="00B506D1"/>
    <w:rsid w:val="00B53611"/>
    <w:rsid w:val="00B537FB"/>
    <w:rsid w:val="00B55863"/>
    <w:rsid w:val="00B55C71"/>
    <w:rsid w:val="00B56E4A"/>
    <w:rsid w:val="00B56E9C"/>
    <w:rsid w:val="00B626B5"/>
    <w:rsid w:val="00B64B1F"/>
    <w:rsid w:val="00B6553F"/>
    <w:rsid w:val="00B72D26"/>
    <w:rsid w:val="00B77D05"/>
    <w:rsid w:val="00B81206"/>
    <w:rsid w:val="00B81E12"/>
    <w:rsid w:val="00B85AFD"/>
    <w:rsid w:val="00B87FF3"/>
    <w:rsid w:val="00B92BAE"/>
    <w:rsid w:val="00B941AB"/>
    <w:rsid w:val="00BA7420"/>
    <w:rsid w:val="00BB044E"/>
    <w:rsid w:val="00BC3FA0"/>
    <w:rsid w:val="00BC6C4A"/>
    <w:rsid w:val="00BC74E9"/>
    <w:rsid w:val="00BE04BD"/>
    <w:rsid w:val="00BE6784"/>
    <w:rsid w:val="00BF2162"/>
    <w:rsid w:val="00BF4477"/>
    <w:rsid w:val="00BF59B2"/>
    <w:rsid w:val="00BF68A8"/>
    <w:rsid w:val="00C03565"/>
    <w:rsid w:val="00C0554D"/>
    <w:rsid w:val="00C11A03"/>
    <w:rsid w:val="00C1225D"/>
    <w:rsid w:val="00C129A0"/>
    <w:rsid w:val="00C21749"/>
    <w:rsid w:val="00C22C0C"/>
    <w:rsid w:val="00C2543E"/>
    <w:rsid w:val="00C276CC"/>
    <w:rsid w:val="00C27E00"/>
    <w:rsid w:val="00C30554"/>
    <w:rsid w:val="00C34B08"/>
    <w:rsid w:val="00C35A8B"/>
    <w:rsid w:val="00C44865"/>
    <w:rsid w:val="00C4527F"/>
    <w:rsid w:val="00C456CB"/>
    <w:rsid w:val="00C463DD"/>
    <w:rsid w:val="00C4724C"/>
    <w:rsid w:val="00C629A0"/>
    <w:rsid w:val="00C64629"/>
    <w:rsid w:val="00C6575C"/>
    <w:rsid w:val="00C745C3"/>
    <w:rsid w:val="00C94EF8"/>
    <w:rsid w:val="00C95C91"/>
    <w:rsid w:val="00C96A10"/>
    <w:rsid w:val="00C96DF2"/>
    <w:rsid w:val="00CA152F"/>
    <w:rsid w:val="00CA3B1C"/>
    <w:rsid w:val="00CB1C96"/>
    <w:rsid w:val="00CB3E03"/>
    <w:rsid w:val="00CB487E"/>
    <w:rsid w:val="00CC618A"/>
    <w:rsid w:val="00CD4AA6"/>
    <w:rsid w:val="00CD6114"/>
    <w:rsid w:val="00CD6A06"/>
    <w:rsid w:val="00CE4A8F"/>
    <w:rsid w:val="00D02BE5"/>
    <w:rsid w:val="00D043CB"/>
    <w:rsid w:val="00D1323D"/>
    <w:rsid w:val="00D13D08"/>
    <w:rsid w:val="00D17C38"/>
    <w:rsid w:val="00D2031B"/>
    <w:rsid w:val="00D20B96"/>
    <w:rsid w:val="00D2338F"/>
    <w:rsid w:val="00D248B6"/>
    <w:rsid w:val="00D251B5"/>
    <w:rsid w:val="00D25FE2"/>
    <w:rsid w:val="00D30FD4"/>
    <w:rsid w:val="00D42BDA"/>
    <w:rsid w:val="00D43252"/>
    <w:rsid w:val="00D44DC4"/>
    <w:rsid w:val="00D47EEA"/>
    <w:rsid w:val="00D564AD"/>
    <w:rsid w:val="00D57D44"/>
    <w:rsid w:val="00D623E8"/>
    <w:rsid w:val="00D64FE3"/>
    <w:rsid w:val="00D65921"/>
    <w:rsid w:val="00D773DF"/>
    <w:rsid w:val="00D85943"/>
    <w:rsid w:val="00D86C9C"/>
    <w:rsid w:val="00D95303"/>
    <w:rsid w:val="00D95354"/>
    <w:rsid w:val="00D978C6"/>
    <w:rsid w:val="00DA1588"/>
    <w:rsid w:val="00DA3C1C"/>
    <w:rsid w:val="00DA5A9B"/>
    <w:rsid w:val="00DB0E5A"/>
    <w:rsid w:val="00DB2292"/>
    <w:rsid w:val="00DC48C4"/>
    <w:rsid w:val="00DC7EE7"/>
    <w:rsid w:val="00DD62F6"/>
    <w:rsid w:val="00DE1459"/>
    <w:rsid w:val="00DE7796"/>
    <w:rsid w:val="00DF084F"/>
    <w:rsid w:val="00DF582E"/>
    <w:rsid w:val="00DF6299"/>
    <w:rsid w:val="00E046DF"/>
    <w:rsid w:val="00E06812"/>
    <w:rsid w:val="00E06F4C"/>
    <w:rsid w:val="00E16BEF"/>
    <w:rsid w:val="00E17F99"/>
    <w:rsid w:val="00E202E4"/>
    <w:rsid w:val="00E25033"/>
    <w:rsid w:val="00E27346"/>
    <w:rsid w:val="00E54D3E"/>
    <w:rsid w:val="00E71BC8"/>
    <w:rsid w:val="00E7260F"/>
    <w:rsid w:val="00E73F5D"/>
    <w:rsid w:val="00E77116"/>
    <w:rsid w:val="00E77E4E"/>
    <w:rsid w:val="00E86CAB"/>
    <w:rsid w:val="00E95700"/>
    <w:rsid w:val="00E96630"/>
    <w:rsid w:val="00EA3D6E"/>
    <w:rsid w:val="00EA73B3"/>
    <w:rsid w:val="00EB385D"/>
    <w:rsid w:val="00EB483D"/>
    <w:rsid w:val="00EC0358"/>
    <w:rsid w:val="00EC4060"/>
    <w:rsid w:val="00EC6AF9"/>
    <w:rsid w:val="00ED72AA"/>
    <w:rsid w:val="00ED7A2A"/>
    <w:rsid w:val="00EE07A6"/>
    <w:rsid w:val="00EE465A"/>
    <w:rsid w:val="00EF1D7F"/>
    <w:rsid w:val="00EF5829"/>
    <w:rsid w:val="00F03965"/>
    <w:rsid w:val="00F04C81"/>
    <w:rsid w:val="00F05AFE"/>
    <w:rsid w:val="00F1238D"/>
    <w:rsid w:val="00F12F7E"/>
    <w:rsid w:val="00F219F7"/>
    <w:rsid w:val="00F225FB"/>
    <w:rsid w:val="00F23B93"/>
    <w:rsid w:val="00F275DB"/>
    <w:rsid w:val="00F27E0B"/>
    <w:rsid w:val="00F31E5F"/>
    <w:rsid w:val="00F347BD"/>
    <w:rsid w:val="00F45E08"/>
    <w:rsid w:val="00F4748A"/>
    <w:rsid w:val="00F6100A"/>
    <w:rsid w:val="00F614F8"/>
    <w:rsid w:val="00F616E0"/>
    <w:rsid w:val="00F7257B"/>
    <w:rsid w:val="00F809CB"/>
    <w:rsid w:val="00F81228"/>
    <w:rsid w:val="00F827A7"/>
    <w:rsid w:val="00F83639"/>
    <w:rsid w:val="00F90664"/>
    <w:rsid w:val="00F93781"/>
    <w:rsid w:val="00F94BED"/>
    <w:rsid w:val="00FA4130"/>
    <w:rsid w:val="00FA7D6D"/>
    <w:rsid w:val="00FB1224"/>
    <w:rsid w:val="00FB2CB3"/>
    <w:rsid w:val="00FB613B"/>
    <w:rsid w:val="00FC68B7"/>
    <w:rsid w:val="00FC6E86"/>
    <w:rsid w:val="00FD3F98"/>
    <w:rsid w:val="00FD5322"/>
    <w:rsid w:val="00FD6E9B"/>
    <w:rsid w:val="00FE0C62"/>
    <w:rsid w:val="00FE106A"/>
    <w:rsid w:val="00FE2FEF"/>
    <w:rsid w:val="00FE3381"/>
    <w:rsid w:val="00FE3525"/>
    <w:rsid w:val="00FE3AEF"/>
    <w:rsid w:val="00FE73B5"/>
    <w:rsid w:val="00FE74D6"/>
    <w:rsid w:val="00FF145D"/>
    <w:rsid w:val="00FF500E"/>
    <w:rsid w:val="00FF77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5E2704"/>
  <w15:docId w15:val="{DFAB0FC4-EA36-44E5-BE1E-09D79D58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ListParagraph">
    <w:name w:val="List Paragraph"/>
    <w:basedOn w:val="Normal"/>
    <w:uiPriority w:val="34"/>
    <w:qFormat/>
    <w:rsid w:val="00496B0F"/>
    <w:pPr>
      <w:suppressAutoHyphens w:val="0"/>
      <w:spacing w:after="200" w:line="276" w:lineRule="auto"/>
      <w:ind w:left="720"/>
      <w:contextualSpacing/>
    </w:pPr>
    <w:rPr>
      <w:rFonts w:ascii="Calibri" w:eastAsia="Calibri" w:hAnsi="Calibri"/>
      <w:sz w:val="22"/>
      <w:szCs w:val="22"/>
      <w:lang w:val="fi-FI"/>
    </w:rPr>
  </w:style>
  <w:style w:type="character" w:customStyle="1" w:styleId="PlainTextChar">
    <w:name w:val="Plain Text Char"/>
    <w:link w:val="PlainText"/>
    <w:uiPriority w:val="99"/>
    <w:semiHidden/>
    <w:rsid w:val="00A46B70"/>
    <w:rPr>
      <w:rFonts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17908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7E54-1590-4A11-B45E-15678C24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21</TotalTime>
  <Pages>3</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10</cp:revision>
  <cp:lastPrinted>2019-07-22T05:38:00Z</cp:lastPrinted>
  <dcterms:created xsi:type="dcterms:W3CDTF">2019-07-18T15:13:00Z</dcterms:created>
  <dcterms:modified xsi:type="dcterms:W3CDTF">2019-07-23T14:42:00Z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a0eb777c-5b69-4739-bf51-688f2f31d808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