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30A8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30A8B" w:rsidP="00E30A8B">
            <w:pPr>
              <w:jc w:val="right"/>
            </w:pPr>
            <w:r w:rsidRPr="00E30A8B">
              <w:rPr>
                <w:sz w:val="40"/>
              </w:rPr>
              <w:t>ECE</w:t>
            </w:r>
            <w:r>
              <w:t>/TRANS/2019/8</w:t>
            </w:r>
          </w:p>
        </w:tc>
      </w:tr>
      <w:tr w:rsidR="002D5AAC" w:rsidRPr="00AA5FC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30A8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30A8B" w:rsidRDefault="00E30A8B" w:rsidP="00E30A8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December 2018</w:t>
            </w:r>
          </w:p>
          <w:p w:rsidR="00E30A8B" w:rsidRDefault="00E30A8B" w:rsidP="00E30A8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30A8B" w:rsidRPr="008D53B6" w:rsidRDefault="00E30A8B" w:rsidP="00E30A8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E30A8B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30A8B" w:rsidRPr="00AA5FC1" w:rsidRDefault="00E30A8B" w:rsidP="00E30A8B">
      <w:pPr>
        <w:spacing w:before="120"/>
        <w:rPr>
          <w:sz w:val="28"/>
          <w:szCs w:val="28"/>
        </w:rPr>
      </w:pPr>
      <w:r w:rsidRPr="00AA5FC1">
        <w:rPr>
          <w:sz w:val="28"/>
          <w:szCs w:val="28"/>
        </w:rPr>
        <w:t>Комитет по внутреннему транспорту</w:t>
      </w:r>
    </w:p>
    <w:p w:rsidR="00E30A8B" w:rsidRPr="00FA4F32" w:rsidRDefault="00E30A8B" w:rsidP="00E30A8B">
      <w:pPr>
        <w:spacing w:before="120"/>
        <w:rPr>
          <w:b/>
          <w:bCs/>
        </w:rPr>
      </w:pPr>
      <w:r w:rsidRPr="00FA4F32">
        <w:rPr>
          <w:b/>
          <w:bCs/>
        </w:rPr>
        <w:t>Восемьдесят первая сессия</w:t>
      </w:r>
    </w:p>
    <w:p w:rsidR="00E30A8B" w:rsidRDefault="00E30A8B" w:rsidP="00E30A8B">
      <w:r w:rsidRPr="00FA4F32">
        <w:t>Женева, 19–22 фе</w:t>
      </w:r>
      <w:r>
        <w:t>враля 2019 года</w:t>
      </w:r>
    </w:p>
    <w:p w:rsidR="00E30A8B" w:rsidRDefault="00E30A8B" w:rsidP="00E30A8B">
      <w:r w:rsidRPr="00FA4F32">
        <w:t xml:space="preserve">Пункт 4 </w:t>
      </w:r>
      <w:r>
        <w:t>f) предварительной повестки дня</w:t>
      </w:r>
    </w:p>
    <w:p w:rsidR="00E30A8B" w:rsidRDefault="00E30A8B" w:rsidP="00E30A8B">
      <w:pPr>
        <w:rPr>
          <w:b/>
          <w:bCs/>
        </w:rPr>
      </w:pPr>
      <w:r w:rsidRPr="00FA4F32">
        <w:rPr>
          <w:b/>
          <w:bCs/>
        </w:rPr>
        <w:t>Стратегические в</w:t>
      </w:r>
      <w:r>
        <w:rPr>
          <w:b/>
          <w:bCs/>
        </w:rPr>
        <w:t>опросы горизонтальной политики:</w:t>
      </w:r>
    </w:p>
    <w:p w:rsidR="00E30A8B" w:rsidRPr="00FA4F32" w:rsidRDefault="00E30A8B" w:rsidP="00E30A8B">
      <w:pPr>
        <w:rPr>
          <w:b/>
          <w:bCs/>
        </w:rPr>
      </w:pPr>
      <w:r w:rsidRPr="00FA4F32">
        <w:rPr>
          <w:b/>
          <w:bCs/>
        </w:rPr>
        <w:t>Интеллектуальные транспортные системы</w:t>
      </w:r>
    </w:p>
    <w:p w:rsidR="00E30A8B" w:rsidRPr="00FA4F32" w:rsidRDefault="00E30A8B" w:rsidP="00E30A8B">
      <w:pPr>
        <w:pStyle w:val="HChG"/>
      </w:pPr>
      <w:r w:rsidRPr="00FA4F32">
        <w:tab/>
      </w:r>
      <w:r w:rsidRPr="00FA4F32">
        <w:tab/>
        <w:t xml:space="preserve">Ход осуществления «дорожной карты» </w:t>
      </w:r>
      <w:r>
        <w:t>по</w:t>
      </w:r>
      <w:r>
        <w:rPr>
          <w:lang w:val="en-US"/>
        </w:rPr>
        <w:t> </w:t>
      </w:r>
      <w:r w:rsidRPr="00FA4F32">
        <w:t>интеллектуальным транспортным системам</w:t>
      </w:r>
    </w:p>
    <w:p w:rsidR="00E30A8B" w:rsidRDefault="00E30A8B" w:rsidP="00E30A8B">
      <w:pPr>
        <w:pStyle w:val="H1G"/>
        <w:rPr>
          <w:bCs/>
        </w:rPr>
      </w:pPr>
      <w:r w:rsidRPr="00FA4F32">
        <w:tab/>
      </w:r>
      <w:r w:rsidRPr="00FA4F32">
        <w:tab/>
      </w:r>
      <w:r w:rsidRPr="00FA4F32">
        <w:rPr>
          <w:bCs/>
        </w:rPr>
        <w:t>Записка секретариата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E30A8B" w:rsidRPr="00E30A8B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E30A8B" w:rsidRPr="00E30A8B" w:rsidRDefault="00E30A8B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E30A8B">
              <w:rPr>
                <w:rFonts w:cs="Times New Roman"/>
              </w:rPr>
              <w:tab/>
            </w:r>
            <w:r w:rsidRPr="00E30A8B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E30A8B" w:rsidRPr="00E30A8B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E30A8B" w:rsidRPr="00E30A8B" w:rsidRDefault="00E30A8B" w:rsidP="00D6488B">
            <w:pPr>
              <w:pStyle w:val="SingleTxtG"/>
            </w:pPr>
            <w:r>
              <w:tab/>
            </w:r>
            <w:r>
              <w:tab/>
            </w:r>
            <w:r w:rsidRPr="00E30A8B">
              <w:t>В настоящем документе содержится обзор мероприятий по стимулированию развития инновационных технологий, влияющих на осуществление «дорожной карты» по интеллектуальным транспортным системам (ИТС), о которой было объявлено на семьдесят четвертой сессии Комитета по внутреннему транспорту (КВТ).</w:t>
            </w:r>
          </w:p>
        </w:tc>
      </w:tr>
      <w:tr w:rsidR="00E30A8B" w:rsidRPr="00E30A8B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E30A8B" w:rsidRPr="00E30A8B" w:rsidRDefault="00E30A8B" w:rsidP="00D6488B">
            <w:pPr>
              <w:pStyle w:val="SingleTxtG"/>
            </w:pPr>
            <w:r w:rsidRPr="00E30A8B">
              <w:tab/>
            </w:r>
            <w:r>
              <w:tab/>
            </w:r>
            <w:r w:rsidRPr="00E30A8B">
              <w:t xml:space="preserve">Комитету предлагается </w:t>
            </w:r>
            <w:r w:rsidRPr="00E30A8B">
              <w:rPr>
                <w:b/>
                <w:bCs/>
              </w:rPr>
              <w:t>стимулировать</w:t>
            </w:r>
            <w:r w:rsidRPr="00E30A8B">
              <w:t xml:space="preserve"> деятельность, способствующую поощрению мероприятий по внедрению ИТС, в увязке со всеми видами транспорта.</w:t>
            </w:r>
          </w:p>
        </w:tc>
      </w:tr>
      <w:tr w:rsidR="00E30A8B" w:rsidRPr="00E30A8B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E30A8B" w:rsidRPr="00E30A8B" w:rsidRDefault="00E30A8B" w:rsidP="00850215">
            <w:pPr>
              <w:rPr>
                <w:rFonts w:cs="Times New Roman"/>
              </w:rPr>
            </w:pPr>
          </w:p>
        </w:tc>
      </w:tr>
    </w:tbl>
    <w:p w:rsidR="00E30A8B" w:rsidRPr="00FA4F32" w:rsidRDefault="00E30A8B" w:rsidP="00E30A8B">
      <w:pPr>
        <w:pStyle w:val="HChG"/>
      </w:pPr>
      <w:r>
        <w:tab/>
      </w:r>
      <w:r w:rsidRPr="00FA4F32">
        <w:t>I.</w:t>
      </w:r>
      <w:r w:rsidRPr="00FA4F32">
        <w:tab/>
      </w:r>
      <w:r w:rsidRPr="00FA4F32">
        <w:rPr>
          <w:bCs/>
        </w:rPr>
        <w:t>Справочная информация</w:t>
      </w:r>
    </w:p>
    <w:p w:rsidR="00E30A8B" w:rsidRPr="00FA4F32" w:rsidRDefault="00E30A8B" w:rsidP="00E30A8B">
      <w:pPr>
        <w:pStyle w:val="SingleTxtG"/>
      </w:pPr>
      <w:r w:rsidRPr="00FA4F32">
        <w:t>1.</w:t>
      </w:r>
      <w:r w:rsidRPr="00FA4F32">
        <w:tab/>
        <w:t>В настоящей записке охарактеризованы мероприятия и инициативы по стимулированию применения инновационных технологий в целях осуществления «дорожной карты» ЕЭК по ИТС. В приложении п</w:t>
      </w:r>
      <w:r w:rsidR="00F24F3E">
        <w:t>редставлено краткое описание 20 </w:t>
      </w:r>
      <w:r w:rsidRPr="00FA4F32">
        <w:t>направлений деятельности, предусмотренных «дорожной картой».</w:t>
      </w:r>
    </w:p>
    <w:p w:rsidR="00E30A8B" w:rsidRDefault="00E30A8B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  <w:lang w:eastAsia="ru-RU"/>
        </w:rPr>
      </w:pPr>
      <w:r>
        <w:br w:type="page"/>
      </w:r>
    </w:p>
    <w:p w:rsidR="00E30A8B" w:rsidRPr="00FA4F32" w:rsidRDefault="00E30A8B" w:rsidP="00E30A8B">
      <w:pPr>
        <w:pStyle w:val="HChG"/>
      </w:pPr>
      <w:r>
        <w:lastRenderedPageBreak/>
        <w:tab/>
      </w:r>
      <w:r w:rsidRPr="00FA4F32">
        <w:t>II.</w:t>
      </w:r>
      <w:r w:rsidRPr="00FA4F32">
        <w:tab/>
      </w:r>
      <w:r w:rsidRPr="00FA4F32">
        <w:rPr>
          <w:bCs/>
        </w:rPr>
        <w:t>Деятельность в 2018 году</w:t>
      </w:r>
    </w:p>
    <w:p w:rsidR="00E30A8B" w:rsidRPr="00FA4F32" w:rsidRDefault="00E30A8B" w:rsidP="00E30A8B">
      <w:pPr>
        <w:pStyle w:val="H1G"/>
      </w:pPr>
      <w:r>
        <w:tab/>
      </w:r>
      <w:r w:rsidRPr="00FA4F32">
        <w:t>A.</w:t>
      </w:r>
      <w:r w:rsidRPr="00FA4F32">
        <w:tab/>
      </w:r>
      <w:r w:rsidRPr="00FA4F32">
        <w:rPr>
          <w:bCs/>
        </w:rPr>
        <w:t>Резюме выводов, касающихся ИТС</w:t>
      </w:r>
      <w:r>
        <w:rPr>
          <w:bCs/>
        </w:rPr>
        <w:t xml:space="preserve"> и </w:t>
      </w:r>
      <w:r w:rsidRPr="00FA4F32">
        <w:rPr>
          <w:bCs/>
        </w:rPr>
        <w:t>сделанных на восьмидесятой сессии Комитета по внутреннему транспорту</w:t>
      </w:r>
    </w:p>
    <w:p w:rsidR="00E30A8B" w:rsidRPr="00FA4F32" w:rsidRDefault="00E30A8B" w:rsidP="00E30A8B">
      <w:pPr>
        <w:pStyle w:val="SingleTxtG"/>
        <w:spacing w:after="0"/>
        <w:ind w:left="1138" w:right="1138"/>
      </w:pPr>
      <w:r w:rsidRPr="00FA4F32">
        <w:rPr>
          <w:i/>
          <w:iCs/>
        </w:rPr>
        <w:t>Документация:</w:t>
      </w:r>
      <w:r w:rsidRPr="00FA4F32">
        <w:tab/>
        <w:t>ECE/TRANS/253 и Add.1</w:t>
      </w:r>
    </w:p>
    <w:p w:rsidR="00E30A8B" w:rsidRPr="00FA4F32" w:rsidRDefault="00E30A8B" w:rsidP="00E30A8B">
      <w:pPr>
        <w:pStyle w:val="SingleTxtG"/>
        <w:ind w:left="2268" w:firstLine="567"/>
      </w:pPr>
      <w:r>
        <w:t>н</w:t>
      </w:r>
      <w:r w:rsidRPr="00FA4F32">
        <w:t>еофициальный документ № 13 КВТ (2018 год</w:t>
      </w:r>
      <w:r>
        <w:t>а</w:t>
      </w:r>
      <w:r w:rsidRPr="00FA4F32">
        <w:t>)</w:t>
      </w:r>
    </w:p>
    <w:p w:rsidR="00E30A8B" w:rsidRPr="00FA4F32" w:rsidRDefault="00E30A8B" w:rsidP="00E30A8B">
      <w:pPr>
        <w:pStyle w:val="SingleTxtG"/>
      </w:pPr>
      <w:r>
        <w:t>1.</w:t>
      </w:r>
      <w:r>
        <w:tab/>
        <w:t>М</w:t>
      </w:r>
      <w:r w:rsidRPr="00FA4F32">
        <w:t>инистры транспорта из стран Африки, Азии, Европы и Ближнего Востока, более 250 участников из 63 стран, а также руководители организаций по внутреннему транспорту</w:t>
      </w:r>
      <w:r>
        <w:t xml:space="preserve"> приняли участие в проходившем в ходе</w:t>
      </w:r>
      <w:r w:rsidR="00F24F3E">
        <w:t xml:space="preserve"> </w:t>
      </w:r>
      <w:r w:rsidRPr="00FA4F32">
        <w:t>восьмидесятой сессии КВТ</w:t>
      </w:r>
      <w:r>
        <w:t xml:space="preserve"> </w:t>
      </w:r>
      <w:r w:rsidRPr="00FA4F32">
        <w:t>сегме</w:t>
      </w:r>
      <w:r>
        <w:t>нте</w:t>
      </w:r>
      <w:r w:rsidRPr="00FA4F32">
        <w:t xml:space="preserve"> высокого уровня по вопросам политики</w:t>
      </w:r>
      <w:r>
        <w:t xml:space="preserve"> на</w:t>
      </w:r>
      <w:r w:rsidRPr="00FA4F32">
        <w:t xml:space="preserve"> тем</w:t>
      </w:r>
      <w:r>
        <w:t>у</w:t>
      </w:r>
      <w:r w:rsidRPr="00FA4F32">
        <w:t xml:space="preserve"> «Интермодальность: ключ к устойчивому транспорту и мобильности». В ходе обсуждений в группе № 1 </w:t>
      </w:r>
      <w:r>
        <w:t>(</w:t>
      </w:r>
      <w:r w:rsidRPr="00FA4F32">
        <w:t>«</w:t>
      </w:r>
      <w:r>
        <w:t>Пути стимулирования транспортного сообщения</w:t>
      </w:r>
      <w:r w:rsidRPr="00FA4F32">
        <w:t>»</w:t>
      </w:r>
      <w:r>
        <w:t>)</w:t>
      </w:r>
      <w:r w:rsidRPr="00FA4F32">
        <w:t xml:space="preserve"> участник</w:t>
      </w:r>
      <w:r>
        <w:t>и достигли</w:t>
      </w:r>
      <w:r w:rsidRPr="00FA4F32">
        <w:t xml:space="preserve"> консенсус</w:t>
      </w:r>
      <w:r>
        <w:t>а</w:t>
      </w:r>
      <w:r w:rsidRPr="00FA4F32">
        <w:t xml:space="preserve"> относительно того, что ИТС могут </w:t>
      </w:r>
      <w:r>
        <w:t xml:space="preserve">способствовать </w:t>
      </w:r>
      <w:r w:rsidRPr="00FA4F32">
        <w:t>интермодальн</w:t>
      </w:r>
      <w:r>
        <w:t>ым</w:t>
      </w:r>
      <w:r w:rsidRPr="00FA4F32">
        <w:t xml:space="preserve"> грузовы</w:t>
      </w:r>
      <w:r>
        <w:t>м</w:t>
      </w:r>
      <w:r w:rsidRPr="00FA4F32">
        <w:t xml:space="preserve"> перевозк</w:t>
      </w:r>
      <w:r>
        <w:t>ам</w:t>
      </w:r>
      <w:r w:rsidRPr="00FA4F32">
        <w:t xml:space="preserve"> и мобильност</w:t>
      </w:r>
      <w:r>
        <w:t>и</w:t>
      </w:r>
      <w:r w:rsidRPr="00FA4F32">
        <w:t xml:space="preserve"> пассажиров. Соединение инфраструктуры, транспортных средств и пользователей позволяет оптимизировать потоки информации и управление движением и мобильностью. Технические инновации могли бы укрепить взаимосвязанность</w:t>
      </w:r>
      <w:r>
        <w:t xml:space="preserve"> и</w:t>
      </w:r>
      <w:r w:rsidRPr="00FA4F32">
        <w:t xml:space="preserve"> тем самым </w:t>
      </w:r>
      <w:r>
        <w:t>со</w:t>
      </w:r>
      <w:r w:rsidRPr="00FA4F32">
        <w:t>действова</w:t>
      </w:r>
      <w:r>
        <w:t>ли бы</w:t>
      </w:r>
      <w:r w:rsidRPr="00FA4F32">
        <w:t xml:space="preserve"> интермодальным перевозкам, уменьш</w:t>
      </w:r>
      <w:r>
        <w:t>ив</w:t>
      </w:r>
      <w:r w:rsidRPr="00FA4F32">
        <w:t xml:space="preserve"> их </w:t>
      </w:r>
      <w:r>
        <w:t xml:space="preserve">негативное </w:t>
      </w:r>
      <w:r w:rsidRPr="00FA4F32">
        <w:t>воздействие на окружающую среду.</w:t>
      </w:r>
    </w:p>
    <w:p w:rsidR="00E30A8B" w:rsidRPr="00FA4F32" w:rsidRDefault="00E30A8B" w:rsidP="00E30A8B">
      <w:pPr>
        <w:pStyle w:val="SingleTxtG"/>
      </w:pPr>
      <w:r w:rsidRPr="00FA4F32">
        <w:t>2.</w:t>
      </w:r>
      <w:r w:rsidRPr="00FA4F32">
        <w:tab/>
        <w:t xml:space="preserve">Участники восьмого совещания председателей вспомогательных органов Комитета и административных комитетов правовых документов Организации Объединенных Наций </w:t>
      </w:r>
      <w:r>
        <w:t>в области</w:t>
      </w:r>
      <w:r w:rsidRPr="00FA4F32">
        <w:t xml:space="preserve"> транспорт</w:t>
      </w:r>
      <w:r>
        <w:t>а</w:t>
      </w:r>
      <w:r w:rsidRPr="00FA4F32">
        <w:t xml:space="preserve"> признали </w:t>
      </w:r>
      <w:r>
        <w:t xml:space="preserve">потребность в </w:t>
      </w:r>
      <w:r w:rsidRPr="00FA4F32">
        <w:t>изменени</w:t>
      </w:r>
      <w:r>
        <w:t>и</w:t>
      </w:r>
      <w:r w:rsidRPr="00FA4F32">
        <w:t xml:space="preserve"> стратегического направления </w:t>
      </w:r>
      <w:r>
        <w:t>деятельности</w:t>
      </w:r>
      <w:r w:rsidRPr="00FA4F32">
        <w:t xml:space="preserve"> КВТ </w:t>
      </w:r>
      <w:r>
        <w:t>с учетом</w:t>
      </w:r>
      <w:r w:rsidRPr="00FA4F32">
        <w:t xml:space="preserve"> необходимост</w:t>
      </w:r>
      <w:r>
        <w:t>и</w:t>
      </w:r>
      <w:r w:rsidRPr="00FA4F32">
        <w:t xml:space="preserve"> решать современные проблемы развития, экономики и экологии транспортной отрасли, которых становится все больше и которые достигают критического уровня во многих частях мира. Делегаты согласились с тем, что укрепление нормативно-правовой и управленческой деятельности КВТ, связанной с применением интеллектуальных и цифровых технологий на транспортных системах и их автоматизацией, создает возможности для более эффективного решения этих проблем.</w:t>
      </w:r>
    </w:p>
    <w:p w:rsidR="00E30A8B" w:rsidRPr="00FA4F32" w:rsidRDefault="00E30A8B" w:rsidP="00E30A8B">
      <w:pPr>
        <w:pStyle w:val="SingleTxtG"/>
      </w:pPr>
      <w:r w:rsidRPr="00FA4F32">
        <w:t>3.</w:t>
      </w:r>
      <w:r w:rsidRPr="00FA4F32">
        <w:tab/>
        <w:t>В своем решении № 12, принятом на восьми</w:t>
      </w:r>
      <w:r w:rsidR="0017038B">
        <w:t>десятой сессии КВТ, Комитет: a) </w:t>
      </w:r>
      <w:r w:rsidRPr="00FA4F32">
        <w:t xml:space="preserve">решил содействовать деятельности в области ИТС на всех видах внутреннего транспорта, включая стыковки между ними, и изучить возможности применения комплексного подхода к проблематике ИТС; b) высоко оценил действия, предпринятые Глобальным форумом по безопасности дорожного движения (WP.1) и Всемирным форумом для согласования правил в области транспортных средств (WP.29) в </w:t>
      </w:r>
      <w:r>
        <w:t>сфере</w:t>
      </w:r>
      <w:r w:rsidRPr="00FA4F32">
        <w:t xml:space="preserve"> автоматизированного вождения, поскольку укрепление международных нормативных рамок является целесообразным с точки зрения повышения безопасности дорожного движения, более действенной охраны окружающей среды, повышения энергоэффективности и более оптимального управления дорожным движением. В этом контексте Комитет просил WP.1 и WP.29 в тесном сотруд</w:t>
      </w:r>
      <w:r>
        <w:t xml:space="preserve">ничестве продолжать разработку </w:t>
      </w:r>
      <w:r w:rsidRPr="00FA4F32">
        <w:t>согласно их мандатам</w:t>
      </w:r>
      <w:r>
        <w:t xml:space="preserve"> </w:t>
      </w:r>
      <w:r w:rsidRPr="00FA4F32">
        <w:t xml:space="preserve">рекомендаций и/или правовых положений об автоматизированном вождении, с тем чтобы в будущем обеспечить безопасное сосуществование автоматизированных и традиционно эксплуатируемых транспортных средств на дорогах и их взаимодействие с другими участниками дорожного движения и инфраструктурой. </w:t>
      </w:r>
    </w:p>
    <w:p w:rsidR="00E30A8B" w:rsidRPr="00FA4F32" w:rsidRDefault="00E30A8B" w:rsidP="00E30A8B">
      <w:pPr>
        <w:pStyle w:val="SingleTxtG"/>
      </w:pPr>
      <w:r w:rsidRPr="00FA4F32">
        <w:t>4.</w:t>
      </w:r>
      <w:r w:rsidRPr="00FA4F32">
        <w:tab/>
        <w:t xml:space="preserve">В решении № 13 КВТ напомнил о решении семьдесят седьмой сессии предложить «WP.1 и WP.29 исследовать различные возможности для развития их сотрудничества» и приветствовал организацию совместной сессии WP.1 и Рабочей группы по вопросам торможения и ходовой части (GRRF) (сентябрь 2017 года) в целях обмена информацией по темам «посторонних действий» и кибербезопасности. </w:t>
      </w:r>
      <w:r w:rsidR="00F24F3E">
        <w:t>КВТ </w:t>
      </w:r>
      <w:r>
        <w:t>согласился с тем</w:t>
      </w:r>
      <w:r w:rsidRPr="00FA4F32">
        <w:t xml:space="preserve">, что такие совместные </w:t>
      </w:r>
      <w:r>
        <w:t>встречи</w:t>
      </w:r>
      <w:r w:rsidRPr="00FA4F32">
        <w:t xml:space="preserve"> являются конструктивными и способствуют лучшему пониманию роли водителя в условиях эксплуатации высокоавтоматизированных и полностью автоматизированных транспортных средств. </w:t>
      </w:r>
      <w:r>
        <w:t>И н</w:t>
      </w:r>
      <w:r w:rsidRPr="00FA4F32">
        <w:t>аконец, КВТ просил обе рабочие группы изучить дополнительные возможности для проведения других совместных сессий в будущем.</w:t>
      </w:r>
    </w:p>
    <w:p w:rsidR="00E30A8B" w:rsidRPr="00FA4F32" w:rsidRDefault="00E30A8B" w:rsidP="00E30A8B">
      <w:pPr>
        <w:spacing w:after="120"/>
        <w:ind w:left="1134" w:right="1134"/>
        <w:jc w:val="both"/>
      </w:pPr>
      <w:r>
        <w:rPr>
          <w:i/>
          <w:iCs/>
        </w:rPr>
        <w:lastRenderedPageBreak/>
        <w:t>Затронутые н</w:t>
      </w:r>
      <w:r w:rsidRPr="00FA4F32">
        <w:rPr>
          <w:i/>
          <w:iCs/>
        </w:rPr>
        <w:t>аправления действий «дорожной карты»</w:t>
      </w:r>
      <w:r w:rsidRPr="00FA4F32">
        <w:t xml:space="preserve"> (области первостепенного внимания </w:t>
      </w:r>
      <w:r>
        <w:t>выделены</w:t>
      </w:r>
      <w:r w:rsidRPr="00FA4F32">
        <w:t xml:space="preserve"> </w:t>
      </w:r>
      <w:r w:rsidRPr="00FA4F32">
        <w:rPr>
          <w:b/>
          <w:bCs/>
        </w:rPr>
        <w:t>жирным шрифтом</w:t>
      </w:r>
      <w:r w:rsidRPr="00FA4F32">
        <w:t xml:space="preserve">): </w:t>
      </w:r>
      <w:r w:rsidRPr="00FA4F32">
        <w:rPr>
          <w:i/>
          <w:iCs/>
        </w:rPr>
        <w:t xml:space="preserve">2, 3, 4, 5, </w:t>
      </w:r>
      <w:r w:rsidRPr="00FA4F32">
        <w:rPr>
          <w:b/>
          <w:bCs/>
          <w:i/>
          <w:iCs/>
        </w:rPr>
        <w:t>6</w:t>
      </w:r>
      <w:r w:rsidRPr="00FA4F32">
        <w:rPr>
          <w:i/>
          <w:iCs/>
        </w:rPr>
        <w:t xml:space="preserve">, 9, 15 и </w:t>
      </w:r>
      <w:r w:rsidRPr="00FA4F32">
        <w:rPr>
          <w:b/>
          <w:bCs/>
          <w:i/>
          <w:iCs/>
        </w:rPr>
        <w:t>17</w:t>
      </w:r>
      <w:r w:rsidRPr="00FA4F32">
        <w:rPr>
          <w:i/>
          <w:iCs/>
        </w:rPr>
        <w:t>.</w:t>
      </w:r>
    </w:p>
    <w:p w:rsidR="00E30A8B" w:rsidRPr="00FA4F32" w:rsidRDefault="00E30A8B" w:rsidP="00E30A8B">
      <w:pPr>
        <w:pStyle w:val="H1G"/>
      </w:pPr>
      <w:r>
        <w:tab/>
      </w:r>
      <w:r w:rsidRPr="00FA4F32">
        <w:t>B.</w:t>
      </w:r>
      <w:r w:rsidRPr="00FA4F32">
        <w:tab/>
      </w:r>
      <w:r w:rsidRPr="00FA4F32">
        <w:rPr>
          <w:bCs/>
        </w:rPr>
        <w:t>Симпозиум Международного союза электросвязи на тему</w:t>
      </w:r>
      <w:r w:rsidR="0017038B">
        <w:rPr>
          <w:bCs/>
        </w:rPr>
        <w:br/>
      </w:r>
      <w:r w:rsidRPr="00FA4F32">
        <w:rPr>
          <w:bCs/>
        </w:rPr>
        <w:t>«Сетевой автомобиль будущего»</w:t>
      </w:r>
    </w:p>
    <w:p w:rsidR="00E30A8B" w:rsidRPr="00FA4F32" w:rsidRDefault="00E30A8B" w:rsidP="00E30A8B">
      <w:pPr>
        <w:spacing w:after="120"/>
        <w:ind w:left="2835" w:right="1134" w:hanging="1701"/>
        <w:jc w:val="both"/>
      </w:pPr>
      <w:r w:rsidRPr="00FA4F32">
        <w:rPr>
          <w:i/>
          <w:iCs/>
        </w:rPr>
        <w:t>Документация:</w:t>
      </w:r>
      <w:r w:rsidRPr="00FA4F32">
        <w:tab/>
      </w:r>
      <w:hyperlink r:id="rId8" w:history="1">
        <w:r w:rsidRPr="00E30A8B">
          <w:rPr>
            <w:rStyle w:val="af1"/>
            <w:color w:val="auto"/>
          </w:rPr>
          <w:t>http://itu.int/en/fnc/2018</w:t>
        </w:r>
        <w:r w:rsidRPr="00E30A8B">
          <w:rPr>
            <w:rStyle w:val="af1"/>
          </w:rPr>
          <w:t>/</w:t>
        </w:r>
      </w:hyperlink>
    </w:p>
    <w:p w:rsidR="00E30A8B" w:rsidRPr="00FA4F32" w:rsidRDefault="00E30A8B" w:rsidP="00E30A8B">
      <w:pPr>
        <w:spacing w:after="120"/>
        <w:ind w:left="1134" w:right="1134"/>
        <w:jc w:val="both"/>
        <w:rPr>
          <w:color w:val="000000"/>
        </w:rPr>
      </w:pPr>
      <w:r>
        <w:t>5.</w:t>
      </w:r>
      <w:r>
        <w:tab/>
        <w:t xml:space="preserve">ЕЭК </w:t>
      </w:r>
      <w:r w:rsidRPr="00FA4F32">
        <w:t>совместно с Международным союзом электросвязи организовала симпозиум 2018 года</w:t>
      </w:r>
      <w:r>
        <w:t xml:space="preserve"> на тему </w:t>
      </w:r>
      <w:r w:rsidRPr="00FA4F32">
        <w:t>«Сетевой автомобиль будущего», который прошел в рамках Женевско</w:t>
      </w:r>
      <w:r>
        <w:t>го</w:t>
      </w:r>
      <w:r w:rsidRPr="00FA4F32">
        <w:t xml:space="preserve"> автомобильно</w:t>
      </w:r>
      <w:r>
        <w:t>го салона</w:t>
      </w:r>
      <w:r w:rsidRPr="00FA4F32">
        <w:t xml:space="preserve"> и был рассчитан на массовую аудиторию профессионалов </w:t>
      </w:r>
      <w:r>
        <w:t xml:space="preserve">из </w:t>
      </w:r>
      <w:r w:rsidRPr="00FA4F32">
        <w:t xml:space="preserve">телекоммуникационного и транспортного секторов. В ходе </w:t>
      </w:r>
      <w:r>
        <w:t xml:space="preserve">этого </w:t>
      </w:r>
      <w:r w:rsidRPr="00FA4F32">
        <w:t xml:space="preserve">международного симпозиума были рассмотрены текущее положение дел и перспективы в области систем связи транспортных средств и автоматизированного вождения. На технических сессиях обсуждались достижения в области безопасности дорожного движения, связанные с использованием положительных </w:t>
      </w:r>
      <w:r>
        <w:t>особенностей</w:t>
      </w:r>
      <w:r w:rsidRPr="00FA4F32">
        <w:t xml:space="preserve"> подключенных транспортных средств (V2V, V2X) и автомобильных инноваций, с точки зрения предпринимательства, технологии и регулирования. На симпозиуме был рассмотрен</w:t>
      </w:r>
      <w:r>
        <w:t xml:space="preserve"> вопрос о</w:t>
      </w:r>
      <w:r w:rsidRPr="00FA4F32">
        <w:t xml:space="preserve"> взаимо</w:t>
      </w:r>
      <w:r>
        <w:t>зависимости</w:t>
      </w:r>
      <w:r w:rsidRPr="00FA4F32">
        <w:t xml:space="preserve"> систем связи транспортных средств и автоматизированн</w:t>
      </w:r>
      <w:r>
        <w:t>ого</w:t>
      </w:r>
      <w:r w:rsidRPr="00FA4F32">
        <w:t xml:space="preserve"> вождением</w:t>
      </w:r>
      <w:r>
        <w:t xml:space="preserve"> и были </w:t>
      </w:r>
      <w:r w:rsidRPr="00FA4F32">
        <w:t xml:space="preserve">проанализированы важнейшие функции подключения, кибербезопасности, блокчейна, виртуальной реальности и искусственного интеллекта. Кроме того, обсуждался вопрос об оптимальных путях сотрудничества органов по стандартизации в целях удовлетворения потребностей отрасли и обеспечения </w:t>
      </w:r>
      <w:r>
        <w:t>функциональной совместимости</w:t>
      </w:r>
      <w:r w:rsidRPr="00FA4F32">
        <w:t>.</w:t>
      </w:r>
    </w:p>
    <w:p w:rsidR="00E30A8B" w:rsidRPr="006C52CE" w:rsidRDefault="00E30A8B" w:rsidP="00E30A8B">
      <w:pPr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t xml:space="preserve">Затронутые направления действий </w:t>
      </w:r>
      <w:r w:rsidRPr="00FA4F32">
        <w:rPr>
          <w:i/>
          <w:iCs/>
        </w:rPr>
        <w:t>«дорожной карты»</w:t>
      </w:r>
      <w:r w:rsidRPr="00FA4F32">
        <w:t xml:space="preserve"> (области первостепенного </w:t>
      </w:r>
      <w:r>
        <w:t xml:space="preserve">внимания выделены </w:t>
      </w:r>
      <w:r w:rsidRPr="00FA4F32">
        <w:rPr>
          <w:b/>
          <w:bCs/>
        </w:rPr>
        <w:t>жирным шрифтом</w:t>
      </w:r>
      <w:r w:rsidRPr="00FA4F32">
        <w:t xml:space="preserve">): </w:t>
      </w:r>
      <w:r w:rsidRPr="006C52CE">
        <w:rPr>
          <w:i/>
          <w:iCs/>
        </w:rPr>
        <w:t xml:space="preserve">1, </w:t>
      </w:r>
      <w:r w:rsidRPr="006C52CE">
        <w:rPr>
          <w:b/>
          <w:bCs/>
          <w:i/>
          <w:iCs/>
        </w:rPr>
        <w:t>2</w:t>
      </w:r>
      <w:r w:rsidRPr="006C52CE">
        <w:rPr>
          <w:i/>
          <w:iCs/>
        </w:rPr>
        <w:t xml:space="preserve">, 3, 4, </w:t>
      </w:r>
      <w:r w:rsidRPr="006C52CE">
        <w:rPr>
          <w:b/>
          <w:bCs/>
          <w:i/>
          <w:iCs/>
        </w:rPr>
        <w:t>5</w:t>
      </w:r>
      <w:r w:rsidRPr="006B3130">
        <w:rPr>
          <w:bCs/>
          <w:i/>
          <w:iCs/>
        </w:rPr>
        <w:t xml:space="preserve">, </w:t>
      </w:r>
      <w:r w:rsidRPr="006C52CE">
        <w:rPr>
          <w:b/>
          <w:bCs/>
          <w:i/>
          <w:iCs/>
        </w:rPr>
        <w:t>7</w:t>
      </w:r>
      <w:r w:rsidRPr="006C52CE">
        <w:rPr>
          <w:i/>
          <w:iCs/>
        </w:rPr>
        <w:t>, 8, 9, 10, 15, 17 и 19.</w:t>
      </w:r>
    </w:p>
    <w:p w:rsidR="00E30A8B" w:rsidRPr="00FA4F32" w:rsidRDefault="00E30A8B" w:rsidP="00E30A8B">
      <w:pPr>
        <w:pStyle w:val="H1G"/>
      </w:pPr>
      <w:r>
        <w:tab/>
      </w:r>
      <w:r w:rsidRPr="00FA4F32">
        <w:t>C.</w:t>
      </w:r>
      <w:r w:rsidRPr="00FA4F32">
        <w:tab/>
      </w:r>
      <w:r w:rsidRPr="00FA4F32">
        <w:rPr>
          <w:bCs/>
        </w:rPr>
        <w:t xml:space="preserve">Ежегодный </w:t>
      </w:r>
      <w:r>
        <w:rPr>
          <w:bCs/>
        </w:rPr>
        <w:t>«</w:t>
      </w:r>
      <w:r w:rsidRPr="00FA4F32">
        <w:rPr>
          <w:bCs/>
        </w:rPr>
        <w:t>круглый стол</w:t>
      </w:r>
      <w:r>
        <w:rPr>
          <w:bCs/>
        </w:rPr>
        <w:t>»</w:t>
      </w:r>
      <w:r w:rsidRPr="00FA4F32">
        <w:rPr>
          <w:bCs/>
        </w:rPr>
        <w:t xml:space="preserve"> по ИТС</w:t>
      </w:r>
    </w:p>
    <w:p w:rsidR="00E30A8B" w:rsidRPr="00FA4F32" w:rsidRDefault="00E30A8B" w:rsidP="00E30A8B">
      <w:pPr>
        <w:spacing w:after="120"/>
        <w:ind w:left="1134" w:right="1134"/>
        <w:jc w:val="both"/>
      </w:pPr>
      <w:r>
        <w:t>6.</w:t>
      </w:r>
      <w:r>
        <w:tab/>
        <w:t>В декабре 2018 года О</w:t>
      </w:r>
      <w:r w:rsidRPr="00FA4F32">
        <w:t xml:space="preserve">тдел организовал </w:t>
      </w:r>
      <w:r>
        <w:t xml:space="preserve">свое </w:t>
      </w:r>
      <w:r w:rsidRPr="00FA4F32">
        <w:t xml:space="preserve">ежегодное мероприятие по ИТС в сотрудничестве с Международной </w:t>
      </w:r>
      <w:r>
        <w:t>авто</w:t>
      </w:r>
      <w:r w:rsidRPr="00FA4F32">
        <w:t>дорожной федерацией (М</w:t>
      </w:r>
      <w:r>
        <w:t>А</w:t>
      </w:r>
      <w:r w:rsidRPr="00FA4F32">
        <w:t>Ф). На мероприятии этого года</w:t>
      </w:r>
      <w:r>
        <w:t xml:space="preserve"> на </w:t>
      </w:r>
      <w:r w:rsidRPr="00FA4F32">
        <w:t>тем</w:t>
      </w:r>
      <w:r>
        <w:t>у</w:t>
      </w:r>
      <w:r w:rsidRPr="00FA4F32">
        <w:t xml:space="preserve"> «Управление и инфраструктура для "умной" и автономной мобильности» собрались представители </w:t>
      </w:r>
      <w:r>
        <w:t>ключевых</w:t>
      </w:r>
      <w:r w:rsidRPr="00FA4F32">
        <w:t xml:space="preserve"> заинтересованных сторон транспортного сектора (транспортная отрасль, государственные органы и гражданское общество)</w:t>
      </w:r>
      <w:r>
        <w:t>, с тем</w:t>
      </w:r>
      <w:r w:rsidRPr="00FA4F32">
        <w:t xml:space="preserve"> чтобы обсудить </w:t>
      </w:r>
      <w:r>
        <w:t>управленческие</w:t>
      </w:r>
      <w:r w:rsidRPr="00FA4F32">
        <w:t xml:space="preserve"> проблемы в </w:t>
      </w:r>
      <w:r>
        <w:t>связке</w:t>
      </w:r>
      <w:r w:rsidR="00C22360">
        <w:t xml:space="preserve"> «</w:t>
      </w:r>
      <w:r w:rsidRPr="00FA4F32">
        <w:t xml:space="preserve">транспортные средства </w:t>
      </w:r>
      <w:r w:rsidRPr="004259EA">
        <w:t>–</w:t>
      </w:r>
      <w:r w:rsidRPr="00FA4F32">
        <w:t xml:space="preserve"> инфраструктура </w:t>
      </w:r>
      <w:r w:rsidRPr="004259EA">
        <w:t>–</w:t>
      </w:r>
      <w:r w:rsidR="00C22360">
        <w:t xml:space="preserve"> нормативные документы»</w:t>
      </w:r>
      <w:r w:rsidRPr="00FA4F32">
        <w:t xml:space="preserve">, возникшие </w:t>
      </w:r>
      <w:r>
        <w:t>по причине</w:t>
      </w:r>
      <w:r w:rsidRPr="00FA4F32">
        <w:t xml:space="preserve"> высоких темпов развития интеллектуальных технологий, их применения и воздействия на транспортные системы. </w:t>
      </w:r>
      <w:r>
        <w:t>В ходе</w:t>
      </w:r>
      <w:r w:rsidRPr="00FA4F32">
        <w:t xml:space="preserve"> </w:t>
      </w:r>
      <w:r>
        <w:t xml:space="preserve">этого </w:t>
      </w:r>
      <w:r w:rsidRPr="00FA4F32">
        <w:t>мероприятия была достигнута</w:t>
      </w:r>
      <w:r>
        <w:t xml:space="preserve"> поставленная цель</w:t>
      </w:r>
      <w:r w:rsidRPr="00FA4F32">
        <w:t xml:space="preserve">, </w:t>
      </w:r>
      <w:r>
        <w:t>состоящая в том, чтобы</w:t>
      </w:r>
      <w:r w:rsidRPr="00FA4F32">
        <w:t xml:space="preserve"> заинтересованные стороны продолжили рабочий диалог и обсуждение вопроса о том, каким образом государственные органы могут адаптировать модели управления </w:t>
      </w:r>
      <w:r>
        <w:t>с учетом стремительного</w:t>
      </w:r>
      <w:r w:rsidRPr="00FA4F32">
        <w:t xml:space="preserve"> развити</w:t>
      </w:r>
      <w:r>
        <w:t>я</w:t>
      </w:r>
      <w:r w:rsidRPr="00FA4F32">
        <w:t xml:space="preserve"> современных технологий в автотранспортной промышленности.</w:t>
      </w:r>
    </w:p>
    <w:p w:rsidR="00E30A8B" w:rsidRPr="00FA4F32" w:rsidRDefault="00E30A8B" w:rsidP="00E30A8B">
      <w:pPr>
        <w:spacing w:after="120"/>
        <w:ind w:left="1134" w:right="1134"/>
        <w:jc w:val="both"/>
        <w:rPr>
          <w:i/>
        </w:rPr>
      </w:pPr>
      <w:r>
        <w:rPr>
          <w:i/>
          <w:iCs/>
        </w:rPr>
        <w:t xml:space="preserve">Затронутые направления действий </w:t>
      </w:r>
      <w:r w:rsidRPr="00FA4F32">
        <w:rPr>
          <w:i/>
          <w:iCs/>
        </w:rPr>
        <w:t xml:space="preserve">«дорожной карты» </w:t>
      </w:r>
      <w:r w:rsidRPr="00FA4F32">
        <w:t xml:space="preserve">(области первостепенного </w:t>
      </w:r>
      <w:r>
        <w:t xml:space="preserve">внимания выделены </w:t>
      </w:r>
      <w:r w:rsidRPr="00FA4F32">
        <w:rPr>
          <w:b/>
          <w:bCs/>
        </w:rPr>
        <w:t>жирным шрифтом</w:t>
      </w:r>
      <w:r w:rsidRPr="00FA4F32">
        <w:t xml:space="preserve">): </w:t>
      </w:r>
      <w:r w:rsidRPr="004259EA">
        <w:rPr>
          <w:i/>
          <w:iCs/>
        </w:rPr>
        <w:t xml:space="preserve">1, 2, 3, </w:t>
      </w:r>
      <w:r w:rsidRPr="004259EA">
        <w:rPr>
          <w:b/>
          <w:bCs/>
          <w:i/>
          <w:iCs/>
        </w:rPr>
        <w:t>4</w:t>
      </w:r>
      <w:r w:rsidRPr="004259EA">
        <w:rPr>
          <w:i/>
          <w:iCs/>
        </w:rPr>
        <w:t xml:space="preserve">, 7, </w:t>
      </w:r>
      <w:r w:rsidRPr="004259EA">
        <w:rPr>
          <w:b/>
          <w:bCs/>
          <w:i/>
          <w:iCs/>
        </w:rPr>
        <w:t>9</w:t>
      </w:r>
      <w:r w:rsidRPr="00D030F3">
        <w:rPr>
          <w:bCs/>
          <w:i/>
          <w:iCs/>
        </w:rPr>
        <w:t xml:space="preserve">, </w:t>
      </w:r>
      <w:r w:rsidRPr="004259EA">
        <w:rPr>
          <w:b/>
          <w:bCs/>
          <w:i/>
          <w:iCs/>
        </w:rPr>
        <w:t>10</w:t>
      </w:r>
      <w:r w:rsidRPr="004259EA">
        <w:rPr>
          <w:i/>
          <w:iCs/>
        </w:rPr>
        <w:t xml:space="preserve">, 15 и </w:t>
      </w:r>
      <w:r w:rsidRPr="004259EA">
        <w:rPr>
          <w:b/>
          <w:bCs/>
          <w:i/>
          <w:iCs/>
        </w:rPr>
        <w:t>20</w:t>
      </w:r>
      <w:r w:rsidRPr="004259EA">
        <w:rPr>
          <w:i/>
          <w:iCs/>
        </w:rPr>
        <w:t>.</w:t>
      </w:r>
    </w:p>
    <w:p w:rsidR="00E30A8B" w:rsidRPr="00FA4F32" w:rsidRDefault="00E30A8B" w:rsidP="00E30A8B">
      <w:pPr>
        <w:pStyle w:val="H1G"/>
      </w:pPr>
      <w:r>
        <w:tab/>
      </w:r>
      <w:r w:rsidRPr="00FA4F32">
        <w:t>D.</w:t>
      </w:r>
      <w:r w:rsidRPr="00FA4F32">
        <w:tab/>
      </w:r>
      <w:r w:rsidRPr="00FA4F32">
        <w:rPr>
          <w:bCs/>
        </w:rPr>
        <w:t>Рабочие группы</w:t>
      </w:r>
    </w:p>
    <w:p w:rsidR="00E30A8B" w:rsidRPr="00FA4F32" w:rsidRDefault="00E30A8B" w:rsidP="00E30A8B">
      <w:pPr>
        <w:pStyle w:val="H23G"/>
      </w:pPr>
      <w:r>
        <w:tab/>
      </w:r>
      <w:r w:rsidRPr="00FA4F32">
        <w:t>1.</w:t>
      </w:r>
      <w:r w:rsidRPr="00FA4F32">
        <w:tab/>
      </w:r>
      <w:r w:rsidRPr="00FA4F32">
        <w:rPr>
          <w:bCs/>
        </w:rPr>
        <w:t>Рабочая группа по внутреннему водному транспорту</w:t>
      </w:r>
    </w:p>
    <w:p w:rsidR="00E30A8B" w:rsidRPr="00FA4F32" w:rsidRDefault="00E30A8B" w:rsidP="00E30A8B">
      <w:pPr>
        <w:pStyle w:val="SingleTxtG"/>
      </w:pPr>
      <w:r w:rsidRPr="00FA4F32">
        <w:t>7.</w:t>
      </w:r>
      <w:r w:rsidRPr="00FA4F32">
        <w:tab/>
        <w:t xml:space="preserve">В декларации министров «Судоходство по внутренним водным путям во всемирном контексте», принятой на Международной министерской конференции </w:t>
      </w:r>
      <w:r>
        <w:t xml:space="preserve">на тему </w:t>
      </w:r>
      <w:r w:rsidRPr="00FA4F32">
        <w:t>«Внутреннее судоходство объединяет» (Вроцлав, Польша, 18</w:t>
      </w:r>
      <w:r>
        <w:t xml:space="preserve"> и 19 апреля 2018 </w:t>
      </w:r>
      <w:r w:rsidRPr="00FA4F32">
        <w:t>года), котор</w:t>
      </w:r>
      <w:r>
        <w:t>ая была</w:t>
      </w:r>
      <w:r w:rsidRPr="00FA4F32">
        <w:t xml:space="preserve"> организова</w:t>
      </w:r>
      <w:r>
        <w:t>на</w:t>
      </w:r>
      <w:r w:rsidRPr="00FA4F32">
        <w:t xml:space="preserve"> совместно ЕЭК и Министерство</w:t>
      </w:r>
      <w:r>
        <w:t>м</w:t>
      </w:r>
      <w:r w:rsidRPr="00FA4F32">
        <w:t xml:space="preserve"> морского хозяйства и внутреннего судоходства Польши, </w:t>
      </w:r>
      <w:r>
        <w:t xml:space="preserve">было </w:t>
      </w:r>
      <w:r w:rsidRPr="00FA4F32">
        <w:t>призна</w:t>
      </w:r>
      <w:r>
        <w:t>но</w:t>
      </w:r>
      <w:r w:rsidRPr="00FA4F32">
        <w:t>, что развитие цифровых технологий и обм</w:t>
      </w:r>
      <w:bookmarkStart w:id="0" w:name="_GoBack"/>
      <w:bookmarkEnd w:id="0"/>
      <w:r w:rsidRPr="00FA4F32">
        <w:t xml:space="preserve">ена данными, речных информационных служб, служб движения судов и управления движением на внутренних водных путях, переход на цифровые технологии и иные возможности, предоставляемые новыми технологиями, являются </w:t>
      </w:r>
      <w:r w:rsidRPr="00FA4F32">
        <w:lastRenderedPageBreak/>
        <w:t xml:space="preserve">значительным шагом вперед к устойчивому и эффективному виду транспорта, </w:t>
      </w:r>
      <w:r>
        <w:t>и</w:t>
      </w:r>
      <w:r w:rsidRPr="00FA4F32">
        <w:t xml:space="preserve"> странам и международным организациям </w:t>
      </w:r>
      <w:r>
        <w:t xml:space="preserve">было </w:t>
      </w:r>
      <w:r w:rsidRPr="00FA4F32">
        <w:t>предл</w:t>
      </w:r>
      <w:r>
        <w:t>ожено</w:t>
      </w:r>
      <w:r w:rsidRPr="00FA4F32">
        <w:t xml:space="preserve"> </w:t>
      </w:r>
      <w:r>
        <w:t>стимулировать</w:t>
      </w:r>
      <w:r w:rsidRPr="00FA4F32">
        <w:t xml:space="preserve"> их </w:t>
      </w:r>
      <w:r>
        <w:t xml:space="preserve">согласованное </w:t>
      </w:r>
      <w:r w:rsidRPr="00FA4F32">
        <w:t>трансгранично</w:t>
      </w:r>
      <w:r>
        <w:t>е</w:t>
      </w:r>
      <w:r w:rsidRPr="00FA4F32">
        <w:t xml:space="preserve"> развити</w:t>
      </w:r>
      <w:r>
        <w:t>е</w:t>
      </w:r>
      <w:r w:rsidRPr="00FA4F32">
        <w:t>. В соответствии с этим решением Рабочая группа по внутреннему водному транспорту (SC.3) и е</w:t>
      </w:r>
      <w:r>
        <w:t>е</w:t>
      </w:r>
      <w:r w:rsidRPr="00FA4F32">
        <w:t xml:space="preserve"> вспомогательные органы продолжили работу по с</w:t>
      </w:r>
      <w:r>
        <w:t>тимулированию</w:t>
      </w:r>
      <w:r w:rsidRPr="00FA4F32">
        <w:t xml:space="preserve"> развити</w:t>
      </w:r>
      <w:r>
        <w:t>я</w:t>
      </w:r>
      <w:r w:rsidRPr="00FA4F32">
        <w:t xml:space="preserve"> речных информационных служб (РИС) и других информационно-коммуникационных технологий в </w:t>
      </w:r>
      <w:r>
        <w:t xml:space="preserve">рамках </w:t>
      </w:r>
      <w:r w:rsidRPr="00FA4F32">
        <w:t>внутренне</w:t>
      </w:r>
      <w:r>
        <w:t>го</w:t>
      </w:r>
      <w:r w:rsidRPr="00FA4F32">
        <w:t xml:space="preserve"> судоходств</w:t>
      </w:r>
      <w:r>
        <w:t>а в Европе</w:t>
      </w:r>
      <w:r w:rsidRPr="00FA4F32">
        <w:t>.</w:t>
      </w:r>
    </w:p>
    <w:p w:rsidR="00E30A8B" w:rsidRPr="00FA4F32" w:rsidRDefault="00E30A8B" w:rsidP="00E30A8B">
      <w:pPr>
        <w:spacing w:after="120"/>
        <w:ind w:left="1134" w:right="1134"/>
        <w:jc w:val="both"/>
      </w:pPr>
      <w:r w:rsidRPr="00FA4F32">
        <w:t>8.</w:t>
      </w:r>
      <w:r w:rsidRPr="00FA4F32">
        <w:tab/>
        <w:t xml:space="preserve">На своей шестьдесят второй сессии SC.3 приняла </w:t>
      </w:r>
      <w:bookmarkStart w:id="1" w:name="OLE_LINK8"/>
      <w:bookmarkStart w:id="2" w:name="OLE_LINK9"/>
      <w:r w:rsidR="00C22360">
        <w:t xml:space="preserve">Европейские правила </w:t>
      </w:r>
      <w:r w:rsidRPr="00FA4F32">
        <w:t>сигнализации на внутренних водных путях</w:t>
      </w:r>
      <w:bookmarkEnd w:id="1"/>
      <w:bookmarkEnd w:id="2"/>
      <w:r w:rsidR="00C22360">
        <w:t xml:space="preserve"> (СИГВВП) в виде резолюции № </w:t>
      </w:r>
      <w:r w:rsidRPr="00FA4F32">
        <w:t>90, замен</w:t>
      </w:r>
      <w:r>
        <w:t>ившей</w:t>
      </w:r>
      <w:r w:rsidRPr="00FA4F32">
        <w:t xml:space="preserve"> второй пер</w:t>
      </w:r>
      <w:r w:rsidR="00C22360">
        <w:t>есмотренный вариант резолюции № </w:t>
      </w:r>
      <w:r w:rsidRPr="00FA4F32">
        <w:t>22 и второй пересмотренный вариант резолюции №</w:t>
      </w:r>
      <w:r w:rsidR="00C22360">
        <w:t> </w:t>
      </w:r>
      <w:r w:rsidRPr="00FA4F32">
        <w:t>59. В Европейских правилах СИГВВП содержатся рекомендации по расстановке и применению знаков судоходной обстановки на европейских внутренних водных путях, предусмотренных пятым пересмотренным вариантом ЕПСВВП (TRANS/SC.3/115/Rev.5), и в частности положения о знаках с изменяющимся сообщением для регулирования движения и глава о мониторинге знаков и маркировк</w:t>
      </w:r>
      <w:r>
        <w:t>е</w:t>
      </w:r>
      <w:r w:rsidRPr="00FA4F32">
        <w:t xml:space="preserve"> с помощью автоматической системы распознавания средств навигационного ограждения, в которой вводятся положения о виртуальной автоматической системе распознавания средств навигационного ограждения. </w:t>
      </w:r>
    </w:p>
    <w:p w:rsidR="00E30A8B" w:rsidRPr="00FA4F32" w:rsidRDefault="00E30A8B" w:rsidP="00E30A8B">
      <w:pPr>
        <w:spacing w:after="120"/>
        <w:ind w:left="1134" w:right="1134"/>
        <w:jc w:val="both"/>
      </w:pPr>
      <w:r w:rsidRPr="00FA4F32">
        <w:t>9.</w:t>
      </w:r>
      <w:r w:rsidRPr="00FA4F32">
        <w:tab/>
        <w:t>В 2018 году SC.3 обсуждала РИС также в связи с новым пунктом, включенным в е</w:t>
      </w:r>
      <w:r>
        <w:t xml:space="preserve">е </w:t>
      </w:r>
      <w:r w:rsidRPr="00FA4F32">
        <w:t xml:space="preserve">повестку дня, а именно </w:t>
      </w:r>
      <w:r>
        <w:t xml:space="preserve">с </w:t>
      </w:r>
      <w:r w:rsidRPr="00FA4F32">
        <w:t>вопросом об автономн</w:t>
      </w:r>
      <w:r>
        <w:t>ом</w:t>
      </w:r>
      <w:r w:rsidRPr="00FA4F32">
        <w:t xml:space="preserve"> и </w:t>
      </w:r>
      <w:r>
        <w:t>«умном»</w:t>
      </w:r>
      <w:r w:rsidRPr="00FA4F32">
        <w:t xml:space="preserve"> суд</w:t>
      </w:r>
      <w:r>
        <w:t>оходстве</w:t>
      </w:r>
      <w:r w:rsidRPr="00FA4F32">
        <w:t>. 14</w:t>
      </w:r>
      <w:r>
        <w:t> </w:t>
      </w:r>
      <w:r w:rsidRPr="00FA4F32">
        <w:t xml:space="preserve">февраля 2018 года </w:t>
      </w:r>
      <w:r>
        <w:t>в ходе</w:t>
      </w:r>
      <w:r w:rsidRPr="00FA4F32">
        <w:t xml:space="preserve"> пятьдесят второй сессии Рабочей группы по унификации технических предписаний и правил безопасности на внутренних водных путях был</w:t>
      </w:r>
      <w:r>
        <w:t>о</w:t>
      </w:r>
      <w:r w:rsidRPr="00FA4F32">
        <w:t xml:space="preserve"> проведен</w:t>
      </w:r>
      <w:r>
        <w:t>о рабочее совещание на тему</w:t>
      </w:r>
      <w:r w:rsidRPr="00FA4F32">
        <w:t xml:space="preserve"> «</w:t>
      </w:r>
      <w:r>
        <w:t>Автономное</w:t>
      </w:r>
      <w:r w:rsidRPr="00603DFF">
        <w:t xml:space="preserve"> </w:t>
      </w:r>
      <w:r>
        <w:t>плавание</w:t>
      </w:r>
      <w:r w:rsidRPr="00603DFF">
        <w:t xml:space="preserve"> </w:t>
      </w:r>
      <w:r>
        <w:t>и</w:t>
      </w:r>
      <w:r w:rsidRPr="00603DFF">
        <w:t xml:space="preserve"> </w:t>
      </w:r>
      <w:r>
        <w:t>внутреннее</w:t>
      </w:r>
      <w:r w:rsidRPr="00603DFF">
        <w:t xml:space="preserve"> </w:t>
      </w:r>
      <w:r>
        <w:t>судоходство</w:t>
      </w:r>
      <w:r w:rsidRPr="00FA4F32">
        <w:t>»</w:t>
      </w:r>
      <w:r>
        <w:t xml:space="preserve">, </w:t>
      </w:r>
      <w:r w:rsidRPr="00FA4F32">
        <w:t>организованно</w:t>
      </w:r>
      <w:r>
        <w:t>е</w:t>
      </w:r>
      <w:r w:rsidRPr="00FA4F32">
        <w:t xml:space="preserve"> совместно ЕЭК и </w:t>
      </w:r>
      <w:r>
        <w:t xml:space="preserve">компанией </w:t>
      </w:r>
      <w:r w:rsidRPr="00FA4F32">
        <w:t>«Фламандски</w:t>
      </w:r>
      <w:r>
        <w:t>е водные</w:t>
      </w:r>
      <w:r w:rsidRPr="00FA4F32">
        <w:t xml:space="preserve"> пут</w:t>
      </w:r>
      <w:r>
        <w:t>и н.в.» (Бельгия)</w:t>
      </w:r>
      <w:r w:rsidRPr="00FA4F32">
        <w:t xml:space="preserve">. </w:t>
      </w:r>
      <w:r>
        <w:t>На этом</w:t>
      </w:r>
      <w:r w:rsidRPr="00FA4F32">
        <w:t xml:space="preserve"> </w:t>
      </w:r>
      <w:r>
        <w:t xml:space="preserve">рабочем совещании </w:t>
      </w:r>
      <w:r w:rsidRPr="00FA4F32">
        <w:t>основное внимание было уделено внедрени</w:t>
      </w:r>
      <w:r>
        <w:t>ю</w:t>
      </w:r>
      <w:r w:rsidRPr="00FA4F32">
        <w:t xml:space="preserve"> автономного </w:t>
      </w:r>
      <w:r>
        <w:t xml:space="preserve">и «умного» </w:t>
      </w:r>
      <w:r w:rsidRPr="00FA4F32">
        <w:t>судоходства на внутренних водных путях, его преимуществ</w:t>
      </w:r>
      <w:r>
        <w:t>ам</w:t>
      </w:r>
      <w:r w:rsidRPr="00FA4F32">
        <w:t xml:space="preserve"> и последстви</w:t>
      </w:r>
      <w:r>
        <w:t>ям его осуществления</w:t>
      </w:r>
      <w:r w:rsidRPr="00FA4F32">
        <w:t xml:space="preserve">, а также последующим шагам на общеевропейском уровне. </w:t>
      </w:r>
      <w:r>
        <w:t>Рабочее совещание на тему</w:t>
      </w:r>
      <w:r w:rsidRPr="00FA4F32">
        <w:t xml:space="preserve"> «</w:t>
      </w:r>
      <w:r>
        <w:t>Перевод</w:t>
      </w:r>
      <w:r w:rsidRPr="00603DFF">
        <w:t xml:space="preserve"> </w:t>
      </w:r>
      <w:r>
        <w:t>информации о внутренних водных перевозках в цифровой формат</w:t>
      </w:r>
      <w:r w:rsidRPr="00FA4F32">
        <w:t>», состоявш</w:t>
      </w:r>
      <w:r>
        <w:t>ее</w:t>
      </w:r>
      <w:r w:rsidR="00F24F3E">
        <w:t>ся 4 октября 2018 </w:t>
      </w:r>
      <w:r w:rsidRPr="00FA4F32">
        <w:t xml:space="preserve">года </w:t>
      </w:r>
      <w:r>
        <w:t>в ходе</w:t>
      </w:r>
      <w:r w:rsidRPr="00FA4F32">
        <w:t xml:space="preserve"> шестьдесят второй сессии SC.3, был</w:t>
      </w:r>
      <w:r>
        <w:t>о</w:t>
      </w:r>
      <w:r w:rsidRPr="00FA4F32">
        <w:t xml:space="preserve"> посвящен</w:t>
      </w:r>
      <w:r>
        <w:t>о</w:t>
      </w:r>
      <w:r w:rsidRPr="00FA4F32">
        <w:t xml:space="preserve"> сфере применения, основным тенденциям и последним изменениям в области использования цифровых технологий на внутре</w:t>
      </w:r>
      <w:r>
        <w:t xml:space="preserve">нних водных путях. На этих рабочих совещаниях была отмечена </w:t>
      </w:r>
      <w:r w:rsidRPr="00FA4F32">
        <w:t xml:space="preserve">роль РИС как важного </w:t>
      </w:r>
      <w:r>
        <w:t>условия</w:t>
      </w:r>
      <w:r w:rsidRPr="00FA4F32">
        <w:t xml:space="preserve"> </w:t>
      </w:r>
      <w:r>
        <w:t xml:space="preserve">перевода информации в цифровой формат </w:t>
      </w:r>
      <w:r w:rsidRPr="00FA4F32">
        <w:t xml:space="preserve">и </w:t>
      </w:r>
      <w:r>
        <w:t xml:space="preserve">использования «умного» </w:t>
      </w:r>
      <w:r w:rsidRPr="00FA4F32">
        <w:t xml:space="preserve">судоходства </w:t>
      </w:r>
      <w:r>
        <w:t>и были указаны</w:t>
      </w:r>
      <w:r w:rsidRPr="00FA4F32">
        <w:t xml:space="preserve"> новые возможности и задачи на предстоящее десятилетие.</w:t>
      </w:r>
    </w:p>
    <w:p w:rsidR="00E30A8B" w:rsidRPr="00FA4F32" w:rsidRDefault="00E30A8B" w:rsidP="00E30A8B">
      <w:pPr>
        <w:pStyle w:val="SingleTxtG"/>
      </w:pPr>
      <w:r w:rsidRPr="00FA4F32">
        <w:t>10.</w:t>
      </w:r>
      <w:r w:rsidRPr="00FA4F32">
        <w:tab/>
        <w:t xml:space="preserve">В 2018 году SC.3 пристально следила за процессом пересмотра основных документов по РИС, который </w:t>
      </w:r>
      <w:r>
        <w:t>осуществляется</w:t>
      </w:r>
      <w:r w:rsidRPr="00FA4F32">
        <w:t xml:space="preserve"> Всемирн</w:t>
      </w:r>
      <w:r>
        <w:t>ой</w:t>
      </w:r>
      <w:r w:rsidRPr="00FA4F32">
        <w:t xml:space="preserve"> ассоциаци</w:t>
      </w:r>
      <w:r>
        <w:t>ей</w:t>
      </w:r>
      <w:r w:rsidRPr="00FA4F32">
        <w:t xml:space="preserve"> инфраструктуры водного транспорта (ПМАКС) и Европейск</w:t>
      </w:r>
      <w:r>
        <w:t>ой</w:t>
      </w:r>
      <w:r w:rsidRPr="00FA4F32">
        <w:t xml:space="preserve"> комисси</w:t>
      </w:r>
      <w:r>
        <w:t>ей</w:t>
      </w:r>
      <w:r w:rsidRPr="00FA4F32">
        <w:t xml:space="preserve"> и должен быть завершен к концу 2018 года</w:t>
      </w:r>
      <w:r>
        <w:t>.</w:t>
      </w:r>
      <w:r w:rsidRPr="00FA4F32">
        <w:t xml:space="preserve"> В качестве последующей меры SC.3 в 2019 году приступит к обновлению резолюций ЕЭК по РИС</w:t>
      </w:r>
      <w:r w:rsidRPr="001D3635">
        <w:t xml:space="preserve"> </w:t>
      </w:r>
      <w:r w:rsidRPr="00FA4F32">
        <w:t>на основе пересмотренных положений. Кроме того, SC.3 и SC.3/WP.3 продолжал</w:t>
      </w:r>
      <w:r>
        <w:t>и</w:t>
      </w:r>
      <w:r w:rsidRPr="00FA4F32">
        <w:t xml:space="preserve"> отслеживать прогресс в развитии РИС, которого достигли </w:t>
      </w:r>
      <w:r>
        <w:t>за</w:t>
      </w:r>
      <w:r w:rsidRPr="00FA4F32">
        <w:t xml:space="preserve"> последнее время государства-члены.</w:t>
      </w:r>
    </w:p>
    <w:p w:rsidR="00E30A8B" w:rsidRPr="00FA4F32" w:rsidRDefault="00E30A8B" w:rsidP="00E30A8B">
      <w:pPr>
        <w:keepNext/>
        <w:keepLines/>
        <w:spacing w:after="120"/>
        <w:ind w:left="1134" w:right="1134"/>
        <w:jc w:val="both"/>
      </w:pPr>
      <w:r>
        <w:rPr>
          <w:i/>
          <w:iCs/>
        </w:rPr>
        <w:t xml:space="preserve">Затронутые направления действий </w:t>
      </w:r>
      <w:r w:rsidRPr="00FA4F32">
        <w:rPr>
          <w:i/>
          <w:iCs/>
        </w:rPr>
        <w:t xml:space="preserve">«дорожной карты» </w:t>
      </w:r>
      <w:r w:rsidRPr="00FA4F32">
        <w:t xml:space="preserve">(области первостепенного </w:t>
      </w:r>
      <w:r>
        <w:t xml:space="preserve">внимания выделены </w:t>
      </w:r>
      <w:r w:rsidRPr="00FA4F32">
        <w:rPr>
          <w:b/>
          <w:bCs/>
        </w:rPr>
        <w:t>жирным шрифтом</w:t>
      </w:r>
      <w:r w:rsidRPr="00FA4F32">
        <w:t xml:space="preserve">): </w:t>
      </w:r>
      <w:r w:rsidRPr="00FA4F32">
        <w:rPr>
          <w:i/>
          <w:iCs/>
        </w:rPr>
        <w:t xml:space="preserve">1, 2, 3, 4, 5, 6, 7, 9, 11, 13, </w:t>
      </w:r>
      <w:r w:rsidRPr="00FA4F32">
        <w:rPr>
          <w:b/>
          <w:bCs/>
          <w:i/>
          <w:iCs/>
        </w:rPr>
        <w:t>14</w:t>
      </w:r>
      <w:r w:rsidRPr="00FA4F32">
        <w:rPr>
          <w:i/>
          <w:iCs/>
        </w:rPr>
        <w:t>, 15, 16,</w:t>
      </w:r>
      <w:r>
        <w:rPr>
          <w:i/>
          <w:iCs/>
        </w:rPr>
        <w:t xml:space="preserve"> 17, 18 и </w:t>
      </w:r>
      <w:r w:rsidRPr="00FA4F32">
        <w:rPr>
          <w:i/>
          <w:iCs/>
        </w:rPr>
        <w:t>19.</w:t>
      </w:r>
    </w:p>
    <w:p w:rsidR="00E30A8B" w:rsidRPr="00FA4F32" w:rsidRDefault="00E30A8B" w:rsidP="00E30A8B">
      <w:pPr>
        <w:pStyle w:val="H23G"/>
      </w:pPr>
      <w:r>
        <w:tab/>
      </w:r>
      <w:r w:rsidRPr="00FA4F32">
        <w:t>2.</w:t>
      </w:r>
      <w:r w:rsidRPr="00FA4F32">
        <w:tab/>
      </w:r>
      <w:r w:rsidRPr="00FA4F32">
        <w:rPr>
          <w:bCs/>
        </w:rPr>
        <w:t>Рабочая группа по перевозкам опасных грузов</w:t>
      </w:r>
    </w:p>
    <w:p w:rsidR="00E30A8B" w:rsidRPr="00FA4F32" w:rsidRDefault="00E30A8B" w:rsidP="00E30A8B">
      <w:pPr>
        <w:spacing w:after="120"/>
        <w:ind w:left="1134" w:right="1134"/>
        <w:jc w:val="both"/>
        <w:rPr>
          <w:color w:val="000000"/>
        </w:rPr>
      </w:pPr>
      <w:r w:rsidRPr="00FA4F32">
        <w:t>11.</w:t>
      </w:r>
      <w:r w:rsidRPr="00FA4F32">
        <w:tab/>
        <w:t>Совместное совещание Коми</w:t>
      </w:r>
      <w:r>
        <w:t>ссии</w:t>
      </w:r>
      <w:r w:rsidRPr="00FA4F32">
        <w:t xml:space="preserve"> экспертов по Правилам международной перевозки опасных грузов по железной дороге (МПОГ) и Рабочей группы по перевозкам опасных грузов</w:t>
      </w:r>
      <w:r>
        <w:t xml:space="preserve"> </w:t>
      </w:r>
      <w:r w:rsidRPr="00FA4F32">
        <w:t>продолжило</w:t>
      </w:r>
      <w:r>
        <w:t xml:space="preserve"> </w:t>
      </w:r>
      <w:r w:rsidR="00F24F3E">
        <w:t>–</w:t>
      </w:r>
      <w:r>
        <w:t xml:space="preserve"> в рамках своей</w:t>
      </w:r>
      <w:r w:rsidRPr="00FA4F32">
        <w:t xml:space="preserve"> </w:t>
      </w:r>
      <w:r>
        <w:t>н</w:t>
      </w:r>
      <w:r w:rsidRPr="00FA4F32">
        <w:t>еофициальной рабочей групп</w:t>
      </w:r>
      <w:r>
        <w:t>ы</w:t>
      </w:r>
      <w:r w:rsidRPr="00FA4F32">
        <w:t xml:space="preserve"> по телематике</w:t>
      </w:r>
      <w:r>
        <w:t xml:space="preserve"> </w:t>
      </w:r>
      <w:r w:rsidR="00F24F3E">
        <w:t>–</w:t>
      </w:r>
      <w:r w:rsidRPr="00FA4F32">
        <w:t xml:space="preserve"> работу над приложениями ИТС, </w:t>
      </w:r>
      <w:r>
        <w:t xml:space="preserve">предназначенными, </w:t>
      </w:r>
      <w:r w:rsidRPr="00FA4F32">
        <w:t xml:space="preserve">в </w:t>
      </w:r>
      <w:r>
        <w:t>частности, для повышения</w:t>
      </w:r>
      <w:r w:rsidRPr="00FA4F32">
        <w:t xml:space="preserve"> оперативн</w:t>
      </w:r>
      <w:r>
        <w:t>ости</w:t>
      </w:r>
      <w:r w:rsidRPr="00FA4F32">
        <w:t xml:space="preserve"> и эффективно</w:t>
      </w:r>
      <w:r>
        <w:t>сти</w:t>
      </w:r>
      <w:r w:rsidRPr="00FA4F32">
        <w:t xml:space="preserve"> реагирован</w:t>
      </w:r>
      <w:r>
        <w:t>ия</w:t>
      </w:r>
      <w:r w:rsidRPr="00FA4F32">
        <w:t xml:space="preserve"> на чрезвычайные ситуации, связанные с опасными грузами на транспорте. В 2018 году </w:t>
      </w:r>
      <w:r>
        <w:t>эта н</w:t>
      </w:r>
      <w:r w:rsidRPr="00FA4F32">
        <w:t xml:space="preserve">еофициальная рабочая группа согласовала меморандум о взаимопонимании, содержащий основные согласованные принципы </w:t>
      </w:r>
      <w:r>
        <w:t>формирования</w:t>
      </w:r>
      <w:r w:rsidRPr="00FA4F32">
        <w:t xml:space="preserve"> телематической архитектуры для перевозки опасных грузов. </w:t>
      </w:r>
    </w:p>
    <w:p w:rsidR="00E30A8B" w:rsidRPr="00FA4F32" w:rsidRDefault="00E30A8B" w:rsidP="00E30A8B">
      <w:pPr>
        <w:spacing w:after="120"/>
        <w:ind w:left="1134" w:right="1134"/>
        <w:jc w:val="both"/>
        <w:rPr>
          <w:color w:val="000000"/>
        </w:rPr>
      </w:pPr>
      <w:r>
        <w:rPr>
          <w:i/>
          <w:iCs/>
        </w:rPr>
        <w:lastRenderedPageBreak/>
        <w:t xml:space="preserve">Затронутые направления действий </w:t>
      </w:r>
      <w:r w:rsidRPr="00FA4F32">
        <w:rPr>
          <w:i/>
          <w:iCs/>
        </w:rPr>
        <w:t xml:space="preserve">«дорожной карты» </w:t>
      </w:r>
      <w:r w:rsidRPr="00FA4F32">
        <w:t xml:space="preserve">(области первостепенного </w:t>
      </w:r>
      <w:r>
        <w:t xml:space="preserve">внимания выделены </w:t>
      </w:r>
      <w:r w:rsidRPr="00FA4F32">
        <w:rPr>
          <w:b/>
          <w:bCs/>
        </w:rPr>
        <w:t>жирным шрифтом</w:t>
      </w:r>
      <w:r w:rsidRPr="00FA4F32">
        <w:t xml:space="preserve">): </w:t>
      </w:r>
      <w:r w:rsidRPr="00FA4F32">
        <w:rPr>
          <w:i/>
          <w:iCs/>
        </w:rPr>
        <w:t xml:space="preserve">1, 2, 3, 4, 5, 7, 9, 11, </w:t>
      </w:r>
      <w:r w:rsidRPr="00FA4F32">
        <w:rPr>
          <w:b/>
          <w:bCs/>
          <w:i/>
          <w:iCs/>
        </w:rPr>
        <w:t>12</w:t>
      </w:r>
      <w:r>
        <w:rPr>
          <w:i/>
          <w:iCs/>
        </w:rPr>
        <w:t>, 13, 15, 16, 17, 18 и </w:t>
      </w:r>
      <w:r w:rsidRPr="00FA4F32">
        <w:rPr>
          <w:i/>
          <w:iCs/>
        </w:rPr>
        <w:t>19.</w:t>
      </w:r>
    </w:p>
    <w:p w:rsidR="00E30A8B" w:rsidRPr="00FA4F32" w:rsidRDefault="00E30A8B" w:rsidP="00E30A8B">
      <w:pPr>
        <w:pStyle w:val="H23G"/>
      </w:pPr>
      <w:r>
        <w:tab/>
      </w:r>
      <w:r w:rsidRPr="00FA4F32">
        <w:t>3.</w:t>
      </w:r>
      <w:r w:rsidRPr="00FA4F32">
        <w:tab/>
      </w:r>
      <w:r w:rsidRPr="00FA4F32">
        <w:rPr>
          <w:bCs/>
        </w:rPr>
        <w:t>Глобальный форум по безопасности дорожного движения</w:t>
      </w:r>
    </w:p>
    <w:p w:rsidR="00E30A8B" w:rsidRPr="00FA4F32" w:rsidRDefault="00E30A8B" w:rsidP="00E30A8B">
      <w:pPr>
        <w:spacing w:after="120"/>
        <w:ind w:left="1134" w:right="1134"/>
        <w:jc w:val="both"/>
      </w:pPr>
      <w:r w:rsidRPr="00FA4F32">
        <w:t>12.</w:t>
      </w:r>
      <w:r w:rsidRPr="00FA4F32">
        <w:tab/>
        <w:t xml:space="preserve">Глобальный форум по безопасности дорожного движения (WP.1), </w:t>
      </w:r>
      <w:r>
        <w:t xml:space="preserve">являющийся </w:t>
      </w:r>
      <w:r w:rsidRPr="00FA4F32">
        <w:t>единственны</w:t>
      </w:r>
      <w:r>
        <w:t>м</w:t>
      </w:r>
      <w:r w:rsidRPr="00FA4F32">
        <w:t xml:space="preserve"> постоянны</w:t>
      </w:r>
      <w:r>
        <w:t>м</w:t>
      </w:r>
      <w:r w:rsidRPr="00FA4F32">
        <w:t xml:space="preserve"> межправительственны</w:t>
      </w:r>
      <w:r>
        <w:t>м</w:t>
      </w:r>
      <w:r w:rsidRPr="00FA4F32">
        <w:t xml:space="preserve"> орган</w:t>
      </w:r>
      <w:r>
        <w:t>ом</w:t>
      </w:r>
      <w:r w:rsidRPr="00FA4F32">
        <w:t xml:space="preserve"> Организации Объединенных Наций, занимающи</w:t>
      </w:r>
      <w:r>
        <w:t>м</w:t>
      </w:r>
      <w:r w:rsidRPr="00FA4F32">
        <w:t xml:space="preserve">ся безопасностью дорожного движения, принял </w:t>
      </w:r>
      <w:r>
        <w:t xml:space="preserve">в качестве </w:t>
      </w:r>
      <w:r w:rsidRPr="00FA4F32">
        <w:t>руководств</w:t>
      </w:r>
      <w:r>
        <w:t>а</w:t>
      </w:r>
      <w:r w:rsidRPr="00FA4F32">
        <w:t xml:space="preserve"> для стран</w:t>
      </w:r>
      <w:r>
        <w:t>, являющихся Д</w:t>
      </w:r>
      <w:r w:rsidRPr="00FA4F32">
        <w:t>оговаривающи</w:t>
      </w:r>
      <w:r>
        <w:t>ми</w:t>
      </w:r>
      <w:r w:rsidRPr="00FA4F32">
        <w:t>ся сторон</w:t>
      </w:r>
      <w:r>
        <w:t>ами К</w:t>
      </w:r>
      <w:r w:rsidRPr="00FA4F32">
        <w:t>онвенций 1949 и 1968 годов о дорожном движении</w:t>
      </w:r>
      <w:r>
        <w:t>,</w:t>
      </w:r>
      <w:r w:rsidRPr="00642B74">
        <w:t xml:space="preserve"> </w:t>
      </w:r>
      <w:r>
        <w:t xml:space="preserve">не имеющую обязательного характера </w:t>
      </w:r>
      <w:r w:rsidRPr="00FA4F32">
        <w:t>резолюцию</w:t>
      </w:r>
      <w:r>
        <w:t>, касающуюся безопасного</w:t>
      </w:r>
      <w:r w:rsidRPr="00FA4F32">
        <w:t xml:space="preserve"> </w:t>
      </w:r>
      <w:r>
        <w:t>развертывания систем высокоавтоматизированных и полностью автоматизированных транспортных средств в условиях дорожного движения</w:t>
      </w:r>
      <w:r w:rsidRPr="00FA4F32">
        <w:t>.</w:t>
      </w:r>
      <w:r w:rsidR="00F24F3E">
        <w:t xml:space="preserve"> </w:t>
      </w:r>
      <w:r w:rsidRPr="00FA4F32">
        <w:t xml:space="preserve">В </w:t>
      </w:r>
      <w:r>
        <w:t xml:space="preserve">этой </w:t>
      </w:r>
      <w:r w:rsidRPr="00FA4F32">
        <w:t xml:space="preserve">резолюции содержатся рекомендации по обеспечению безопасного взаимодействия автоматизированных транспортных средств, других транспортных средств и в целом всех участников дорожного движения, а также подчеркивается ключевая роль </w:t>
      </w:r>
      <w:r>
        <w:t xml:space="preserve">человеческого фактора, независимо от того, идет ли речь о </w:t>
      </w:r>
      <w:r w:rsidRPr="00FA4F32">
        <w:t>водител</w:t>
      </w:r>
      <w:r>
        <w:t>е, пассажире или другом участнике</w:t>
      </w:r>
      <w:r w:rsidRPr="00FA4F32">
        <w:t xml:space="preserve"> дорожного движения.</w:t>
      </w:r>
      <w:r w:rsidR="00F24F3E">
        <w:t xml:space="preserve"> </w:t>
      </w:r>
      <w:r>
        <w:t>Между тем как</w:t>
      </w:r>
      <w:r w:rsidRPr="00FA4F32">
        <w:t xml:space="preserve"> Глобальный форум намере</w:t>
      </w:r>
      <w:r>
        <w:t>н</w:t>
      </w:r>
      <w:r w:rsidRPr="00FA4F32">
        <w:t xml:space="preserve"> вносить в эту резолюцию изменения по мере развития технологий и накопления опыта </w:t>
      </w:r>
      <w:r>
        <w:t xml:space="preserve">применения высокоавтоматизированных и полностью автоматизированных транспортных средств </w:t>
      </w:r>
      <w:r w:rsidRPr="00FA4F32">
        <w:t xml:space="preserve">в условиях дорожного движения, </w:t>
      </w:r>
      <w:r>
        <w:t>звучат</w:t>
      </w:r>
      <w:r w:rsidRPr="00FA4F32">
        <w:t xml:space="preserve"> призывы </w:t>
      </w:r>
      <w:r>
        <w:t xml:space="preserve">к тому, чтобы </w:t>
      </w:r>
      <w:r w:rsidRPr="00FA4F32">
        <w:t xml:space="preserve">обратиться к </w:t>
      </w:r>
      <w:r>
        <w:t>юридическому</w:t>
      </w:r>
      <w:r w:rsidRPr="00FA4F32">
        <w:t xml:space="preserve"> содержанию Конвенций 1949 и 1968 годов о дорожном движении.</w:t>
      </w:r>
    </w:p>
    <w:p w:rsidR="00E30A8B" w:rsidRPr="00FA4F32" w:rsidRDefault="00E30A8B" w:rsidP="00E30A8B">
      <w:pPr>
        <w:spacing w:after="120"/>
        <w:ind w:left="1134" w:right="1134"/>
        <w:jc w:val="both"/>
        <w:rPr>
          <w:i/>
        </w:rPr>
      </w:pPr>
      <w:r>
        <w:rPr>
          <w:i/>
          <w:iCs/>
        </w:rPr>
        <w:t xml:space="preserve">Затронутые направления действий </w:t>
      </w:r>
      <w:r w:rsidRPr="00FA4F32">
        <w:rPr>
          <w:i/>
          <w:iCs/>
        </w:rPr>
        <w:t>«дорожной карты»</w:t>
      </w:r>
      <w:r w:rsidRPr="00FA4F32">
        <w:t xml:space="preserve"> (области первостепенного </w:t>
      </w:r>
      <w:r>
        <w:t xml:space="preserve">внимания выделены </w:t>
      </w:r>
      <w:r w:rsidRPr="00FA4F32">
        <w:rPr>
          <w:b/>
          <w:bCs/>
        </w:rPr>
        <w:t>жирным шрифтом</w:t>
      </w:r>
      <w:r w:rsidRPr="00FA4F32">
        <w:t xml:space="preserve">): </w:t>
      </w:r>
      <w:r w:rsidRPr="00FA4F32">
        <w:rPr>
          <w:i/>
          <w:iCs/>
        </w:rPr>
        <w:t xml:space="preserve">1, 2, </w:t>
      </w:r>
      <w:r w:rsidRPr="00FA4F32">
        <w:rPr>
          <w:b/>
          <w:bCs/>
          <w:i/>
          <w:iCs/>
        </w:rPr>
        <w:t>3</w:t>
      </w:r>
      <w:r w:rsidRPr="00FA4F32">
        <w:rPr>
          <w:i/>
          <w:iCs/>
        </w:rPr>
        <w:t>, 4, 5, 6, 7, 8, 9 и 10.</w:t>
      </w:r>
    </w:p>
    <w:p w:rsidR="00E30A8B" w:rsidRPr="00FA4F32" w:rsidRDefault="00E30A8B" w:rsidP="00E30A8B">
      <w:pPr>
        <w:pStyle w:val="H23G"/>
      </w:pPr>
      <w:r>
        <w:tab/>
      </w:r>
      <w:r w:rsidRPr="00FA4F32">
        <w:t>4.</w:t>
      </w:r>
      <w:r w:rsidRPr="00FA4F32">
        <w:tab/>
      </w:r>
      <w:r w:rsidRPr="00FA4F32">
        <w:rPr>
          <w:bCs/>
        </w:rPr>
        <w:t>Рабочая группа по</w:t>
      </w:r>
      <w:r>
        <w:rPr>
          <w:bCs/>
        </w:rPr>
        <w:t xml:space="preserve"> автоматизированным/автономным </w:t>
      </w:r>
      <w:r w:rsidRPr="00FA4F32">
        <w:rPr>
          <w:bCs/>
        </w:rPr>
        <w:t>и подключенным транспортным средствам</w:t>
      </w:r>
    </w:p>
    <w:p w:rsidR="00E30A8B" w:rsidRPr="00FA4F32" w:rsidRDefault="00E30A8B" w:rsidP="00E30A8B">
      <w:pPr>
        <w:pStyle w:val="SingleTxtG"/>
        <w:jc w:val="lowKashida"/>
      </w:pPr>
      <w:r w:rsidRPr="00FA4F32">
        <w:t>13.</w:t>
      </w:r>
      <w:r w:rsidRPr="00FA4F32">
        <w:tab/>
        <w:t xml:space="preserve">В соответствии с </w:t>
      </w:r>
      <w:r>
        <w:t>принятым в июне</w:t>
      </w:r>
      <w:r w:rsidRPr="00FA4F32">
        <w:t xml:space="preserve"> 2018 года решением WP.29 о</w:t>
      </w:r>
      <w:r>
        <w:t xml:space="preserve"> том, чтобы во исполнение </w:t>
      </w:r>
      <w:r w:rsidRPr="00FA4F32">
        <w:t xml:space="preserve">решения № 19 КВТ </w:t>
      </w:r>
      <w:r>
        <w:t xml:space="preserve">от </w:t>
      </w:r>
      <w:r w:rsidRPr="00FA4F32">
        <w:t xml:space="preserve">2018 </w:t>
      </w:r>
      <w:r>
        <w:t xml:space="preserve">года преобразовать </w:t>
      </w:r>
      <w:r w:rsidRPr="00FA4F32">
        <w:t xml:space="preserve">GRRF </w:t>
      </w:r>
      <w:r>
        <w:t xml:space="preserve">в </w:t>
      </w:r>
      <w:r w:rsidRPr="00FA4F32">
        <w:t>Рабоч</w:t>
      </w:r>
      <w:r>
        <w:t>ую</w:t>
      </w:r>
      <w:r w:rsidRPr="00FA4F32">
        <w:t xml:space="preserve"> групп</w:t>
      </w:r>
      <w:r>
        <w:t>у по автоматизированным/</w:t>
      </w:r>
      <w:r w:rsidRPr="00FA4F32">
        <w:t>автономным и подключенным транспортным средствам (GRVA)</w:t>
      </w:r>
      <w:r>
        <w:t>,</w:t>
      </w:r>
      <w:r w:rsidRPr="00FA4F32">
        <w:t xml:space="preserve"> GRVA провела свое первое совещание</w:t>
      </w:r>
      <w:r>
        <w:t xml:space="preserve"> 25–28 сентября 2018 года. GRVA </w:t>
      </w:r>
      <w:r w:rsidRPr="00FA4F32">
        <w:t xml:space="preserve">сохранила направления деятельности GRRF, </w:t>
      </w:r>
      <w:r>
        <w:t xml:space="preserve">связанные с </w:t>
      </w:r>
      <w:r w:rsidRPr="00FA4F32">
        <w:t>автономны</w:t>
      </w:r>
      <w:r>
        <w:t>ми</w:t>
      </w:r>
      <w:r w:rsidRPr="00FA4F32">
        <w:t>, автоматизированны</w:t>
      </w:r>
      <w:r>
        <w:t>ми</w:t>
      </w:r>
      <w:r w:rsidRPr="00FA4F32">
        <w:t xml:space="preserve"> и подключенны</w:t>
      </w:r>
      <w:r>
        <w:t>ми</w:t>
      </w:r>
      <w:r w:rsidRPr="00FA4F32">
        <w:t xml:space="preserve"> транспортны</w:t>
      </w:r>
      <w:r>
        <w:t>ми</w:t>
      </w:r>
      <w:r w:rsidRPr="00FA4F32">
        <w:t xml:space="preserve"> средств</w:t>
      </w:r>
      <w:r>
        <w:t>ами</w:t>
      </w:r>
      <w:r w:rsidRPr="00FA4F32">
        <w:t xml:space="preserve">, </w:t>
      </w:r>
      <w:r>
        <w:t>и приняла задачи по осуществлению деятельности н</w:t>
      </w:r>
      <w:r w:rsidRPr="00FA4F32">
        <w:t>еофициальной рабочей групп</w:t>
      </w:r>
      <w:r>
        <w:t>ы</w:t>
      </w:r>
      <w:r w:rsidRPr="00FA4F32">
        <w:t xml:space="preserve"> по интеллектуальным транспортным системам/автоматизированному вождению (НРГ по ИТС/АВ), </w:t>
      </w:r>
      <w:r>
        <w:t xml:space="preserve">помимо </w:t>
      </w:r>
      <w:r w:rsidRPr="00FA4F32">
        <w:t>координации</w:t>
      </w:r>
      <w:r>
        <w:t xml:space="preserve"> этой деятельности</w:t>
      </w:r>
      <w:r w:rsidRPr="00FA4F32">
        <w:t xml:space="preserve">. </w:t>
      </w:r>
      <w:r>
        <w:t>Данный</w:t>
      </w:r>
      <w:r w:rsidRPr="00FA4F32">
        <w:t xml:space="preserve"> процесс </w:t>
      </w:r>
      <w:r>
        <w:t>потребовал</w:t>
      </w:r>
      <w:r w:rsidRPr="00FA4F32">
        <w:t xml:space="preserve"> перераспределения некоторых выполнявшихся ранее GRRF функций между </w:t>
      </w:r>
      <w:r>
        <w:t xml:space="preserve">другими </w:t>
      </w:r>
      <w:r w:rsidRPr="00FA4F32">
        <w:t>вспомогательными рабочими группами WP. 29 (</w:t>
      </w:r>
      <w:r>
        <w:t xml:space="preserve">их </w:t>
      </w:r>
      <w:r w:rsidRPr="00FA4F32">
        <w:t>перечень прив</w:t>
      </w:r>
      <w:r>
        <w:t>еден</w:t>
      </w:r>
      <w:r w:rsidRPr="00FA4F32">
        <w:t xml:space="preserve"> в </w:t>
      </w:r>
      <w:r>
        <w:t>п</w:t>
      </w:r>
      <w:r w:rsidR="00C22360">
        <w:t>риложении </w:t>
      </w:r>
      <w:r w:rsidRPr="00FA4F32">
        <w:t xml:space="preserve">1 к </w:t>
      </w:r>
      <w:r>
        <w:t xml:space="preserve">документу </w:t>
      </w:r>
      <w:r w:rsidRPr="00FA4F32">
        <w:t>WP.29-175-25).</w:t>
      </w:r>
    </w:p>
    <w:p w:rsidR="00E30A8B" w:rsidRPr="00FA4F32" w:rsidRDefault="00E30A8B" w:rsidP="00E30A8B">
      <w:pPr>
        <w:pStyle w:val="SingleTxtG"/>
        <w:jc w:val="lowKashida"/>
      </w:pPr>
      <w:r w:rsidRPr="00FA4F32">
        <w:t>14.</w:t>
      </w:r>
      <w:r w:rsidRPr="00FA4F32">
        <w:tab/>
        <w:t xml:space="preserve">Деятельность GRVA включает разработку положений (совместимых </w:t>
      </w:r>
      <w:r>
        <w:t>с с</w:t>
      </w:r>
      <w:r w:rsidRPr="00FA4F32">
        <w:t xml:space="preserve">оглашениями </w:t>
      </w:r>
      <w:r>
        <w:t>как</w:t>
      </w:r>
      <w:r w:rsidRPr="00FA4F32">
        <w:t xml:space="preserve"> 1958</w:t>
      </w:r>
      <w:r>
        <w:t xml:space="preserve"> года, так и</w:t>
      </w:r>
      <w:r w:rsidRPr="00FA4F32">
        <w:t xml:space="preserve"> 1998 года) об автоматизированных/автономных транспортных средствах. В частности, в ходе разработки согласованных на международном уровне правил по технологиям автоматизированного вождения, которые позволили бы водителям пользоваться преимуществами более высокой степени автоматизации </w:t>
      </w:r>
      <w:r>
        <w:t>функции</w:t>
      </w:r>
      <w:r w:rsidRPr="00FA4F32">
        <w:t xml:space="preserve"> управления транспортным средст</w:t>
      </w:r>
      <w:r>
        <w:t>вом и повышенной безопасности, Г</w:t>
      </w:r>
      <w:r w:rsidRPr="00FA4F32">
        <w:t>руппа рассмотрит следующие вопросы:</w:t>
      </w:r>
    </w:p>
    <w:p w:rsidR="00E30A8B" w:rsidRPr="00FA4F32" w:rsidRDefault="00E30A8B" w:rsidP="00E30A8B">
      <w:pPr>
        <w:pStyle w:val="SingleTxtG"/>
        <w:ind w:firstLine="567"/>
      </w:pPr>
      <w:r w:rsidRPr="00FA4F32">
        <w:tab/>
        <w:t>a)</w:t>
      </w:r>
      <w:r w:rsidRPr="00FA4F32">
        <w:tab/>
        <w:t>функциональные требования к интеллектуальным технологиям транспортных средств и системным приложениям (автоматизация и подключение) для транспортных средств;</w:t>
      </w:r>
    </w:p>
    <w:p w:rsidR="00E30A8B" w:rsidRPr="00FA4F32" w:rsidRDefault="00E30A8B" w:rsidP="00E30A8B">
      <w:pPr>
        <w:pStyle w:val="SingleTxtG"/>
        <w:ind w:firstLine="567"/>
      </w:pPr>
      <w:r w:rsidRPr="00FA4F32">
        <w:t>b)</w:t>
      </w:r>
      <w:r w:rsidRPr="00FA4F32">
        <w:tab/>
        <w:t>новая методология оценки безопасности;</w:t>
      </w:r>
    </w:p>
    <w:p w:rsidR="00E30A8B" w:rsidRPr="00FA4F32" w:rsidRDefault="00E30A8B" w:rsidP="00E30A8B">
      <w:pPr>
        <w:pStyle w:val="SingleTxtG"/>
        <w:ind w:firstLine="567"/>
      </w:pPr>
      <w:r w:rsidRPr="00FA4F32">
        <w:t>c)</w:t>
      </w:r>
      <w:r w:rsidRPr="00FA4F32">
        <w:tab/>
        <w:t>кибербезопасность и защита данных;</w:t>
      </w:r>
    </w:p>
    <w:p w:rsidR="00E30A8B" w:rsidRPr="00FA4F32" w:rsidRDefault="00E30A8B" w:rsidP="00E30A8B">
      <w:pPr>
        <w:pStyle w:val="SingleTxtG"/>
        <w:ind w:firstLine="567"/>
      </w:pPr>
      <w:r w:rsidRPr="00FA4F32">
        <w:t>d)</w:t>
      </w:r>
      <w:r w:rsidRPr="00FA4F32">
        <w:tab/>
        <w:t>обновление программного обеспечения (включая беспроводную связь);</w:t>
      </w:r>
    </w:p>
    <w:p w:rsidR="00E30A8B" w:rsidRPr="00FA4F32" w:rsidRDefault="00E30A8B" w:rsidP="00E30A8B">
      <w:pPr>
        <w:pStyle w:val="SingleTxtG"/>
        <w:ind w:firstLine="567"/>
      </w:pPr>
      <w:r w:rsidRPr="00FA4F32">
        <w:t>e)</w:t>
      </w:r>
      <w:r w:rsidRPr="00FA4F32">
        <w:tab/>
        <w:t>системы хранения данных для автоматизированного вождения (СХДАВ);</w:t>
      </w:r>
    </w:p>
    <w:p w:rsidR="00E30A8B" w:rsidRPr="00FA4F32" w:rsidRDefault="00E30A8B" w:rsidP="00E30A8B">
      <w:pPr>
        <w:pStyle w:val="SingleTxtG"/>
        <w:ind w:firstLine="567"/>
        <w:jc w:val="lowKashida"/>
      </w:pPr>
      <w:r w:rsidRPr="00FA4F32">
        <w:t>f)</w:t>
      </w:r>
      <w:r w:rsidRPr="00FA4F32">
        <w:tab/>
        <w:t>положения о периодическом техническом осмотре (ПТО).</w:t>
      </w:r>
    </w:p>
    <w:p w:rsidR="00E30A8B" w:rsidRPr="00FA4F32" w:rsidRDefault="00E30A8B" w:rsidP="00E30A8B">
      <w:pPr>
        <w:spacing w:after="120"/>
        <w:ind w:left="1134" w:right="1134"/>
        <w:jc w:val="both"/>
        <w:rPr>
          <w:i/>
        </w:rPr>
      </w:pPr>
      <w:r>
        <w:rPr>
          <w:i/>
          <w:iCs/>
        </w:rPr>
        <w:lastRenderedPageBreak/>
        <w:t xml:space="preserve">Затронутые направления действий </w:t>
      </w:r>
      <w:r w:rsidRPr="00FA4F32">
        <w:rPr>
          <w:i/>
          <w:iCs/>
        </w:rPr>
        <w:t>«дорожной карты»</w:t>
      </w:r>
      <w:r w:rsidRPr="00FA4F32">
        <w:t xml:space="preserve"> (области первостепенного </w:t>
      </w:r>
      <w:r>
        <w:t xml:space="preserve">внимания выделены </w:t>
      </w:r>
      <w:r w:rsidRPr="00FA4F32">
        <w:rPr>
          <w:b/>
          <w:bCs/>
        </w:rPr>
        <w:t>жирным шрифтом</w:t>
      </w:r>
      <w:r w:rsidRPr="00FA4F32">
        <w:t xml:space="preserve">): </w:t>
      </w:r>
      <w:r w:rsidRPr="00FA4F32">
        <w:rPr>
          <w:i/>
          <w:iCs/>
        </w:rPr>
        <w:t xml:space="preserve">1, </w:t>
      </w:r>
      <w:r w:rsidRPr="00FA4F32">
        <w:rPr>
          <w:b/>
          <w:bCs/>
          <w:i/>
          <w:iCs/>
        </w:rPr>
        <w:t>2</w:t>
      </w:r>
      <w:r w:rsidRPr="00FA4F32">
        <w:rPr>
          <w:i/>
          <w:iCs/>
        </w:rPr>
        <w:t xml:space="preserve">, 3, 4, </w:t>
      </w:r>
      <w:r w:rsidRPr="00FA4F32">
        <w:rPr>
          <w:b/>
          <w:bCs/>
          <w:i/>
          <w:iCs/>
        </w:rPr>
        <w:t>5</w:t>
      </w:r>
      <w:r w:rsidRPr="00FA4F32">
        <w:rPr>
          <w:i/>
          <w:iCs/>
        </w:rPr>
        <w:t xml:space="preserve">, 6, 8, </w:t>
      </w:r>
      <w:r w:rsidRPr="00FA4F32">
        <w:rPr>
          <w:b/>
          <w:bCs/>
          <w:i/>
          <w:iCs/>
        </w:rPr>
        <w:t>9</w:t>
      </w:r>
      <w:r w:rsidRPr="00FA4F32">
        <w:rPr>
          <w:i/>
          <w:iCs/>
        </w:rPr>
        <w:t>, 15 и 17.</w:t>
      </w:r>
    </w:p>
    <w:p w:rsidR="00E30A8B" w:rsidRPr="00FA4F32" w:rsidRDefault="00E30A8B" w:rsidP="00E30A8B">
      <w:pPr>
        <w:pStyle w:val="H23G"/>
      </w:pPr>
      <w:r>
        <w:tab/>
      </w:r>
      <w:r w:rsidRPr="00FA4F32">
        <w:t>5.</w:t>
      </w:r>
      <w:r w:rsidRPr="00FA4F32">
        <w:tab/>
      </w:r>
      <w:r w:rsidRPr="00FA4F32">
        <w:rPr>
          <w:bCs/>
        </w:rPr>
        <w:t>Всемирный форум для согласования правил в обла</w:t>
      </w:r>
      <w:r>
        <w:rPr>
          <w:bCs/>
        </w:rPr>
        <w:t>сти транспортных средств и его н</w:t>
      </w:r>
      <w:r w:rsidRPr="00FA4F32">
        <w:rPr>
          <w:bCs/>
        </w:rPr>
        <w:t>еофициальная рабочая группа по интеллектуальным транспортным системам/автоматизированному вождению</w:t>
      </w:r>
    </w:p>
    <w:p w:rsidR="00E30A8B" w:rsidRPr="00FA4F32" w:rsidRDefault="00E30A8B" w:rsidP="00E30A8B">
      <w:pPr>
        <w:tabs>
          <w:tab w:val="left" w:pos="567"/>
        </w:tabs>
        <w:spacing w:after="120"/>
        <w:ind w:left="1134" w:right="1134"/>
        <w:jc w:val="both"/>
      </w:pPr>
      <w:r w:rsidRPr="00FA4F32">
        <w:t>15.</w:t>
      </w:r>
      <w:r w:rsidRPr="00FA4F32">
        <w:tab/>
        <w:t>Всемирный форум для согласования правил в области транспортных средств (WP.29) принял новые Правила ООН, касающиеся автоматических систем вызова экстренных оперативных служб (СВЭС), вступившие в силу 19 июля 2018 г</w:t>
      </w:r>
      <w:r>
        <w:t>ода. В этих П</w:t>
      </w:r>
      <w:r w:rsidRPr="00FA4F32">
        <w:t xml:space="preserve">равилах ООН впервые рассматривается такой элемент, как подключение транспортного средства. В случае аварии СВЭС сообщает </w:t>
      </w:r>
      <w:r>
        <w:t xml:space="preserve">о </w:t>
      </w:r>
      <w:r w:rsidRPr="00FA4F32">
        <w:t>местоположени</w:t>
      </w:r>
      <w:r>
        <w:t>и</w:t>
      </w:r>
      <w:r w:rsidRPr="00FA4F32">
        <w:t xml:space="preserve"> транспортного средства </w:t>
      </w:r>
      <w:r>
        <w:t xml:space="preserve">в </w:t>
      </w:r>
      <w:r w:rsidRPr="00FA4F32">
        <w:t>ближайш</w:t>
      </w:r>
      <w:r>
        <w:t>ий</w:t>
      </w:r>
      <w:r w:rsidRPr="00FA4F32">
        <w:t xml:space="preserve"> центр экстренной оперативной службы.</w:t>
      </w:r>
    </w:p>
    <w:p w:rsidR="00E30A8B" w:rsidRPr="00FA4F32" w:rsidRDefault="00E30A8B" w:rsidP="00E30A8B">
      <w:pPr>
        <w:tabs>
          <w:tab w:val="left" w:pos="567"/>
        </w:tabs>
        <w:spacing w:after="120"/>
        <w:ind w:left="1134" w:right="1134"/>
        <w:jc w:val="both"/>
      </w:pPr>
      <w:r w:rsidRPr="00FA4F32">
        <w:t>16.</w:t>
      </w:r>
      <w:r w:rsidRPr="00FA4F32">
        <w:tab/>
        <w:t xml:space="preserve">НРГ по ИТС/АВ </w:t>
      </w:r>
      <w:r>
        <w:t>сосредоточила</w:t>
      </w:r>
      <w:r w:rsidRPr="00FA4F32">
        <w:t xml:space="preserve"> свою </w:t>
      </w:r>
      <w:r>
        <w:t xml:space="preserve">деятельность на </w:t>
      </w:r>
      <w:r w:rsidRPr="00FA4F32">
        <w:t>тре</w:t>
      </w:r>
      <w:r>
        <w:t>х</w:t>
      </w:r>
      <w:r w:rsidRPr="00FA4F32">
        <w:t xml:space="preserve"> направления</w:t>
      </w:r>
      <w:r>
        <w:t>х</w:t>
      </w:r>
      <w:r w:rsidRPr="00FA4F32">
        <w:t xml:space="preserve">. </w:t>
      </w:r>
      <w:r>
        <w:t>Ей передавались</w:t>
      </w:r>
      <w:r w:rsidRPr="00FA4F32">
        <w:t xml:space="preserve"> доклады о ходе работы Целевой группы по кибербезопасности и обновлениям ПО по беспроводной связи, а также другие доклад</w:t>
      </w:r>
      <w:r>
        <w:t>ы и сообщения (например, от «ОИАТ</w:t>
      </w:r>
      <w:r w:rsidRPr="00FA4F32">
        <w:t xml:space="preserve"> Интернэшнл» по определени</w:t>
      </w:r>
      <w:r>
        <w:t>ям</w:t>
      </w:r>
      <w:r w:rsidRPr="00FA4F32">
        <w:t xml:space="preserve">, от Исследовательского центра Тэтчем по </w:t>
      </w:r>
      <w:r>
        <w:t xml:space="preserve">перспективам </w:t>
      </w:r>
      <w:r w:rsidRPr="00FA4F32">
        <w:t>международно</w:t>
      </w:r>
      <w:r>
        <w:t>го</w:t>
      </w:r>
      <w:r w:rsidRPr="00FA4F32">
        <w:t xml:space="preserve"> страховани</w:t>
      </w:r>
      <w:r>
        <w:t>я</w:t>
      </w:r>
      <w:r w:rsidRPr="00FA4F32">
        <w:t xml:space="preserve">). Она обсудила новейшую методологию оценки безопасности (так называемый 3-компонентный подход). Неофициальная рабочая группа также завершила разработку справочного документа с определениями термина «автоматизированное вождение» в рамках WP.29, </w:t>
      </w:r>
      <w:r>
        <w:t>который был принят</w:t>
      </w:r>
      <w:r w:rsidRPr="00FA4F32">
        <w:t xml:space="preserve"> WP. 29. </w:t>
      </w:r>
    </w:p>
    <w:p w:rsidR="00E30A8B" w:rsidRPr="00FA4F32" w:rsidRDefault="00E30A8B" w:rsidP="00E30A8B">
      <w:pPr>
        <w:pStyle w:val="SingleTxtG"/>
      </w:pPr>
      <w:r w:rsidRPr="00FA4F32">
        <w:t>17.</w:t>
      </w:r>
      <w:r w:rsidRPr="00FA4F32">
        <w:tab/>
        <w:t xml:space="preserve">НРГ по ИТС/АВ </w:t>
      </w:r>
      <w:r>
        <w:t xml:space="preserve">в </w:t>
      </w:r>
      <w:r w:rsidRPr="00FA4F32">
        <w:t>принцип</w:t>
      </w:r>
      <w:r>
        <w:t>е</w:t>
      </w:r>
      <w:r w:rsidRPr="00FA4F32">
        <w:t xml:space="preserve"> согласовала </w:t>
      </w:r>
      <w:r>
        <w:t>вопрос об учреждении</w:t>
      </w:r>
      <w:r w:rsidRPr="00FA4F32">
        <w:t xml:space="preserve"> Целевой группы по испытанию автоматизированных транспортных средств («АвтоТС»). </w:t>
      </w:r>
      <w:r>
        <w:t>Вместе с тем эта</w:t>
      </w:r>
      <w:r w:rsidRPr="00FA4F32">
        <w:t xml:space="preserve"> Целевая группа не смогла </w:t>
      </w:r>
      <w:r>
        <w:t>приступить к работе</w:t>
      </w:r>
      <w:r w:rsidRPr="00FA4F32">
        <w:t xml:space="preserve"> в полн</w:t>
      </w:r>
      <w:r>
        <w:t>ом объеме</w:t>
      </w:r>
      <w:r w:rsidRPr="00FA4F32">
        <w:t xml:space="preserve">, </w:t>
      </w:r>
      <w:r>
        <w:t xml:space="preserve">так как </w:t>
      </w:r>
      <w:r w:rsidRPr="00FA4F32">
        <w:t>в июне 2018 года ее круг ведения не был принят</w:t>
      </w:r>
      <w:r>
        <w:t xml:space="preserve">, поскольку </w:t>
      </w:r>
      <w:r w:rsidRPr="00FA4F32">
        <w:t xml:space="preserve">WP.29 </w:t>
      </w:r>
      <w:r>
        <w:t>учредил</w:t>
      </w:r>
      <w:r w:rsidRPr="00FA4F32">
        <w:t xml:space="preserve"> GRVA на базе GRRF</w:t>
      </w:r>
      <w:r>
        <w:t>, включив</w:t>
      </w:r>
      <w:r w:rsidRPr="00FA4F32">
        <w:t xml:space="preserve"> в направления ее </w:t>
      </w:r>
      <w:r>
        <w:t>деятельности аспекты, связанные с</w:t>
      </w:r>
      <w:r w:rsidRPr="00FA4F32">
        <w:t xml:space="preserve"> АвтоТС. </w:t>
      </w:r>
    </w:p>
    <w:p w:rsidR="00E30A8B" w:rsidRPr="00FA4F32" w:rsidRDefault="00E30A8B" w:rsidP="00E30A8B">
      <w:pPr>
        <w:pStyle w:val="SingleTxtG"/>
      </w:pPr>
      <w:r w:rsidRPr="00FA4F32">
        <w:t>18.</w:t>
      </w:r>
      <w:r w:rsidRPr="00FA4F32">
        <w:tab/>
        <w:t xml:space="preserve">Часть работы </w:t>
      </w:r>
      <w:r>
        <w:t>прежней</w:t>
      </w:r>
      <w:r w:rsidRPr="00FA4F32">
        <w:t xml:space="preserve"> НРГ по ИТС/АВ была передана </w:t>
      </w:r>
      <w:r>
        <w:t>ново</w:t>
      </w:r>
      <w:r w:rsidRPr="00FA4F32">
        <w:t xml:space="preserve">созданной GRVA. На своей 128-й сессии (12 ноября 2018 года) Административный комитет по координации работы (AC.2) WP.29 рекомендовал </w:t>
      </w:r>
      <w:r w:rsidR="00C70C57">
        <w:t>продолжить деятельность прежних </w:t>
      </w:r>
      <w:r w:rsidRPr="00FA4F32">
        <w:t xml:space="preserve">НРГ, </w:t>
      </w:r>
      <w:r>
        <w:t>задача по осуществлению которой</w:t>
      </w:r>
      <w:r w:rsidRPr="00FA4F32">
        <w:t xml:space="preserve"> не был</w:t>
      </w:r>
      <w:r>
        <w:t xml:space="preserve">а возложена на </w:t>
      </w:r>
      <w:r w:rsidRPr="00FA4F32">
        <w:t xml:space="preserve">GRVA, в частности </w:t>
      </w:r>
      <w:r>
        <w:t>с целью формирования коллективной</w:t>
      </w:r>
      <w:r w:rsidRPr="00FA4F32">
        <w:t xml:space="preserve"> платформы </w:t>
      </w:r>
      <w:r>
        <w:t xml:space="preserve">для </w:t>
      </w:r>
      <w:r w:rsidRPr="00FA4F32">
        <w:t xml:space="preserve">обмена информацией и </w:t>
      </w:r>
      <w:r>
        <w:t xml:space="preserve">осуществления </w:t>
      </w:r>
      <w:r w:rsidRPr="00FA4F32">
        <w:t xml:space="preserve">сотрудничества в области интеллектуальных транспортных систем с </w:t>
      </w:r>
      <w:r>
        <w:t xml:space="preserve">такими </w:t>
      </w:r>
      <w:r w:rsidRPr="00FA4F32">
        <w:t>другими международными организациями, как МСЭ, Международная автодорожная федерация (МАФ) и соответствующие заинтересованные стороны, занимающиеся вопросами ИТС.</w:t>
      </w:r>
    </w:p>
    <w:p w:rsidR="00E30A8B" w:rsidRPr="00FA4F32" w:rsidRDefault="00E30A8B" w:rsidP="00E30A8B">
      <w:pPr>
        <w:spacing w:after="120"/>
        <w:ind w:left="1134" w:right="1134"/>
        <w:jc w:val="both"/>
      </w:pPr>
      <w:r>
        <w:rPr>
          <w:i/>
          <w:iCs/>
        </w:rPr>
        <w:t xml:space="preserve">Затронутые направления действий </w:t>
      </w:r>
      <w:r w:rsidRPr="00FA4F32">
        <w:rPr>
          <w:i/>
          <w:iCs/>
        </w:rPr>
        <w:t>«дорожной карты»</w:t>
      </w:r>
      <w:r w:rsidRPr="00FA4F32">
        <w:t xml:space="preserve"> (области первостепенного </w:t>
      </w:r>
      <w:r>
        <w:t xml:space="preserve">внимания выделены </w:t>
      </w:r>
      <w:r w:rsidRPr="00FA4F32">
        <w:rPr>
          <w:b/>
          <w:bCs/>
        </w:rPr>
        <w:t>жирным шрифтом</w:t>
      </w:r>
      <w:r w:rsidRPr="00FA4F32">
        <w:t xml:space="preserve">): </w:t>
      </w:r>
      <w:r w:rsidRPr="00FA4F32">
        <w:rPr>
          <w:b/>
          <w:bCs/>
          <w:i/>
          <w:iCs/>
        </w:rPr>
        <w:t>1</w:t>
      </w:r>
      <w:r w:rsidRPr="00F24F3E">
        <w:rPr>
          <w:bCs/>
          <w:i/>
          <w:iCs/>
        </w:rPr>
        <w:t>,</w:t>
      </w:r>
      <w:r w:rsidRPr="00FA4F32">
        <w:rPr>
          <w:b/>
          <w:bCs/>
          <w:i/>
          <w:iCs/>
        </w:rPr>
        <w:t xml:space="preserve"> 2</w:t>
      </w:r>
      <w:r w:rsidRPr="00F24F3E">
        <w:rPr>
          <w:bCs/>
          <w:i/>
          <w:iCs/>
        </w:rPr>
        <w:t>,</w:t>
      </w:r>
      <w:r w:rsidRPr="00FA4F32">
        <w:rPr>
          <w:b/>
          <w:bCs/>
          <w:i/>
          <w:iCs/>
        </w:rPr>
        <w:t xml:space="preserve"> 3</w:t>
      </w:r>
      <w:r w:rsidRPr="00F24F3E">
        <w:rPr>
          <w:bCs/>
          <w:i/>
          <w:iCs/>
        </w:rPr>
        <w:t>,</w:t>
      </w:r>
      <w:r w:rsidRPr="00FA4F32">
        <w:rPr>
          <w:i/>
          <w:iCs/>
        </w:rPr>
        <w:t xml:space="preserve"> 4, </w:t>
      </w:r>
      <w:r w:rsidRPr="00FA4F32">
        <w:rPr>
          <w:b/>
          <w:bCs/>
          <w:i/>
          <w:iCs/>
        </w:rPr>
        <w:t>5</w:t>
      </w:r>
      <w:r w:rsidRPr="00FA4F32">
        <w:rPr>
          <w:i/>
          <w:iCs/>
        </w:rPr>
        <w:t xml:space="preserve">, 7, </w:t>
      </w:r>
      <w:r w:rsidRPr="00FA4F32">
        <w:rPr>
          <w:b/>
          <w:bCs/>
          <w:i/>
          <w:iCs/>
        </w:rPr>
        <w:t>8</w:t>
      </w:r>
      <w:r w:rsidRPr="00FA4F32">
        <w:rPr>
          <w:i/>
          <w:iCs/>
        </w:rPr>
        <w:t>, 9, 10, 11, 16, 17 и 19.</w:t>
      </w:r>
    </w:p>
    <w:p w:rsidR="00E30A8B" w:rsidRPr="00FA4F32" w:rsidRDefault="00E30A8B" w:rsidP="00E30A8B">
      <w:pPr>
        <w:pStyle w:val="H23G"/>
      </w:pPr>
      <w:r>
        <w:tab/>
      </w:r>
      <w:r w:rsidRPr="00FA4F32">
        <w:t>6.</w:t>
      </w:r>
      <w:r>
        <w:t xml:space="preserve"> </w:t>
      </w:r>
      <w:r w:rsidRPr="00FA4F32">
        <w:tab/>
      </w:r>
      <w:r w:rsidRPr="00FA4F32">
        <w:rPr>
          <w:bCs/>
        </w:rPr>
        <w:t>Рабочая группа по интермодальным перевозкам и логистике</w:t>
      </w:r>
    </w:p>
    <w:p w:rsidR="00E30A8B" w:rsidRPr="00FA4F32" w:rsidRDefault="00E30A8B" w:rsidP="00E30A8B">
      <w:pPr>
        <w:tabs>
          <w:tab w:val="left" w:pos="567"/>
        </w:tabs>
        <w:spacing w:after="120"/>
        <w:ind w:left="1134" w:right="1134"/>
        <w:jc w:val="both"/>
      </w:pPr>
      <w:r>
        <w:t>1</w:t>
      </w:r>
      <w:r w:rsidRPr="00FA4F32">
        <w:t>9</w:t>
      </w:r>
      <w:r>
        <w:t>.</w:t>
      </w:r>
      <w:r w:rsidRPr="00FA4F32">
        <w:tab/>
        <w:t xml:space="preserve">Рабочая группа по интермодальным перевозкам и логистике (WP.24) регулярно рассматривает </w:t>
      </w:r>
      <w:r>
        <w:t xml:space="preserve">вопрос о </w:t>
      </w:r>
      <w:r w:rsidRPr="00FA4F32">
        <w:t>рол</w:t>
      </w:r>
      <w:r>
        <w:t>и</w:t>
      </w:r>
      <w:r w:rsidRPr="00FA4F32">
        <w:t xml:space="preserve"> ИТС в интермодальных перевозках и логистике, приглашая экспертов для представления проектов, новаторских решений и </w:t>
      </w:r>
      <w:r>
        <w:t xml:space="preserve">информации о </w:t>
      </w:r>
      <w:r w:rsidRPr="00FA4F32">
        <w:t>передовой практик</w:t>
      </w:r>
      <w:r>
        <w:t>е</w:t>
      </w:r>
      <w:r w:rsidRPr="00FA4F32">
        <w:t xml:space="preserve"> </w:t>
      </w:r>
      <w:r>
        <w:t>либо</w:t>
      </w:r>
      <w:r w:rsidRPr="00FA4F32">
        <w:t xml:space="preserve"> обсуждая </w:t>
      </w:r>
      <w:r>
        <w:t>аспекты</w:t>
      </w:r>
      <w:r w:rsidRPr="00FA4F32">
        <w:t xml:space="preserve"> ИТС в </w:t>
      </w:r>
      <w:r>
        <w:t xml:space="preserve">контексте </w:t>
      </w:r>
      <w:r w:rsidRPr="00FA4F32">
        <w:t>логистик</w:t>
      </w:r>
      <w:r>
        <w:t>и</w:t>
      </w:r>
      <w:r w:rsidRPr="00FA4F32">
        <w:t xml:space="preserve">. В </w:t>
      </w:r>
      <w:r>
        <w:t xml:space="preserve">нынешнем </w:t>
      </w:r>
      <w:r w:rsidRPr="00FA4F32">
        <w:t xml:space="preserve">году WP.24 обсудила </w:t>
      </w:r>
      <w:r>
        <w:t>вопрос о роли</w:t>
      </w:r>
      <w:r w:rsidRPr="00FA4F32">
        <w:t xml:space="preserve"> и ответственност</w:t>
      </w:r>
      <w:r>
        <w:t xml:space="preserve">и </w:t>
      </w:r>
      <w:r w:rsidRPr="00FA4F32">
        <w:t>правительств и регулирующих органов в создании необходимых рамочных условий для недискриминационного доступа к информации для всех сторон, задействованных в интермодальных транспортных цепях.</w:t>
      </w:r>
    </w:p>
    <w:p w:rsidR="00E30A8B" w:rsidRPr="00FA4F32" w:rsidRDefault="00E30A8B" w:rsidP="00E30A8B">
      <w:pPr>
        <w:spacing w:after="120"/>
        <w:ind w:left="1134" w:right="1134"/>
        <w:jc w:val="both"/>
        <w:rPr>
          <w:i/>
        </w:rPr>
      </w:pPr>
      <w:r>
        <w:rPr>
          <w:i/>
          <w:iCs/>
        </w:rPr>
        <w:t xml:space="preserve">Затронутые направления действий </w:t>
      </w:r>
      <w:r w:rsidRPr="00FA4F32">
        <w:rPr>
          <w:i/>
          <w:iCs/>
        </w:rPr>
        <w:t>«дорожной карты»</w:t>
      </w:r>
      <w:r w:rsidRPr="00FA4F32">
        <w:t xml:space="preserve"> (области первостепенного </w:t>
      </w:r>
      <w:r>
        <w:t xml:space="preserve">внимания выделены </w:t>
      </w:r>
      <w:r w:rsidRPr="00FA4F32">
        <w:rPr>
          <w:b/>
          <w:bCs/>
        </w:rPr>
        <w:t>жирным шрифтом</w:t>
      </w:r>
      <w:r w:rsidRPr="00FA4F32">
        <w:t xml:space="preserve">): </w:t>
      </w:r>
      <w:r w:rsidRPr="00FA4F32">
        <w:rPr>
          <w:i/>
          <w:iCs/>
        </w:rPr>
        <w:t>1, 2, 3, 4, 5, 6,</w:t>
      </w:r>
      <w:r w:rsidRPr="00FA4F32">
        <w:rPr>
          <w:b/>
          <w:bCs/>
          <w:i/>
          <w:iCs/>
        </w:rPr>
        <w:t xml:space="preserve"> 13</w:t>
      </w:r>
      <w:r w:rsidRPr="00F24F3E">
        <w:rPr>
          <w:bCs/>
          <w:i/>
          <w:iCs/>
        </w:rPr>
        <w:t>,</w:t>
      </w:r>
      <w:r w:rsidRPr="00FA4F32">
        <w:rPr>
          <w:b/>
          <w:bCs/>
          <w:i/>
          <w:iCs/>
        </w:rPr>
        <w:t xml:space="preserve"> 15</w:t>
      </w:r>
      <w:r w:rsidRPr="00FA4F32">
        <w:rPr>
          <w:i/>
          <w:iCs/>
        </w:rPr>
        <w:t>, 16, 17, 18 и 19.</w:t>
      </w:r>
    </w:p>
    <w:p w:rsidR="00E30A8B" w:rsidRPr="00FA4F32" w:rsidRDefault="00E30A8B" w:rsidP="00E30A8B">
      <w:pPr>
        <w:spacing w:after="120"/>
        <w:ind w:right="1134" w:firstLine="567"/>
        <w:jc w:val="both"/>
        <w:rPr>
          <w:b/>
          <w:bCs/>
          <w:iCs/>
        </w:rPr>
      </w:pPr>
      <w:r w:rsidRPr="009919CE">
        <w:rPr>
          <w:b/>
          <w:bCs/>
        </w:rPr>
        <w:t>7.</w:t>
      </w:r>
      <w:r w:rsidRPr="00FA4F32">
        <w:tab/>
      </w:r>
      <w:r w:rsidRPr="00FA4F32">
        <w:rPr>
          <w:b/>
          <w:bCs/>
        </w:rPr>
        <w:t>Рабочая группа по автомобильному транспорту</w:t>
      </w:r>
    </w:p>
    <w:p w:rsidR="00E30A8B" w:rsidRPr="00FA4F32" w:rsidRDefault="00E30A8B" w:rsidP="00E30A8B">
      <w:pPr>
        <w:tabs>
          <w:tab w:val="left" w:pos="567"/>
        </w:tabs>
        <w:spacing w:after="120"/>
        <w:ind w:left="1134" w:right="1134"/>
        <w:jc w:val="both"/>
      </w:pPr>
      <w:r w:rsidRPr="00FA4F32">
        <w:t>20.</w:t>
      </w:r>
      <w:r w:rsidRPr="00FA4F32">
        <w:tab/>
      </w:r>
      <w:r>
        <w:t>Согласно</w:t>
      </w:r>
      <w:r w:rsidRPr="00FA4F32">
        <w:t xml:space="preserve"> сложившейся традиции SC.1 занимал</w:t>
      </w:r>
      <w:r>
        <w:t>а</w:t>
      </w:r>
      <w:r w:rsidRPr="00FA4F32">
        <w:t xml:space="preserve">сь разработкой и упрощением правил международных автомобильных перевозок пассажиров и грузов, содействуя </w:t>
      </w:r>
      <w:r>
        <w:t>разработке</w:t>
      </w:r>
      <w:r w:rsidRPr="00FA4F32">
        <w:t xml:space="preserve"> простых унифицированных транспортных норм и требований. </w:t>
      </w:r>
      <w:r>
        <w:t>Вместе с тем</w:t>
      </w:r>
      <w:r w:rsidRPr="00FA4F32">
        <w:t xml:space="preserve"> вопросу </w:t>
      </w:r>
      <w:r>
        <w:t xml:space="preserve">о </w:t>
      </w:r>
      <w:r w:rsidRPr="00FA4F32">
        <w:t>согласовани</w:t>
      </w:r>
      <w:r>
        <w:t>и</w:t>
      </w:r>
      <w:r w:rsidRPr="00FA4F32">
        <w:t xml:space="preserve"> норм в </w:t>
      </w:r>
      <w:r>
        <w:t>контексте</w:t>
      </w:r>
      <w:r w:rsidRPr="00FA4F32">
        <w:t xml:space="preserve"> интеллектуальной инфраструктуры не уделялось достаточного внимания до апреля 2018 года, когда SC.1 провела </w:t>
      </w:r>
      <w:r w:rsidRPr="00FA4F32">
        <w:lastRenderedPageBreak/>
        <w:t xml:space="preserve">специальный семинар, посвященный практике, тенденциям и перспективам в области интеллектуальной дорожной инфраструктуры. В частности, </w:t>
      </w:r>
      <w:r>
        <w:t xml:space="preserve">речь идет </w:t>
      </w:r>
      <w:r w:rsidRPr="00FA4F32">
        <w:t>о проекте</w:t>
      </w:r>
      <w:r>
        <w:t>, озаглавленном</w:t>
      </w:r>
      <w:r w:rsidRPr="00FA4F32">
        <w:t xml:space="preserve"> </w:t>
      </w:r>
      <w:r>
        <w:t>«</w:t>
      </w:r>
      <w:r w:rsidRPr="00FA4F32">
        <w:t>Управление дорожным движением как услуга</w:t>
      </w:r>
      <w:r>
        <w:t>»</w:t>
      </w:r>
      <w:r w:rsidRPr="00FA4F32">
        <w:t xml:space="preserve"> (город Гент, Бельгия), о прогнозировании сценариев в автотранспортной отрасли</w:t>
      </w:r>
      <w:r>
        <w:t xml:space="preserve"> (банк «</w:t>
      </w:r>
      <w:r w:rsidRPr="00FA4F32">
        <w:t>Юлиус Бер</w:t>
      </w:r>
      <w:r>
        <w:t>»</w:t>
      </w:r>
      <w:r w:rsidRPr="00FA4F32">
        <w:t xml:space="preserve">), о виртуальном центре управления дорожным движением и </w:t>
      </w:r>
      <w:r>
        <w:t>о н</w:t>
      </w:r>
      <w:r w:rsidRPr="00FA4F32">
        <w:t>ациональной информационной системе для пользователей Эгейской авто</w:t>
      </w:r>
      <w:r>
        <w:t>магистрали</w:t>
      </w:r>
      <w:r w:rsidRPr="00FA4F32">
        <w:t xml:space="preserve"> в Греции (Греческая ассоциация платных автодорог «Хелластрон»), </w:t>
      </w:r>
      <w:r>
        <w:t>об инициативе МАФ «"У</w:t>
      </w:r>
      <w:r w:rsidRPr="00FA4F32">
        <w:t>мные" города</w:t>
      </w:r>
      <w:r>
        <w:t>»</w:t>
      </w:r>
      <w:r w:rsidRPr="00FA4F32">
        <w:t xml:space="preserve"> и о частно-государственных партнерствах и проектах в области интеллектуальной инфраструктуры в Нидерландах.</w:t>
      </w:r>
    </w:p>
    <w:p w:rsidR="00E30A8B" w:rsidRPr="00FA4F32" w:rsidRDefault="00E30A8B" w:rsidP="00E30A8B">
      <w:pPr>
        <w:tabs>
          <w:tab w:val="left" w:pos="567"/>
        </w:tabs>
        <w:spacing w:after="120"/>
        <w:ind w:left="1134" w:right="1134"/>
        <w:jc w:val="both"/>
      </w:pPr>
      <w:r>
        <w:rPr>
          <w:i/>
          <w:iCs/>
        </w:rPr>
        <w:t xml:space="preserve">Затронутые направления действий </w:t>
      </w:r>
      <w:r w:rsidRPr="00FA4F32">
        <w:rPr>
          <w:i/>
          <w:iCs/>
        </w:rPr>
        <w:t>«дорожной карты»</w:t>
      </w:r>
      <w:r w:rsidRPr="00FA4F32">
        <w:t xml:space="preserve"> (области первостепенного </w:t>
      </w:r>
      <w:r>
        <w:t xml:space="preserve">внимания выделены </w:t>
      </w:r>
      <w:r w:rsidRPr="00FA4F32">
        <w:rPr>
          <w:b/>
          <w:bCs/>
        </w:rPr>
        <w:t>жирным шрифтом</w:t>
      </w:r>
      <w:r w:rsidRPr="00FA4F32">
        <w:t xml:space="preserve">): </w:t>
      </w:r>
      <w:r w:rsidRPr="00FA4F32">
        <w:rPr>
          <w:i/>
          <w:iCs/>
        </w:rPr>
        <w:t xml:space="preserve">1, 2, 3, 4, 6, </w:t>
      </w:r>
      <w:r w:rsidRPr="00E16832">
        <w:rPr>
          <w:b/>
          <w:bCs/>
          <w:i/>
          <w:iCs/>
        </w:rPr>
        <w:t>7</w:t>
      </w:r>
      <w:r w:rsidRPr="00FA4F32">
        <w:rPr>
          <w:i/>
          <w:iCs/>
        </w:rPr>
        <w:t>, 8, 9, 10 и 19.</w:t>
      </w:r>
    </w:p>
    <w:p w:rsidR="00E30A8B" w:rsidRPr="00FA4F32" w:rsidRDefault="00E30A8B" w:rsidP="00E30A8B">
      <w:pPr>
        <w:pStyle w:val="HChG"/>
      </w:pPr>
      <w:r>
        <w:tab/>
      </w:r>
      <w:r w:rsidRPr="00FA4F32">
        <w:t>III.</w:t>
      </w:r>
      <w:r w:rsidRPr="00FA4F32">
        <w:tab/>
      </w:r>
      <w:r w:rsidRPr="00FA4F32">
        <w:rPr>
          <w:bCs/>
        </w:rPr>
        <w:t>Участие в мероприятиях</w:t>
      </w:r>
      <w:r>
        <w:rPr>
          <w:bCs/>
        </w:rPr>
        <w:t xml:space="preserve"> </w:t>
      </w:r>
      <w:r w:rsidRPr="00FA4F32">
        <w:rPr>
          <w:bCs/>
        </w:rPr>
        <w:t>2018 год</w:t>
      </w:r>
      <w:r>
        <w:rPr>
          <w:bCs/>
        </w:rPr>
        <w:t>а</w:t>
      </w:r>
      <w:r w:rsidRPr="00FA4F32">
        <w:rPr>
          <w:bCs/>
        </w:rPr>
        <w:t xml:space="preserve">, </w:t>
      </w:r>
      <w:r>
        <w:rPr>
          <w:bCs/>
        </w:rPr>
        <w:t xml:space="preserve">которые не были </w:t>
      </w:r>
      <w:r w:rsidRPr="00FA4F32">
        <w:rPr>
          <w:bCs/>
        </w:rPr>
        <w:t>организован</w:t>
      </w:r>
      <w:r>
        <w:rPr>
          <w:bCs/>
        </w:rPr>
        <w:t>ы ЕЭК</w:t>
      </w:r>
    </w:p>
    <w:p w:rsidR="00E30A8B" w:rsidRPr="00FA4F32" w:rsidRDefault="00E30A8B" w:rsidP="00E30A8B">
      <w:pPr>
        <w:pStyle w:val="SingleTxtG"/>
      </w:pPr>
      <w:r w:rsidRPr="00FA4F32">
        <w:t>21.</w:t>
      </w:r>
      <w:r w:rsidRPr="00FA4F32">
        <w:tab/>
        <w:t>С целью повышения информированности о деятельности ЕЭК и достигнутом прогрессе сотрудники секретариата приняли участ</w:t>
      </w:r>
      <w:r w:rsidR="00C70C57">
        <w:t>ие в нескольких конференциях по </w:t>
      </w:r>
      <w:r w:rsidRPr="00FA4F32">
        <w:t xml:space="preserve">ИТС, кибербезопасности и автоматизации транспортных средств. Секретариат </w:t>
      </w:r>
      <w:r>
        <w:t xml:space="preserve">входит в состав внешней </w:t>
      </w:r>
      <w:r w:rsidRPr="00FA4F32">
        <w:t>консультативной группы по интеллектуальным и подключенным транспортным средствам Китая. В этом качестве сотрудники секретариата приняли участие в конференциях и совещаниях по ИТС в Китае. Кроме того, секретариат в качестве специального консультанта принял участие в конференциях и совещаниях по вопросам ИТС, о</w:t>
      </w:r>
      <w:r w:rsidR="00C70C57">
        <w:t>рганизованных в 2018 году в Абу</w:t>
      </w:r>
      <w:r w:rsidR="00C70C57">
        <w:noBreakHyphen/>
      </w:r>
      <w:r w:rsidRPr="00FA4F32">
        <w:t>Даби Аген</w:t>
      </w:r>
      <w:r w:rsidR="00F24F3E">
        <w:t>т</w:t>
      </w:r>
      <w:r w:rsidRPr="00FA4F32">
        <w:t>ством ОАЭ по стандартизации и метрологии.</w:t>
      </w:r>
    </w:p>
    <w:p w:rsidR="00E30A8B" w:rsidRDefault="00E30A8B" w:rsidP="00E30A8B">
      <w:pPr>
        <w:spacing w:after="120"/>
        <w:ind w:left="1134" w:right="1134"/>
        <w:jc w:val="both"/>
      </w:pPr>
      <w:r>
        <w:rPr>
          <w:i/>
          <w:iCs/>
        </w:rPr>
        <w:t xml:space="preserve">Затронутые направления действий </w:t>
      </w:r>
      <w:r w:rsidRPr="00FA4F32">
        <w:rPr>
          <w:i/>
          <w:iCs/>
        </w:rPr>
        <w:t>«дорожной карты»</w:t>
      </w:r>
      <w:r w:rsidRPr="00FA4F32">
        <w:t xml:space="preserve"> (области первостепенного </w:t>
      </w:r>
      <w:r>
        <w:t xml:space="preserve">внимания выделены </w:t>
      </w:r>
      <w:r w:rsidRPr="00E17E4B">
        <w:rPr>
          <w:b/>
          <w:bCs/>
        </w:rPr>
        <w:t>ж</w:t>
      </w:r>
      <w:r w:rsidRPr="00FA4F32">
        <w:rPr>
          <w:b/>
          <w:bCs/>
        </w:rPr>
        <w:t>ирным шрифтом</w:t>
      </w:r>
      <w:r w:rsidRPr="00FA4F32">
        <w:t>):</w:t>
      </w:r>
      <w:r w:rsidRPr="00FA4F32">
        <w:rPr>
          <w:i/>
          <w:iCs/>
        </w:rPr>
        <w:t xml:space="preserve"> 1, </w:t>
      </w:r>
      <w:r w:rsidRPr="00FA4F32">
        <w:rPr>
          <w:b/>
          <w:bCs/>
          <w:i/>
          <w:iCs/>
        </w:rPr>
        <w:t>2</w:t>
      </w:r>
      <w:r w:rsidRPr="00F24F3E">
        <w:rPr>
          <w:bCs/>
          <w:i/>
          <w:iCs/>
        </w:rPr>
        <w:t>,</w:t>
      </w:r>
      <w:r w:rsidRPr="00FA4F32">
        <w:rPr>
          <w:b/>
          <w:bCs/>
          <w:i/>
          <w:iCs/>
        </w:rPr>
        <w:t xml:space="preserve"> 3</w:t>
      </w:r>
      <w:r w:rsidRPr="00FA4F32">
        <w:rPr>
          <w:i/>
          <w:iCs/>
        </w:rPr>
        <w:t xml:space="preserve">, 4, </w:t>
      </w:r>
      <w:r w:rsidRPr="00FA4F32">
        <w:rPr>
          <w:b/>
          <w:bCs/>
          <w:i/>
          <w:iCs/>
        </w:rPr>
        <w:t>5</w:t>
      </w:r>
      <w:r w:rsidRPr="00FA4F32">
        <w:rPr>
          <w:i/>
          <w:iCs/>
        </w:rPr>
        <w:t xml:space="preserve">, 6, 7, 8, </w:t>
      </w:r>
      <w:r w:rsidRPr="00FA4F32">
        <w:rPr>
          <w:b/>
          <w:bCs/>
          <w:i/>
          <w:iCs/>
        </w:rPr>
        <w:t>9</w:t>
      </w:r>
      <w:r w:rsidRPr="00FA4F32">
        <w:rPr>
          <w:i/>
          <w:iCs/>
        </w:rPr>
        <w:t>, 10 и 19.</w:t>
      </w:r>
      <w:r w:rsidRPr="00FA4F32">
        <w:t xml:space="preserve"> </w:t>
      </w:r>
    </w:p>
    <w:p w:rsidR="00E30A8B" w:rsidRDefault="00E30A8B">
      <w:pPr>
        <w:suppressAutoHyphens w:val="0"/>
        <w:spacing w:line="240" w:lineRule="auto"/>
        <w:rPr>
          <w:rFonts w:eastAsia="Times New Roman" w:cs="Times New Roman"/>
          <w:b/>
          <w:spacing w:val="4"/>
          <w:w w:val="103"/>
          <w:kern w:val="14"/>
          <w:sz w:val="28"/>
          <w:szCs w:val="20"/>
          <w:lang w:eastAsia="ru-RU"/>
        </w:rPr>
      </w:pPr>
      <w:r>
        <w:br w:type="page"/>
      </w:r>
    </w:p>
    <w:p w:rsidR="00E30A8B" w:rsidRPr="00951C6B" w:rsidRDefault="00E30A8B" w:rsidP="00E30A8B">
      <w:pPr>
        <w:pStyle w:val="HChGR"/>
      </w:pPr>
      <w:r w:rsidRPr="00951C6B">
        <w:lastRenderedPageBreak/>
        <w:t>Приложение</w:t>
      </w:r>
    </w:p>
    <w:p w:rsidR="00E30A8B" w:rsidRPr="00951C6B" w:rsidRDefault="00E30A8B" w:rsidP="00E30A8B">
      <w:pPr>
        <w:pStyle w:val="HChGR"/>
      </w:pPr>
      <w:r w:rsidRPr="00951C6B">
        <w:tab/>
      </w:r>
      <w:r w:rsidRPr="00951C6B">
        <w:tab/>
      </w:r>
      <w:r>
        <w:t>«</w:t>
      </w:r>
      <w:r w:rsidRPr="00951C6B">
        <w:t>Дорожная карта</w:t>
      </w:r>
      <w:r>
        <w:t>»</w:t>
      </w:r>
      <w:r w:rsidRPr="00951C6B">
        <w:t xml:space="preserve"> ЕЭК ООН по интеллектуальным транспортным системам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3685"/>
      </w:tblGrid>
      <w:tr w:rsidR="00E30A8B" w:rsidRPr="005A2C8F" w:rsidTr="009348B1"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</w:tcPr>
          <w:p w:rsidR="00E30A8B" w:rsidRPr="00E60855" w:rsidRDefault="00E30A8B" w:rsidP="009348B1">
            <w:pPr>
              <w:spacing w:before="40" w:after="120"/>
              <w:rPr>
                <w:b/>
                <w:bCs/>
                <w:sz w:val="18"/>
              </w:rPr>
            </w:pPr>
            <w:r w:rsidRPr="00E60855">
              <w:rPr>
                <w:b/>
                <w:bCs/>
              </w:rPr>
              <w:t>Направление действий 1</w:t>
            </w:r>
          </w:p>
          <w:p w:rsidR="00E30A8B" w:rsidRPr="00E60855" w:rsidRDefault="00E30A8B" w:rsidP="009348B1">
            <w:pPr>
              <w:spacing w:before="40" w:after="120"/>
              <w:rPr>
                <w:sz w:val="18"/>
              </w:rPr>
            </w:pPr>
            <w:r w:rsidRPr="00E60855">
              <w:t>Принятие общего определения для ИТС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</w:tcPr>
          <w:p w:rsidR="00E30A8B" w:rsidRPr="00E60855" w:rsidRDefault="00E30A8B" w:rsidP="009348B1">
            <w:pPr>
              <w:spacing w:before="40" w:after="120"/>
              <w:rPr>
                <w:b/>
                <w:bCs/>
                <w:sz w:val="18"/>
              </w:rPr>
            </w:pPr>
            <w:r w:rsidRPr="00E60855">
              <w:rPr>
                <w:b/>
                <w:bCs/>
              </w:rPr>
              <w:t>Направление действий 11</w:t>
            </w:r>
          </w:p>
          <w:p w:rsidR="00E30A8B" w:rsidRPr="00E60855" w:rsidRDefault="00E30A8B" w:rsidP="009348B1">
            <w:pPr>
              <w:spacing w:before="40" w:after="120"/>
              <w:rPr>
                <w:sz w:val="18"/>
              </w:rPr>
            </w:pPr>
            <w:r w:rsidRPr="00E60855">
              <w:t>Согласование знаков с изменяющимся сообщением</w:t>
            </w:r>
          </w:p>
        </w:tc>
      </w:tr>
      <w:tr w:rsidR="00E30A8B" w:rsidRPr="005A2C8F" w:rsidTr="009348B1">
        <w:tc>
          <w:tcPr>
            <w:tcW w:w="3685" w:type="dxa"/>
            <w:shd w:val="clear" w:color="auto" w:fill="auto"/>
            <w:tcMar>
              <w:right w:w="57" w:type="dxa"/>
            </w:tcMar>
          </w:tcPr>
          <w:p w:rsidR="00E30A8B" w:rsidRPr="00983F4D" w:rsidRDefault="00E30A8B" w:rsidP="009348B1">
            <w:pPr>
              <w:spacing w:before="40" w:after="120"/>
              <w:rPr>
                <w:b/>
                <w:bCs/>
                <w:sz w:val="18"/>
              </w:rPr>
            </w:pPr>
            <w:r w:rsidRPr="00983F4D">
              <w:rPr>
                <w:b/>
                <w:bCs/>
              </w:rPr>
              <w:t>Направление действий 2</w:t>
            </w:r>
          </w:p>
          <w:p w:rsidR="00E30A8B" w:rsidRPr="008A0609" w:rsidRDefault="00E30A8B" w:rsidP="009348B1">
            <w:pPr>
              <w:spacing w:before="40" w:after="120"/>
              <w:rPr>
                <w:sz w:val="18"/>
              </w:rPr>
            </w:pPr>
            <w:r w:rsidRPr="008A0609">
              <w:t>Согласование политики</w:t>
            </w:r>
          </w:p>
        </w:tc>
        <w:tc>
          <w:tcPr>
            <w:tcW w:w="3685" w:type="dxa"/>
            <w:shd w:val="clear" w:color="auto" w:fill="auto"/>
            <w:tcMar>
              <w:right w:w="57" w:type="dxa"/>
            </w:tcMar>
          </w:tcPr>
          <w:p w:rsidR="00E30A8B" w:rsidRPr="00E60855" w:rsidRDefault="00E30A8B" w:rsidP="009348B1">
            <w:pPr>
              <w:spacing w:before="40" w:after="120"/>
              <w:rPr>
                <w:b/>
                <w:bCs/>
                <w:sz w:val="18"/>
              </w:rPr>
            </w:pPr>
            <w:r w:rsidRPr="00E60855">
              <w:rPr>
                <w:b/>
                <w:bCs/>
              </w:rPr>
              <w:t>Направление действий 12</w:t>
            </w:r>
          </w:p>
          <w:p w:rsidR="00E30A8B" w:rsidRPr="00E60855" w:rsidRDefault="00E30A8B" w:rsidP="009348B1">
            <w:pPr>
              <w:spacing w:before="40" w:after="120"/>
              <w:rPr>
                <w:sz w:val="18"/>
              </w:rPr>
            </w:pPr>
            <w:r w:rsidRPr="00E60855">
              <w:t>Сокращение рисков, связанных с перевозками опасных грузов</w:t>
            </w:r>
          </w:p>
        </w:tc>
      </w:tr>
      <w:tr w:rsidR="00E30A8B" w:rsidRPr="005A2C8F" w:rsidTr="009348B1">
        <w:tc>
          <w:tcPr>
            <w:tcW w:w="3685" w:type="dxa"/>
            <w:shd w:val="clear" w:color="auto" w:fill="auto"/>
            <w:tcMar>
              <w:right w:w="57" w:type="dxa"/>
            </w:tcMar>
          </w:tcPr>
          <w:p w:rsidR="00E30A8B" w:rsidRPr="00E60855" w:rsidRDefault="00E30A8B" w:rsidP="009348B1">
            <w:pPr>
              <w:spacing w:before="40" w:after="120"/>
              <w:rPr>
                <w:b/>
                <w:bCs/>
                <w:sz w:val="18"/>
              </w:rPr>
            </w:pPr>
            <w:r w:rsidRPr="00E60855">
              <w:rPr>
                <w:b/>
                <w:bCs/>
              </w:rPr>
              <w:t>Направление действий 3</w:t>
            </w:r>
          </w:p>
          <w:p w:rsidR="00E30A8B" w:rsidRPr="00E60855" w:rsidRDefault="00E30A8B" w:rsidP="009348B1">
            <w:pPr>
              <w:spacing w:before="40" w:after="120"/>
              <w:rPr>
                <w:sz w:val="18"/>
              </w:rPr>
            </w:pPr>
            <w:r w:rsidRPr="00E60855">
              <w:t>Налаживание международного сотрудничества</w:t>
            </w:r>
          </w:p>
        </w:tc>
        <w:tc>
          <w:tcPr>
            <w:tcW w:w="3685" w:type="dxa"/>
            <w:shd w:val="clear" w:color="auto" w:fill="auto"/>
            <w:tcMar>
              <w:right w:w="57" w:type="dxa"/>
            </w:tcMar>
          </w:tcPr>
          <w:p w:rsidR="00E30A8B" w:rsidRPr="00E60855" w:rsidRDefault="00E30A8B" w:rsidP="009348B1">
            <w:pPr>
              <w:spacing w:before="40" w:after="120"/>
              <w:rPr>
                <w:b/>
                <w:bCs/>
                <w:sz w:val="18"/>
              </w:rPr>
            </w:pPr>
            <w:r w:rsidRPr="00E60855">
              <w:rPr>
                <w:b/>
                <w:bCs/>
              </w:rPr>
              <w:t>Направление действий 13</w:t>
            </w:r>
          </w:p>
          <w:p w:rsidR="00E30A8B" w:rsidRPr="00E60855" w:rsidRDefault="00E30A8B" w:rsidP="009348B1">
            <w:pPr>
              <w:spacing w:before="40" w:after="120"/>
              <w:rPr>
                <w:sz w:val="18"/>
              </w:rPr>
            </w:pPr>
            <w:r w:rsidRPr="00E60855">
              <w:t>Интеграция с железнодорожным транспортом</w:t>
            </w:r>
          </w:p>
        </w:tc>
      </w:tr>
      <w:tr w:rsidR="00E30A8B" w:rsidRPr="005A2C8F" w:rsidTr="009348B1">
        <w:tc>
          <w:tcPr>
            <w:tcW w:w="3685" w:type="dxa"/>
            <w:shd w:val="clear" w:color="auto" w:fill="auto"/>
            <w:tcMar>
              <w:right w:w="57" w:type="dxa"/>
            </w:tcMar>
          </w:tcPr>
          <w:p w:rsidR="00E30A8B" w:rsidRPr="00E60855" w:rsidRDefault="00E30A8B" w:rsidP="009348B1">
            <w:pPr>
              <w:spacing w:before="40" w:after="120"/>
              <w:rPr>
                <w:b/>
                <w:bCs/>
                <w:sz w:val="18"/>
              </w:rPr>
            </w:pPr>
            <w:r w:rsidRPr="00E60855">
              <w:rPr>
                <w:b/>
                <w:bCs/>
              </w:rPr>
              <w:t>Направление действий 4</w:t>
            </w:r>
          </w:p>
          <w:p w:rsidR="00E30A8B" w:rsidRPr="00E60855" w:rsidRDefault="00E30A8B" w:rsidP="009348B1">
            <w:pPr>
              <w:spacing w:before="40" w:after="120"/>
              <w:rPr>
                <w:sz w:val="18"/>
              </w:rPr>
            </w:pPr>
            <w:r w:rsidRPr="00E60855">
              <w:t>Облегчение эксплуатационной совместимости и архитектура ИТС</w:t>
            </w:r>
          </w:p>
        </w:tc>
        <w:tc>
          <w:tcPr>
            <w:tcW w:w="3685" w:type="dxa"/>
            <w:shd w:val="clear" w:color="auto" w:fill="auto"/>
            <w:tcMar>
              <w:right w:w="57" w:type="dxa"/>
            </w:tcMar>
          </w:tcPr>
          <w:p w:rsidR="00E30A8B" w:rsidRPr="00E60855" w:rsidRDefault="00E30A8B" w:rsidP="009348B1">
            <w:pPr>
              <w:spacing w:before="40" w:after="120"/>
              <w:rPr>
                <w:b/>
                <w:bCs/>
                <w:sz w:val="18"/>
              </w:rPr>
            </w:pPr>
            <w:r w:rsidRPr="00E60855">
              <w:rPr>
                <w:b/>
                <w:bCs/>
              </w:rPr>
              <w:t>Направление действий 14</w:t>
            </w:r>
          </w:p>
          <w:p w:rsidR="00E30A8B" w:rsidRPr="00E60855" w:rsidRDefault="00E30A8B" w:rsidP="009348B1">
            <w:pPr>
              <w:spacing w:before="40" w:after="120"/>
              <w:rPr>
                <w:sz w:val="18"/>
              </w:rPr>
            </w:pPr>
            <w:r w:rsidRPr="00E60855">
              <w:t>Интеграция с внутренним водным транспортом</w:t>
            </w:r>
          </w:p>
        </w:tc>
      </w:tr>
      <w:tr w:rsidR="00E30A8B" w:rsidRPr="005A2C8F" w:rsidTr="009348B1">
        <w:tc>
          <w:tcPr>
            <w:tcW w:w="3685" w:type="dxa"/>
            <w:shd w:val="clear" w:color="auto" w:fill="auto"/>
            <w:tcMar>
              <w:right w:w="57" w:type="dxa"/>
            </w:tcMar>
          </w:tcPr>
          <w:p w:rsidR="00E30A8B" w:rsidRPr="00E60855" w:rsidRDefault="00E30A8B" w:rsidP="009348B1">
            <w:pPr>
              <w:spacing w:before="40" w:after="120"/>
              <w:rPr>
                <w:b/>
                <w:bCs/>
                <w:sz w:val="18"/>
              </w:rPr>
            </w:pPr>
            <w:r w:rsidRPr="00E60855">
              <w:rPr>
                <w:b/>
                <w:bCs/>
              </w:rPr>
              <w:t>Направление действий 5</w:t>
            </w:r>
          </w:p>
          <w:p w:rsidR="00E30A8B" w:rsidRPr="00E60855" w:rsidRDefault="00E30A8B" w:rsidP="009348B1">
            <w:pPr>
              <w:spacing w:before="40" w:after="120"/>
              <w:rPr>
                <w:sz w:val="18"/>
              </w:rPr>
            </w:pPr>
            <w:r w:rsidRPr="00E60855">
              <w:t>Обеспечение защиты данных</w:t>
            </w:r>
          </w:p>
        </w:tc>
        <w:tc>
          <w:tcPr>
            <w:tcW w:w="3685" w:type="dxa"/>
            <w:shd w:val="clear" w:color="auto" w:fill="auto"/>
            <w:tcMar>
              <w:right w:w="57" w:type="dxa"/>
            </w:tcMar>
          </w:tcPr>
          <w:p w:rsidR="00E30A8B" w:rsidRPr="00E60855" w:rsidRDefault="00E30A8B" w:rsidP="009348B1">
            <w:pPr>
              <w:spacing w:before="40" w:after="120"/>
              <w:rPr>
                <w:b/>
                <w:bCs/>
                <w:sz w:val="18"/>
              </w:rPr>
            </w:pPr>
            <w:r w:rsidRPr="00E60855">
              <w:rPr>
                <w:b/>
                <w:bCs/>
              </w:rPr>
              <w:t>Направление действий 15</w:t>
            </w:r>
          </w:p>
          <w:p w:rsidR="00E30A8B" w:rsidRPr="00E60855" w:rsidRDefault="00E30A8B" w:rsidP="009348B1">
            <w:pPr>
              <w:spacing w:before="40" w:after="120"/>
              <w:rPr>
                <w:sz w:val="18"/>
              </w:rPr>
            </w:pPr>
            <w:r w:rsidRPr="00E60855">
              <w:t>Усиление интегрирующей роли ИТС в развитии различных видов транспорта</w:t>
            </w:r>
          </w:p>
        </w:tc>
      </w:tr>
      <w:tr w:rsidR="00E30A8B" w:rsidRPr="005A2C8F" w:rsidTr="009348B1">
        <w:tc>
          <w:tcPr>
            <w:tcW w:w="3685" w:type="dxa"/>
            <w:shd w:val="clear" w:color="auto" w:fill="auto"/>
            <w:tcMar>
              <w:right w:w="57" w:type="dxa"/>
            </w:tcMar>
          </w:tcPr>
          <w:p w:rsidR="00E30A8B" w:rsidRPr="00E60855" w:rsidRDefault="00E30A8B" w:rsidP="009348B1">
            <w:pPr>
              <w:spacing w:before="40" w:after="120"/>
              <w:rPr>
                <w:b/>
                <w:bCs/>
                <w:sz w:val="18"/>
              </w:rPr>
            </w:pPr>
            <w:r w:rsidRPr="00E60855">
              <w:rPr>
                <w:b/>
                <w:bCs/>
              </w:rPr>
              <w:t>Направление действий 6</w:t>
            </w:r>
          </w:p>
          <w:p w:rsidR="00E30A8B" w:rsidRPr="00E60855" w:rsidRDefault="00E30A8B" w:rsidP="009348B1">
            <w:pPr>
              <w:spacing w:before="40" w:after="120"/>
              <w:rPr>
                <w:sz w:val="18"/>
              </w:rPr>
            </w:pPr>
            <w:r w:rsidRPr="00E60855">
              <w:t xml:space="preserve">Расширение масштабов </w:t>
            </w:r>
            <w:r>
              <w:t xml:space="preserve">деятельности </w:t>
            </w:r>
            <w:r w:rsidRPr="00E60855">
              <w:t>в</w:t>
            </w:r>
            <w:r>
              <w:t> </w:t>
            </w:r>
            <w:r w:rsidRPr="00E60855">
              <w:t>обла</w:t>
            </w:r>
            <w:r w:rsidR="00C70C57">
              <w:t>сти ИТС во всех рабочих группах </w:t>
            </w:r>
            <w:r w:rsidRPr="00E60855">
              <w:t>КВТ</w:t>
            </w:r>
          </w:p>
        </w:tc>
        <w:tc>
          <w:tcPr>
            <w:tcW w:w="3685" w:type="dxa"/>
            <w:shd w:val="clear" w:color="auto" w:fill="auto"/>
            <w:tcMar>
              <w:right w:w="57" w:type="dxa"/>
            </w:tcMar>
          </w:tcPr>
          <w:p w:rsidR="00E30A8B" w:rsidRPr="00E60855" w:rsidRDefault="00E30A8B" w:rsidP="009348B1">
            <w:pPr>
              <w:spacing w:before="40" w:after="120"/>
              <w:rPr>
                <w:b/>
                <w:bCs/>
                <w:sz w:val="18"/>
              </w:rPr>
            </w:pPr>
            <w:r w:rsidRPr="00E60855">
              <w:rPr>
                <w:b/>
                <w:bCs/>
              </w:rPr>
              <w:t>Направление действий 16</w:t>
            </w:r>
          </w:p>
          <w:p w:rsidR="00E30A8B" w:rsidRPr="00E60855" w:rsidRDefault="00E30A8B" w:rsidP="009348B1">
            <w:pPr>
              <w:spacing w:before="40" w:after="120"/>
              <w:rPr>
                <w:sz w:val="18"/>
              </w:rPr>
            </w:pPr>
            <w:r w:rsidRPr="00E60855">
              <w:t>Разработка методологий оценки экономической эффективности</w:t>
            </w:r>
          </w:p>
        </w:tc>
      </w:tr>
      <w:tr w:rsidR="00E30A8B" w:rsidRPr="005A2C8F" w:rsidTr="009348B1">
        <w:tc>
          <w:tcPr>
            <w:tcW w:w="3685" w:type="dxa"/>
            <w:shd w:val="clear" w:color="auto" w:fill="auto"/>
            <w:tcMar>
              <w:right w:w="57" w:type="dxa"/>
            </w:tcMar>
          </w:tcPr>
          <w:p w:rsidR="00E30A8B" w:rsidRPr="00E60855" w:rsidRDefault="00E30A8B" w:rsidP="009348B1">
            <w:pPr>
              <w:spacing w:before="40" w:after="120"/>
              <w:rPr>
                <w:b/>
                <w:bCs/>
                <w:sz w:val="18"/>
              </w:rPr>
            </w:pPr>
            <w:r w:rsidRPr="00E60855">
              <w:rPr>
                <w:b/>
                <w:bCs/>
              </w:rPr>
              <w:t>Направление действий 7</w:t>
            </w:r>
          </w:p>
          <w:p w:rsidR="00E30A8B" w:rsidRPr="00E60855" w:rsidRDefault="00E30A8B" w:rsidP="00C70C57">
            <w:pPr>
              <w:spacing w:before="40" w:after="120"/>
              <w:rPr>
                <w:sz w:val="18"/>
              </w:rPr>
            </w:pPr>
            <w:r w:rsidRPr="00E60855">
              <w:t>Содействие развитию систем связи между</w:t>
            </w:r>
            <w:r w:rsidR="00C70C57">
              <w:t> транспортными средствами и </w:t>
            </w:r>
            <w:r w:rsidRPr="00E60855">
              <w:t>инфраструктурой</w:t>
            </w:r>
          </w:p>
        </w:tc>
        <w:tc>
          <w:tcPr>
            <w:tcW w:w="3685" w:type="dxa"/>
            <w:shd w:val="clear" w:color="auto" w:fill="auto"/>
            <w:tcMar>
              <w:right w:w="57" w:type="dxa"/>
            </w:tcMar>
          </w:tcPr>
          <w:p w:rsidR="00E30A8B" w:rsidRPr="00E60855" w:rsidRDefault="00E30A8B" w:rsidP="009348B1">
            <w:pPr>
              <w:spacing w:before="40" w:after="120"/>
              <w:rPr>
                <w:b/>
                <w:bCs/>
                <w:sz w:val="18"/>
              </w:rPr>
            </w:pPr>
            <w:r w:rsidRPr="00E60855">
              <w:rPr>
                <w:b/>
                <w:bCs/>
              </w:rPr>
              <w:t>Направление действий 17</w:t>
            </w:r>
          </w:p>
          <w:p w:rsidR="00E30A8B" w:rsidRPr="00E60855" w:rsidRDefault="00E30A8B" w:rsidP="009348B1">
            <w:pPr>
              <w:spacing w:before="40" w:after="120"/>
              <w:rPr>
                <w:sz w:val="18"/>
              </w:rPr>
            </w:pPr>
            <w:r w:rsidRPr="00E60855">
              <w:t>Содействие смягчению последствий изменения климата и адаптации к нему</w:t>
            </w:r>
          </w:p>
        </w:tc>
      </w:tr>
      <w:tr w:rsidR="00E30A8B" w:rsidRPr="005A2C8F" w:rsidTr="009348B1">
        <w:tc>
          <w:tcPr>
            <w:tcW w:w="3685" w:type="dxa"/>
            <w:shd w:val="clear" w:color="auto" w:fill="auto"/>
            <w:tcMar>
              <w:right w:w="57" w:type="dxa"/>
            </w:tcMar>
          </w:tcPr>
          <w:p w:rsidR="00E30A8B" w:rsidRPr="00E60855" w:rsidRDefault="00E30A8B" w:rsidP="009348B1">
            <w:pPr>
              <w:spacing w:before="40" w:after="120"/>
              <w:rPr>
                <w:b/>
                <w:bCs/>
                <w:sz w:val="18"/>
              </w:rPr>
            </w:pPr>
            <w:r w:rsidRPr="00E60855">
              <w:rPr>
                <w:b/>
                <w:bCs/>
              </w:rPr>
              <w:t>Направление действий 8</w:t>
            </w:r>
          </w:p>
          <w:p w:rsidR="00E30A8B" w:rsidRPr="00E60855" w:rsidRDefault="00E30A8B" w:rsidP="009348B1">
            <w:pPr>
              <w:spacing w:before="40" w:after="120"/>
              <w:rPr>
                <w:sz w:val="18"/>
              </w:rPr>
            </w:pPr>
            <w:r w:rsidRPr="00E60855">
              <w:t>Содействие развитию технологий связи между транспортными средствами</w:t>
            </w:r>
          </w:p>
        </w:tc>
        <w:tc>
          <w:tcPr>
            <w:tcW w:w="3685" w:type="dxa"/>
            <w:shd w:val="clear" w:color="auto" w:fill="auto"/>
            <w:tcMar>
              <w:right w:w="57" w:type="dxa"/>
            </w:tcMar>
          </w:tcPr>
          <w:p w:rsidR="00E30A8B" w:rsidRPr="00E60855" w:rsidRDefault="00E30A8B" w:rsidP="009348B1">
            <w:pPr>
              <w:spacing w:before="40" w:after="120"/>
              <w:rPr>
                <w:b/>
                <w:bCs/>
                <w:sz w:val="18"/>
              </w:rPr>
            </w:pPr>
            <w:r w:rsidRPr="00E60855">
              <w:rPr>
                <w:b/>
                <w:bCs/>
              </w:rPr>
              <w:t>Направление действий 18</w:t>
            </w:r>
          </w:p>
          <w:p w:rsidR="00E30A8B" w:rsidRPr="00E60855" w:rsidRDefault="00E30A8B" w:rsidP="009348B1">
            <w:pPr>
              <w:spacing w:before="40" w:after="120"/>
              <w:rPr>
                <w:sz w:val="18"/>
              </w:rPr>
            </w:pPr>
            <w:r w:rsidRPr="00E60855">
              <w:t>Проведение аналитической работы</w:t>
            </w:r>
          </w:p>
        </w:tc>
      </w:tr>
      <w:tr w:rsidR="00E30A8B" w:rsidRPr="005A2C8F" w:rsidTr="009348B1">
        <w:tc>
          <w:tcPr>
            <w:tcW w:w="3685" w:type="dxa"/>
            <w:shd w:val="clear" w:color="auto" w:fill="auto"/>
            <w:tcMar>
              <w:right w:w="57" w:type="dxa"/>
            </w:tcMar>
          </w:tcPr>
          <w:p w:rsidR="00E30A8B" w:rsidRPr="00E60855" w:rsidRDefault="00E30A8B" w:rsidP="009348B1">
            <w:pPr>
              <w:spacing w:before="40" w:after="120"/>
              <w:rPr>
                <w:b/>
                <w:bCs/>
                <w:sz w:val="18"/>
              </w:rPr>
            </w:pPr>
            <w:r w:rsidRPr="00E60855">
              <w:rPr>
                <w:b/>
                <w:bCs/>
              </w:rPr>
              <w:t>Направление действий 9</w:t>
            </w:r>
          </w:p>
          <w:p w:rsidR="00E30A8B" w:rsidRPr="00E60855" w:rsidRDefault="00E30A8B" w:rsidP="009348B1">
            <w:pPr>
              <w:spacing w:before="40" w:after="120"/>
              <w:rPr>
                <w:sz w:val="18"/>
              </w:rPr>
            </w:pPr>
            <w:r w:rsidRPr="00E60855">
              <w:t>Борьба с кризисом в области безопасности дорожного движения</w:t>
            </w:r>
          </w:p>
        </w:tc>
        <w:tc>
          <w:tcPr>
            <w:tcW w:w="3685" w:type="dxa"/>
            <w:shd w:val="clear" w:color="auto" w:fill="auto"/>
            <w:tcMar>
              <w:right w:w="57" w:type="dxa"/>
            </w:tcMar>
          </w:tcPr>
          <w:p w:rsidR="00E30A8B" w:rsidRPr="00E60855" w:rsidRDefault="00E30A8B" w:rsidP="009348B1">
            <w:pPr>
              <w:spacing w:before="40" w:after="120"/>
              <w:rPr>
                <w:b/>
                <w:bCs/>
                <w:sz w:val="18"/>
              </w:rPr>
            </w:pPr>
            <w:r w:rsidRPr="00E60855">
              <w:rPr>
                <w:b/>
                <w:bCs/>
              </w:rPr>
              <w:t>Направление действий 19</w:t>
            </w:r>
          </w:p>
          <w:p w:rsidR="00E30A8B" w:rsidRPr="00E60855" w:rsidRDefault="00E30A8B" w:rsidP="009348B1">
            <w:pPr>
              <w:spacing w:before="40" w:after="120"/>
            </w:pPr>
            <w:r w:rsidRPr="00E60855">
              <w:t>Содействие наращиванию потенциала, просветительской работе и повышению информированности с</w:t>
            </w:r>
            <w:r>
              <w:t> </w:t>
            </w:r>
            <w:r w:rsidRPr="00E60855">
              <w:t>уделением особого внимания странам с формирующейся экономикой</w:t>
            </w:r>
          </w:p>
        </w:tc>
      </w:tr>
      <w:tr w:rsidR="00E30A8B" w:rsidRPr="005A2C8F" w:rsidTr="009348B1">
        <w:tc>
          <w:tcPr>
            <w:tcW w:w="3685" w:type="dxa"/>
            <w:shd w:val="clear" w:color="auto" w:fill="auto"/>
            <w:tcMar>
              <w:right w:w="57" w:type="dxa"/>
            </w:tcMar>
          </w:tcPr>
          <w:p w:rsidR="00E30A8B" w:rsidRPr="00E60855" w:rsidRDefault="00E30A8B" w:rsidP="009348B1">
            <w:pPr>
              <w:spacing w:before="40" w:after="120"/>
              <w:rPr>
                <w:b/>
                <w:bCs/>
                <w:sz w:val="18"/>
              </w:rPr>
            </w:pPr>
            <w:r w:rsidRPr="00E60855">
              <w:rPr>
                <w:b/>
                <w:bCs/>
              </w:rPr>
              <w:t>Направление действий 10</w:t>
            </w:r>
          </w:p>
          <w:p w:rsidR="00E30A8B" w:rsidRPr="00E60855" w:rsidRDefault="00E30A8B" w:rsidP="009348B1">
            <w:pPr>
              <w:spacing w:before="40" w:after="120"/>
              <w:rPr>
                <w:sz w:val="18"/>
              </w:rPr>
            </w:pPr>
            <w:r w:rsidRPr="00E60855">
              <w:t>Решение проблем ответственности</w:t>
            </w:r>
          </w:p>
        </w:tc>
        <w:tc>
          <w:tcPr>
            <w:tcW w:w="3685" w:type="dxa"/>
            <w:shd w:val="clear" w:color="auto" w:fill="auto"/>
            <w:tcMar>
              <w:right w:w="57" w:type="dxa"/>
            </w:tcMar>
          </w:tcPr>
          <w:p w:rsidR="00E30A8B" w:rsidRPr="00E60855" w:rsidRDefault="00E30A8B" w:rsidP="009348B1">
            <w:pPr>
              <w:spacing w:before="40" w:after="120"/>
              <w:rPr>
                <w:b/>
                <w:bCs/>
                <w:sz w:val="18"/>
              </w:rPr>
            </w:pPr>
            <w:r w:rsidRPr="00E60855">
              <w:rPr>
                <w:b/>
                <w:bCs/>
              </w:rPr>
              <w:t>Направление действий 20</w:t>
            </w:r>
          </w:p>
          <w:p w:rsidR="00E30A8B" w:rsidRPr="00E60855" w:rsidRDefault="00E30A8B" w:rsidP="009348B1">
            <w:pPr>
              <w:spacing w:before="40" w:after="120"/>
              <w:rPr>
                <w:sz w:val="18"/>
              </w:rPr>
            </w:pPr>
            <w:r w:rsidRPr="00E60855">
              <w:t>Организация ежегодного «круглого стола» Организации Объединенных Наций по ИТС</w:t>
            </w:r>
          </w:p>
        </w:tc>
      </w:tr>
    </w:tbl>
    <w:p w:rsidR="00F24F3E" w:rsidRDefault="00E30A8B" w:rsidP="00E30A8B">
      <w:pPr>
        <w:spacing w:before="240"/>
        <w:ind w:left="1134" w:right="1134"/>
        <w:jc w:val="center"/>
        <w:rPr>
          <w:u w:val="single"/>
        </w:rPr>
      </w:pPr>
      <w:r w:rsidRPr="005A2C8F">
        <w:rPr>
          <w:u w:val="single"/>
        </w:rPr>
        <w:tab/>
      </w:r>
      <w:r w:rsidRPr="005A2C8F">
        <w:rPr>
          <w:u w:val="single"/>
        </w:rPr>
        <w:tab/>
      </w:r>
      <w:r w:rsidRPr="005A2C8F">
        <w:rPr>
          <w:u w:val="single"/>
        </w:rPr>
        <w:tab/>
      </w:r>
      <w:r>
        <w:rPr>
          <w:u w:val="single"/>
        </w:rPr>
        <w:tab/>
      </w:r>
    </w:p>
    <w:p w:rsidR="00F24F3E" w:rsidRPr="008D53B6" w:rsidRDefault="00F24F3E"/>
    <w:sectPr w:rsidR="00F24F3E" w:rsidRPr="008D53B6" w:rsidSect="00E30A8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DC" w:rsidRPr="00A312BC" w:rsidRDefault="009E2BDC" w:rsidP="00A312BC"/>
  </w:endnote>
  <w:endnote w:type="continuationSeparator" w:id="0">
    <w:p w:rsidR="009E2BDC" w:rsidRPr="00A312BC" w:rsidRDefault="009E2BD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A8B" w:rsidRPr="00E30A8B" w:rsidRDefault="00E30A8B">
    <w:pPr>
      <w:pStyle w:val="a8"/>
    </w:pPr>
    <w:r w:rsidRPr="00E30A8B">
      <w:rPr>
        <w:b/>
        <w:sz w:val="18"/>
      </w:rPr>
      <w:fldChar w:fldCharType="begin"/>
    </w:r>
    <w:r w:rsidRPr="00E30A8B">
      <w:rPr>
        <w:b/>
        <w:sz w:val="18"/>
      </w:rPr>
      <w:instrText xml:space="preserve"> PAGE  \* MERGEFORMAT </w:instrText>
    </w:r>
    <w:r w:rsidRPr="00E30A8B">
      <w:rPr>
        <w:b/>
        <w:sz w:val="18"/>
      </w:rPr>
      <w:fldChar w:fldCharType="separate"/>
    </w:r>
    <w:r w:rsidR="00045F4F">
      <w:rPr>
        <w:b/>
        <w:noProof/>
        <w:sz w:val="18"/>
      </w:rPr>
      <w:t>8</w:t>
    </w:r>
    <w:r w:rsidRPr="00E30A8B">
      <w:rPr>
        <w:b/>
        <w:sz w:val="18"/>
      </w:rPr>
      <w:fldChar w:fldCharType="end"/>
    </w:r>
    <w:r>
      <w:rPr>
        <w:b/>
        <w:sz w:val="18"/>
      </w:rPr>
      <w:tab/>
    </w:r>
    <w:r>
      <w:t>GE.18-20547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A8B" w:rsidRPr="00E30A8B" w:rsidRDefault="00E30A8B" w:rsidP="00E30A8B">
    <w:pPr>
      <w:pStyle w:val="a8"/>
      <w:tabs>
        <w:tab w:val="clear" w:pos="9639"/>
        <w:tab w:val="right" w:pos="9638"/>
      </w:tabs>
      <w:rPr>
        <w:b/>
        <w:sz w:val="18"/>
      </w:rPr>
    </w:pPr>
    <w:r>
      <w:t>GE.18-20547</w:t>
    </w:r>
    <w:r>
      <w:tab/>
    </w:r>
    <w:r w:rsidRPr="00E30A8B">
      <w:rPr>
        <w:b/>
        <w:sz w:val="18"/>
      </w:rPr>
      <w:fldChar w:fldCharType="begin"/>
    </w:r>
    <w:r w:rsidRPr="00E30A8B">
      <w:rPr>
        <w:b/>
        <w:sz w:val="18"/>
      </w:rPr>
      <w:instrText xml:space="preserve"> PAGE  \* MERGEFORMAT </w:instrText>
    </w:r>
    <w:r w:rsidRPr="00E30A8B">
      <w:rPr>
        <w:b/>
        <w:sz w:val="18"/>
      </w:rPr>
      <w:fldChar w:fldCharType="separate"/>
    </w:r>
    <w:r w:rsidR="00045F4F">
      <w:rPr>
        <w:b/>
        <w:noProof/>
        <w:sz w:val="18"/>
      </w:rPr>
      <w:t>7</w:t>
    </w:r>
    <w:r w:rsidRPr="00E30A8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E30A8B" w:rsidRDefault="00E30A8B" w:rsidP="00E30A8B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18-20547  (R)</w:t>
    </w:r>
    <w:r>
      <w:rPr>
        <w:lang w:val="en-US"/>
      </w:rPr>
      <w:t xml:space="preserve">  271218  281218</w:t>
    </w:r>
    <w:r>
      <w:br/>
    </w:r>
    <w:r w:rsidRPr="00E30A8B">
      <w:rPr>
        <w:rFonts w:ascii="C39T30Lfz" w:hAnsi="C39T30Lfz"/>
        <w:kern w:val="14"/>
        <w:sz w:val="56"/>
      </w:rPr>
      <w:t></w:t>
    </w:r>
    <w:r w:rsidRPr="00E30A8B">
      <w:rPr>
        <w:rFonts w:ascii="C39T30Lfz" w:hAnsi="C39T30Lfz"/>
        <w:kern w:val="14"/>
        <w:sz w:val="56"/>
      </w:rPr>
      <w:t></w:t>
    </w:r>
    <w:r w:rsidRPr="00E30A8B">
      <w:rPr>
        <w:rFonts w:ascii="C39T30Lfz" w:hAnsi="C39T30Lfz"/>
        <w:kern w:val="14"/>
        <w:sz w:val="56"/>
      </w:rPr>
      <w:t></w:t>
    </w:r>
    <w:r w:rsidRPr="00E30A8B">
      <w:rPr>
        <w:rFonts w:ascii="C39T30Lfz" w:hAnsi="C39T30Lfz"/>
        <w:kern w:val="14"/>
        <w:sz w:val="56"/>
      </w:rPr>
      <w:t></w:t>
    </w:r>
    <w:r w:rsidRPr="00E30A8B">
      <w:rPr>
        <w:rFonts w:ascii="C39T30Lfz" w:hAnsi="C39T30Lfz"/>
        <w:kern w:val="14"/>
        <w:sz w:val="56"/>
      </w:rPr>
      <w:t></w:t>
    </w:r>
    <w:r w:rsidRPr="00E30A8B">
      <w:rPr>
        <w:rFonts w:ascii="C39T30Lfz" w:hAnsi="C39T30Lfz"/>
        <w:kern w:val="14"/>
        <w:sz w:val="56"/>
      </w:rPr>
      <w:t></w:t>
    </w:r>
    <w:r w:rsidRPr="00E30A8B">
      <w:rPr>
        <w:rFonts w:ascii="C39T30Lfz" w:hAnsi="C39T30Lfz"/>
        <w:kern w:val="14"/>
        <w:sz w:val="56"/>
      </w:rPr>
      <w:t></w:t>
    </w:r>
    <w:r w:rsidRPr="00E30A8B">
      <w:rPr>
        <w:rFonts w:ascii="C39T30Lfz" w:hAnsi="C39T30Lfz"/>
        <w:kern w:val="14"/>
        <w:sz w:val="56"/>
      </w:rPr>
      <w:t></w:t>
    </w:r>
    <w:r w:rsidRPr="00E30A8B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2019/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19/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DC" w:rsidRPr="001075E9" w:rsidRDefault="009E2BD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E2BDC" w:rsidRDefault="009E2BD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A8B" w:rsidRPr="00E30A8B" w:rsidRDefault="00F17B85">
    <w:pPr>
      <w:pStyle w:val="a5"/>
    </w:pPr>
    <w:fldSimple w:instr=" TITLE  \* MERGEFORMAT ">
      <w:r w:rsidR="00045F4F">
        <w:t>ECE/TRANS/2019/8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A8B" w:rsidRPr="00E30A8B" w:rsidRDefault="00F17B85" w:rsidP="00E30A8B">
    <w:pPr>
      <w:pStyle w:val="a5"/>
      <w:jc w:val="right"/>
    </w:pPr>
    <w:fldSimple w:instr=" TITLE  \* MERGEFORMAT ">
      <w:r w:rsidR="00045F4F">
        <w:t>ECE/TRANS/2019/8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94594"/>
    <w:multiLevelType w:val="multilevel"/>
    <w:tmpl w:val="03B0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8E4E3B"/>
    <w:multiLevelType w:val="multilevel"/>
    <w:tmpl w:val="D094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3"/>
  </w:num>
  <w:num w:numId="23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DC"/>
    <w:rsid w:val="00033EE1"/>
    <w:rsid w:val="00042B72"/>
    <w:rsid w:val="00045F4F"/>
    <w:rsid w:val="000558BD"/>
    <w:rsid w:val="000B57E7"/>
    <w:rsid w:val="000B6373"/>
    <w:rsid w:val="000E4E5B"/>
    <w:rsid w:val="000F09DF"/>
    <w:rsid w:val="000F61B2"/>
    <w:rsid w:val="001075E9"/>
    <w:rsid w:val="0014152F"/>
    <w:rsid w:val="0017038B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367A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301CB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3130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E2BDC"/>
    <w:rsid w:val="00A14DA8"/>
    <w:rsid w:val="00A243FA"/>
    <w:rsid w:val="00A312BC"/>
    <w:rsid w:val="00A84021"/>
    <w:rsid w:val="00A84D35"/>
    <w:rsid w:val="00A917B3"/>
    <w:rsid w:val="00AA5FC1"/>
    <w:rsid w:val="00AB4B51"/>
    <w:rsid w:val="00AF247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2360"/>
    <w:rsid w:val="00C60F0C"/>
    <w:rsid w:val="00C70C57"/>
    <w:rsid w:val="00C71E84"/>
    <w:rsid w:val="00C805C9"/>
    <w:rsid w:val="00C92939"/>
    <w:rsid w:val="00CA1679"/>
    <w:rsid w:val="00CB151C"/>
    <w:rsid w:val="00CE5A1A"/>
    <w:rsid w:val="00CF55F6"/>
    <w:rsid w:val="00D030F3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0A8B"/>
    <w:rsid w:val="00E73F76"/>
    <w:rsid w:val="00EA2C9F"/>
    <w:rsid w:val="00EA420E"/>
    <w:rsid w:val="00ED0BDA"/>
    <w:rsid w:val="00EE142A"/>
    <w:rsid w:val="00EF1360"/>
    <w:rsid w:val="00EF3220"/>
    <w:rsid w:val="00F17B85"/>
    <w:rsid w:val="00F24F3E"/>
    <w:rsid w:val="00F2523A"/>
    <w:rsid w:val="00F426A6"/>
    <w:rsid w:val="00F43903"/>
    <w:rsid w:val="00F94155"/>
    <w:rsid w:val="00F9783F"/>
    <w:rsid w:val="00FA76A9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5601DA3-4172-445D-8D57-E38A2FC7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E30A8B"/>
    <w:rPr>
      <w:lang w:val="ru-RU" w:eastAsia="en-US"/>
    </w:rPr>
  </w:style>
  <w:style w:type="paragraph" w:customStyle="1" w:styleId="HChGR">
    <w:name w:val="_ H _Ch_GR"/>
    <w:basedOn w:val="a"/>
    <w:next w:val="a"/>
    <w:qFormat/>
    <w:rsid w:val="00E30A8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u.int/en/fnc/2018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8</Pages>
  <Words>2840</Words>
  <Characters>19990</Characters>
  <Application>Microsoft Office Word</Application>
  <DocSecurity>0</DocSecurity>
  <Lines>166</Lines>
  <Paragraphs>45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ECE/TRANS/2019/8</vt:lpstr>
      <vt:lpstr>A/</vt:lpstr>
      <vt:lpstr>A/</vt:lpstr>
    </vt:vector>
  </TitlesOfParts>
  <Company>DCM</Company>
  <LinksUpToDate>false</LinksUpToDate>
  <CharactersWithSpaces>22785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ECE/TRANS/2019/8</dc:title>
  <dc:subject/>
  <dc:creator>Elena IZOTOVA</dc:creator>
  <cp:keywords/>
  <cp:lastModifiedBy>Ekaterina Salynskaya</cp:lastModifiedBy>
  <cp:revision>3</cp:revision>
  <cp:lastPrinted>2018-12-28T08:01:00Z</cp:lastPrinted>
  <dcterms:created xsi:type="dcterms:W3CDTF">2018-12-28T08:01:00Z</dcterms:created>
  <dcterms:modified xsi:type="dcterms:W3CDTF">2018-12-28T08:01:00Z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