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7A7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7A7376" w:rsidP="007A7376">
            <w:pPr>
              <w:jc w:val="right"/>
            </w:pPr>
            <w:r w:rsidRPr="007A7376">
              <w:rPr>
                <w:sz w:val="40"/>
              </w:rPr>
              <w:t>ECE</w:t>
            </w:r>
            <w:r>
              <w:t>/TRANS/2019/2</w:t>
            </w:r>
          </w:p>
        </w:tc>
      </w:tr>
      <w:tr w:rsidR="002D5AAC" w:rsidRPr="00E6703D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7A737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7A7376" w:rsidRDefault="007A7376" w:rsidP="007A737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January 2019</w:t>
            </w:r>
          </w:p>
          <w:p w:rsidR="007A7376" w:rsidRDefault="007A7376" w:rsidP="007A737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7A7376" w:rsidRPr="008D53B6" w:rsidRDefault="007A7376" w:rsidP="007A737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  <w:bookmarkStart w:id="0" w:name="_GoBack"/>
        <w:bookmarkEnd w:id="0"/>
      </w:tr>
    </w:tbl>
    <w:p w:rsidR="007A7376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A7376" w:rsidRPr="007A7376" w:rsidRDefault="007A7376" w:rsidP="007A7376">
      <w:pPr>
        <w:spacing w:before="120"/>
        <w:rPr>
          <w:sz w:val="28"/>
          <w:szCs w:val="28"/>
        </w:rPr>
      </w:pPr>
      <w:r w:rsidRPr="007A7376">
        <w:rPr>
          <w:sz w:val="28"/>
          <w:szCs w:val="28"/>
        </w:rPr>
        <w:t>Комитет по внутреннему транспорту</w:t>
      </w:r>
    </w:p>
    <w:p w:rsidR="007A7376" w:rsidRPr="006C03C4" w:rsidRDefault="007A7376" w:rsidP="007A7376">
      <w:pPr>
        <w:spacing w:before="120"/>
        <w:rPr>
          <w:b/>
          <w:bCs/>
        </w:rPr>
      </w:pPr>
      <w:r>
        <w:rPr>
          <w:b/>
          <w:bCs/>
        </w:rPr>
        <w:t>Восемьдесят первая сессия</w:t>
      </w:r>
    </w:p>
    <w:p w:rsidR="007A7376" w:rsidRDefault="007A7376" w:rsidP="007A7376">
      <w:r>
        <w:t xml:space="preserve">Женева, 19–22 февраля 2019 года </w:t>
      </w:r>
    </w:p>
    <w:p w:rsidR="007A7376" w:rsidRDefault="007A7376" w:rsidP="007A7376">
      <w:r>
        <w:t xml:space="preserve">Пункт 2 предварительной повестки дня </w:t>
      </w:r>
    </w:p>
    <w:p w:rsidR="007A7376" w:rsidRPr="006C03C4" w:rsidRDefault="007A7376" w:rsidP="007A7376">
      <w:pPr>
        <w:rPr>
          <w:b/>
          <w:bCs/>
        </w:rPr>
      </w:pPr>
      <w:r>
        <w:rPr>
          <w:b/>
          <w:bCs/>
        </w:rPr>
        <w:t xml:space="preserve">Cегмент по вопросам политики: автоматизация </w:t>
      </w:r>
      <w:r>
        <w:rPr>
          <w:b/>
          <w:bCs/>
        </w:rPr>
        <w:br/>
        <w:t>на транспорте</w:t>
      </w:r>
    </w:p>
    <w:p w:rsidR="007A7376" w:rsidRPr="006C03C4" w:rsidRDefault="007A7376" w:rsidP="007A7376">
      <w:pPr>
        <w:pStyle w:val="HChG"/>
      </w:pPr>
      <w:r>
        <w:tab/>
      </w:r>
      <w:r>
        <w:tab/>
      </w:r>
      <w:r>
        <w:rPr>
          <w:bCs/>
        </w:rPr>
        <w:t>Проект резолюции</w:t>
      </w:r>
      <w:r w:rsidRPr="00A021C6">
        <w:rPr>
          <w:bCs/>
        </w:rPr>
        <w:t xml:space="preserve"> </w:t>
      </w:r>
      <w:r>
        <w:rPr>
          <w:bCs/>
        </w:rPr>
        <w:t>министров «Укрепление сотрудничества, согласования и интеграции в эпоху цифровизации и автоматизации на транспорте»</w:t>
      </w:r>
    </w:p>
    <w:p w:rsidR="007A7376" w:rsidRPr="006C03C4" w:rsidRDefault="007A7376" w:rsidP="007A7376">
      <w:pPr>
        <w:pStyle w:val="H1G"/>
      </w:pPr>
      <w:r>
        <w:tab/>
      </w:r>
      <w:r>
        <w:tab/>
      </w:r>
      <w:r>
        <w:rPr>
          <w:bCs/>
        </w:rPr>
        <w:t>Записка секретариата</w:t>
      </w:r>
    </w:p>
    <w:p w:rsidR="007A7376" w:rsidRPr="006C03C4" w:rsidRDefault="007A7376" w:rsidP="007A7376">
      <w:pPr>
        <w:pStyle w:val="SingleTxtG"/>
      </w:pPr>
      <w:r>
        <w:t>1.</w:t>
      </w:r>
      <w:r>
        <w:tab/>
        <w:t>В 2019 году сегмент Комитета по внутреннему транспорту высокого уровня по вопросам политики будет посвящен теме «</w:t>
      </w:r>
      <w:r>
        <w:rPr>
          <w:i/>
          <w:iCs/>
        </w:rPr>
        <w:t>Автоматизация на транспорте</w:t>
      </w:r>
      <w:r>
        <w:t>», которая является одним из важнейших компонентов его стратегии до 2030 года. Эта тема позволит осмыслить прошлые достижения, нынешние усилия и направление будущей деятельности Комитета, заострить внимание на важности его работы и подчеркнуть его вклад в развитие будущего потенциала.</w:t>
      </w:r>
    </w:p>
    <w:p w:rsidR="007A7376" w:rsidRPr="006C03C4" w:rsidRDefault="007A7376" w:rsidP="007A7376">
      <w:pPr>
        <w:pStyle w:val="SingleTxtG"/>
      </w:pPr>
      <w:r>
        <w:t>2.</w:t>
      </w:r>
      <w:r>
        <w:tab/>
        <w:t>В конце сегмента высокого уровня по вопросам политики министрам и главам делегаций договаривающихся сторон будет предложено принять резолюцию «</w:t>
      </w:r>
      <w:r w:rsidRPr="006F2B7E">
        <w:rPr>
          <w:i/>
          <w:iCs/>
        </w:rPr>
        <w:t>У</w:t>
      </w:r>
      <w:r>
        <w:rPr>
          <w:i/>
          <w:iCs/>
        </w:rPr>
        <w:t>креп</w:t>
      </w:r>
      <w:r w:rsidRPr="006F2B7E">
        <w:rPr>
          <w:i/>
          <w:iCs/>
        </w:rPr>
        <w:t>ление сотрудничества, согласования и интеграции в эпоху цифровизации и автоматизации на транспорте</w:t>
      </w:r>
      <w:r>
        <w:t>».</w:t>
      </w:r>
    </w:p>
    <w:p w:rsidR="007A7376" w:rsidRPr="006C03C4" w:rsidRDefault="007A7376" w:rsidP="007A7376">
      <w:pPr>
        <w:pStyle w:val="SingleTxtG"/>
      </w:pPr>
      <w:r>
        <w:t>3.</w:t>
      </w:r>
      <w:r>
        <w:tab/>
        <w:t>Резолюция, разработанная секретариатом в сотрудничестве с Бюро Комитета по внутреннему транспорту при участии и содействии государств – членов ЕЭК ООН и государств, являющихся договаривающимися сторонами конвенций ООН в области транспорта, относящихся к ведению Комитета, призвана подчеркнуть значимость Комитета в обеспечении того, чтобы ускорение темпов инновационных процессов в области автоматизации и цифровизации на транспорте характеризовалось согласованностью и функциональной совместимостью, а также безопасностью, равной доступностью и интеграцией различных видов транспорта в качестве необходимых предварительных условий для достижения целей устойчивого развития.</w:t>
      </w:r>
    </w:p>
    <w:p w:rsidR="007A7376" w:rsidRPr="006C03C4" w:rsidRDefault="007A7376" w:rsidP="007A7376">
      <w:pPr>
        <w:pStyle w:val="SingleTxtG"/>
      </w:pPr>
      <w:r>
        <w:t>4.</w:t>
      </w:r>
      <w:r>
        <w:tab/>
        <w:t>Текст резолюции содержится в приложении к настоящему документу.</w:t>
      </w:r>
    </w:p>
    <w:p w:rsidR="007A7376" w:rsidRPr="006C03C4" w:rsidRDefault="007A7376" w:rsidP="007A7376">
      <w:pPr>
        <w:suppressAutoHyphens w:val="0"/>
        <w:spacing w:line="240" w:lineRule="auto"/>
      </w:pPr>
      <w:r w:rsidRPr="006C03C4">
        <w:br w:type="page"/>
      </w:r>
    </w:p>
    <w:p w:rsidR="007A7376" w:rsidRPr="006C03C4" w:rsidRDefault="007A7376" w:rsidP="007A7376">
      <w:pPr>
        <w:pStyle w:val="HChG"/>
      </w:pPr>
      <w:r>
        <w:rPr>
          <w:bCs/>
        </w:rPr>
        <w:lastRenderedPageBreak/>
        <w:t>Приложение</w:t>
      </w:r>
    </w:p>
    <w:p w:rsidR="007A7376" w:rsidRPr="006C03C4" w:rsidRDefault="007A7376" w:rsidP="007A7376">
      <w:pPr>
        <w:pStyle w:val="HChG"/>
      </w:pPr>
      <w:r>
        <w:tab/>
      </w:r>
      <w:r>
        <w:tab/>
      </w:r>
      <w:r>
        <w:rPr>
          <w:bCs/>
        </w:rPr>
        <w:t>Проект резолюции министров «Укрепление сотрудничества, согласования и интеграции в эпоху цифровизации и автоматизации на транспорте»</w:t>
      </w:r>
    </w:p>
    <w:p w:rsidR="007A7376" w:rsidRPr="006C03C4" w:rsidRDefault="007A7376" w:rsidP="007A7376">
      <w:pPr>
        <w:pStyle w:val="SingleTxtG"/>
        <w:ind w:firstLine="567"/>
      </w:pPr>
      <w:bookmarkStart w:id="1" w:name="_Hlk531943665"/>
      <w:r>
        <w:rPr>
          <w:i/>
          <w:iCs/>
        </w:rPr>
        <w:t>Мы, министры {НАЗВАНИЯ ГОСУДАРСТВ} и наши представители, участвующие в восемьдесят первой пленарной сессии Комитета по внутреннему транспорту,</w:t>
      </w:r>
    </w:p>
    <w:p w:rsidR="007A7376" w:rsidRPr="006C03C4" w:rsidRDefault="007A7376" w:rsidP="007A7376">
      <w:pPr>
        <w:pStyle w:val="SingleTxtG"/>
        <w:ind w:firstLine="567"/>
      </w:pPr>
      <w:r w:rsidRPr="000C1806">
        <w:rPr>
          <w:i/>
          <w:iCs/>
        </w:rPr>
        <w:t>в полной мере осознавая</w:t>
      </w:r>
      <w:r>
        <w:t xml:space="preserve"> наступление новой эры международного сотрудничества, ознаменованной принятием Повестки дня в области устойчивого развития на период до 2030 года и целей устойчивого развития, </w:t>
      </w:r>
    </w:p>
    <w:p w:rsidR="007A7376" w:rsidRPr="006C03C4" w:rsidRDefault="007A7376" w:rsidP="007A7376">
      <w:pPr>
        <w:pStyle w:val="SingleTxtG"/>
        <w:ind w:firstLine="567"/>
        <w:rPr>
          <w:rFonts w:cs="Calibri"/>
        </w:rPr>
      </w:pPr>
      <w:r>
        <w:rPr>
          <w:i/>
          <w:iCs/>
        </w:rPr>
        <w:t>ссылаясь</w:t>
      </w:r>
      <w:r>
        <w:t xml:space="preserve"> на резолюции Генеральной Ассамблеи 72/271 о безопасности дорожного движения, 72/212 об интермодальности и 70/197 о транспортной взаимосвязанности и коридорах,</w:t>
      </w:r>
    </w:p>
    <w:p w:rsidR="007A7376" w:rsidRPr="006C03C4" w:rsidRDefault="007A7376" w:rsidP="007A7376">
      <w:pPr>
        <w:pStyle w:val="SingleTxtG"/>
        <w:ind w:firstLine="567"/>
        <w:rPr>
          <w:iCs/>
        </w:rPr>
      </w:pPr>
      <w:r>
        <w:rPr>
          <w:i/>
          <w:iCs/>
        </w:rPr>
        <w:t>подтверждая</w:t>
      </w:r>
      <w:r>
        <w:t xml:space="preserve"> нашу приверженность осуществлению принятой в 2017 году резолюции министров «Вступление в новую эру устойчивого внутреннего транспорта и мобильности», и в частности решения 7, одобренного по случаю семидесятой годовщины Комитета по внутреннему транспорту,</w:t>
      </w:r>
    </w:p>
    <w:p w:rsidR="007A7376" w:rsidRPr="006C03C4" w:rsidRDefault="007A7376" w:rsidP="007A7376">
      <w:pPr>
        <w:pStyle w:val="SingleTxtG"/>
        <w:ind w:firstLine="567"/>
        <w:rPr>
          <w:iCs/>
        </w:rPr>
      </w:pPr>
      <w:r>
        <w:rPr>
          <w:i/>
          <w:iCs/>
        </w:rPr>
        <w:t>принимая во внимание</w:t>
      </w:r>
      <w:r>
        <w:t xml:space="preserve"> декларацию министров «Судоходство по внутренним водным путям во всемирном контексте», принятую на Международной министерской конференции по внутреннему водному транспорту (18 и 19 апреля 2018 года, Вроцлав, Польша), в частности стратегическое решение 22,</w:t>
      </w:r>
    </w:p>
    <w:p w:rsidR="007A7376" w:rsidRPr="006C03C4" w:rsidRDefault="007A7376" w:rsidP="007A7376">
      <w:pPr>
        <w:pStyle w:val="SingleTxtG"/>
        <w:ind w:firstLine="567"/>
      </w:pPr>
      <w:r>
        <w:rPr>
          <w:i/>
          <w:iCs/>
        </w:rPr>
        <w:t>подтверждая</w:t>
      </w:r>
      <w:r>
        <w:t xml:space="preserve"> уникальную роль Комитета по внутреннему транспорту как специализированного межправительственного органа по внутреннему транспорту, а также центра для конвенций Организации Объединенных Наций, которые обеспечивают платформу, формирующую международную нормативно-правовую базу для внутреннего транспорта, и соответственно как ключевого участника процесса выработки совместимых на глобальном уровне решений для будущего транспорта,</w:t>
      </w:r>
    </w:p>
    <w:p w:rsidR="007A7376" w:rsidRPr="006C03C4" w:rsidRDefault="007A7376" w:rsidP="007A7376">
      <w:pPr>
        <w:pStyle w:val="SingleTxtG"/>
        <w:ind w:firstLine="567"/>
      </w:pPr>
      <w:r>
        <w:rPr>
          <w:i/>
          <w:iCs/>
        </w:rPr>
        <w:t>признавая</w:t>
      </w:r>
      <w:r>
        <w:t xml:space="preserve">, что цифровизация, в том числе транспортных документов, наличие и обмен основными данными без ущерба для коммерческой тайны и внедрение новых технологий, таких как интеллектуальные транспортные системы, автоматизированное вождение, электронная навигация и умное судоходство, с учетом стратегии электронной навигации и деятельности Международной морской организации (ИМО в поддержку автоматизации морских перевозок повышают эффективность транспорта </w:t>
      </w:r>
      <w:r w:rsidRPr="009C08B2">
        <w:t>и поэтому нуждаются в ускорении</w:t>
      </w:r>
      <w:r>
        <w:t xml:space="preserve">, </w:t>
      </w:r>
    </w:p>
    <w:p w:rsidR="007A7376" w:rsidRPr="006C03C4" w:rsidRDefault="007A7376" w:rsidP="007A7376">
      <w:pPr>
        <w:pStyle w:val="SingleTxtG"/>
        <w:ind w:firstLine="567"/>
        <w:rPr>
          <w:iCs/>
        </w:rPr>
      </w:pPr>
      <w:r>
        <w:rPr>
          <w:i/>
          <w:iCs/>
        </w:rPr>
        <w:t>признавая</w:t>
      </w:r>
      <w:r>
        <w:t xml:space="preserve"> </w:t>
      </w:r>
      <w:r w:rsidRPr="00E6703D">
        <w:rPr>
          <w:i/>
        </w:rPr>
        <w:t>также</w:t>
      </w:r>
      <w:r>
        <w:t>, что ускоренное, эффективное и безопасное развитие и применение передовых технологий лежат в основе стратегического переосмысления работы Комитета,</w:t>
      </w:r>
    </w:p>
    <w:p w:rsidR="007A7376" w:rsidRPr="006C03C4" w:rsidRDefault="007A7376" w:rsidP="007A7376">
      <w:pPr>
        <w:pStyle w:val="SingleTxtG"/>
        <w:ind w:firstLine="567"/>
      </w:pPr>
      <w:r>
        <w:rPr>
          <w:i/>
          <w:iCs/>
        </w:rPr>
        <w:t>сознавая</w:t>
      </w:r>
      <w:r>
        <w:t xml:space="preserve">, что для использования всех преимуществ технологических инноваций и изменений при </w:t>
      </w:r>
      <w:r w:rsidRPr="009C08B2">
        <w:t>сохранени</w:t>
      </w:r>
      <w:r>
        <w:t>и</w:t>
      </w:r>
      <w:r w:rsidRPr="009C08B2">
        <w:t xml:space="preserve"> готовности</w:t>
      </w:r>
      <w:r>
        <w:t xml:space="preserve"> к обновлению необходимо добиться глобальной функциональной совместимости и технологической нейтральности на основе соответствующих согласованных национальных и международных нормативных рамок и общих спецификаций, а также содействия обмену децентрализованными транспортными данными,</w:t>
      </w:r>
    </w:p>
    <w:p w:rsidR="007A7376" w:rsidRPr="006C03C4" w:rsidRDefault="007A7376" w:rsidP="007A7376">
      <w:pPr>
        <w:pStyle w:val="SingleTxtG"/>
        <w:ind w:firstLine="567"/>
      </w:pPr>
      <w:r>
        <w:rPr>
          <w:i/>
          <w:iCs/>
        </w:rPr>
        <w:t>признавая</w:t>
      </w:r>
      <w:r>
        <w:t>, что техническая гармонизация, общие эксплуатационные требования и наличие основных данных являются ключевыми факторами, которые способствуют функциональной совместимости интеллектуальных транспортных систем, создают условия для беспрепятственной мобильности людей и товаров между странами, уменьшают административные барьеры и содействуют мультимодальности,</w:t>
      </w:r>
      <w:bookmarkStart w:id="2" w:name="_Hlk526932398"/>
      <w:bookmarkEnd w:id="2"/>
    </w:p>
    <w:p w:rsidR="007A7376" w:rsidRPr="006C03C4" w:rsidRDefault="007A7376" w:rsidP="00693F95">
      <w:pPr>
        <w:pStyle w:val="SingleTxtG"/>
        <w:ind w:firstLine="567"/>
      </w:pPr>
      <w:r>
        <w:rPr>
          <w:i/>
          <w:iCs/>
        </w:rPr>
        <w:t>учитывая</w:t>
      </w:r>
      <w:r>
        <w:t xml:space="preserve">, что эффективная разработка и успешное внедрение цифровых решений для транспорта требуют межсекторального, интермодального и </w:t>
      </w:r>
      <w:r>
        <w:lastRenderedPageBreak/>
        <w:t>многостороннего сотрудничества, а также соответствующих межправительственных платформ, облегчающих такое сотрудничество,</w:t>
      </w:r>
    </w:p>
    <w:p w:rsidR="007A7376" w:rsidRPr="006C03C4" w:rsidRDefault="007A7376" w:rsidP="007A7376">
      <w:pPr>
        <w:pStyle w:val="SingleTxtG"/>
        <w:ind w:firstLine="567"/>
      </w:pPr>
      <w:r>
        <w:rPr>
          <w:i/>
          <w:iCs/>
        </w:rPr>
        <w:t>признавая</w:t>
      </w:r>
      <w:r>
        <w:t xml:space="preserve"> глобальное значение работы Комитета и его вспомогательных органов,</w:t>
      </w:r>
    </w:p>
    <w:p w:rsidR="007A7376" w:rsidRPr="006C03C4" w:rsidRDefault="007A7376" w:rsidP="007A7376">
      <w:pPr>
        <w:pStyle w:val="SingleTxtG"/>
        <w:ind w:firstLine="567"/>
      </w:pPr>
      <w:r>
        <w:rPr>
          <w:i/>
          <w:iCs/>
        </w:rPr>
        <w:t>подтверждая</w:t>
      </w:r>
      <w:r>
        <w:t>, что Комитет является уникальным центром Организации Объединенных Наций, обеспечивающим всеобъемлющие региональные и глобальные платформы для рассмотрения всех аспектов развития внутреннего транспорта и сотрудничества, включая цифровизацию транспортных документов и данных и автоматизацию,</w:t>
      </w:r>
    </w:p>
    <w:p w:rsidR="007A7376" w:rsidRPr="006C03C4" w:rsidRDefault="007A7376" w:rsidP="00693F95">
      <w:pPr>
        <w:pStyle w:val="SingleTxtG"/>
        <w:ind w:left="1140" w:right="1140" w:firstLine="561"/>
        <w:rPr>
          <w:i/>
        </w:rPr>
      </w:pPr>
      <w:r>
        <w:rPr>
          <w:i/>
          <w:iCs/>
        </w:rPr>
        <w:t>постановляем</w:t>
      </w:r>
      <w:r>
        <w:t xml:space="preserve">: </w:t>
      </w:r>
    </w:p>
    <w:p w:rsidR="007A7376" w:rsidRPr="006C03C4" w:rsidRDefault="007A7376" w:rsidP="007A7376">
      <w:pPr>
        <w:pStyle w:val="SingleTxtG"/>
        <w:ind w:firstLine="567"/>
      </w:pPr>
      <w:r>
        <w:t>1.</w:t>
      </w:r>
      <w:r>
        <w:tab/>
      </w:r>
      <w:r>
        <w:rPr>
          <w:i/>
          <w:iCs/>
        </w:rPr>
        <w:t>подтвердить</w:t>
      </w:r>
      <w:r>
        <w:t xml:space="preserve"> нашу приверженность укреплению роли Комитета по внутреннему транспорту в качестве платформы Организации Объединенных Наций для внутреннего транспорта и в этой связи поддержать развитие, использование и безопасную интеграцию в транспортных системах цифровых и других соответствующих технологий и инноваций на всех видах транспорта, и в частности в области МДП, КДПГ и ЕСТР, а также в целом транспортных данных и документов, автоматизированных/автономных и подключенных транспортных средств, электронной навигации, речных информационных услуг и интеллектуальных транспортных систем, включая умную инфраструктуру и умную мобильность, как основного компонента стратегии Комитета до 2030 года</w:t>
      </w:r>
      <w:r>
        <w:rPr>
          <w:rStyle w:val="aa"/>
        </w:rPr>
        <w:footnoteReference w:id="1"/>
      </w:r>
      <w:r>
        <w:t>, что таким образом позволит улучшить безопасность дорожного движения, экологические показатели и эффективность услуг в сфере транспорта и мобильности;</w:t>
      </w:r>
      <w:bookmarkStart w:id="3" w:name="_Hlk527732994"/>
      <w:bookmarkEnd w:id="3"/>
    </w:p>
    <w:p w:rsidR="007A7376" w:rsidRPr="006C03C4" w:rsidRDefault="007A7376" w:rsidP="007A7376">
      <w:pPr>
        <w:pStyle w:val="SingleTxtG"/>
        <w:ind w:firstLine="567"/>
      </w:pPr>
      <w:r>
        <w:t>2.</w:t>
      </w:r>
      <w:r>
        <w:tab/>
      </w:r>
      <w:r>
        <w:rPr>
          <w:i/>
          <w:iCs/>
        </w:rPr>
        <w:t>выразить</w:t>
      </w:r>
      <w:r>
        <w:t xml:space="preserve"> нашу решимость в целях обеспечения того, чтобы соответствующие </w:t>
      </w:r>
      <w:r w:rsidRPr="00C61FAA">
        <w:t>регулирующие функции Комитета, являющиеся его главным преимуществом и наивысши</w:t>
      </w:r>
      <w:r>
        <w:t>м</w:t>
      </w:r>
      <w:r w:rsidRPr="00C61FAA">
        <w:t xml:space="preserve"> приоритетом, </w:t>
      </w:r>
      <w:r>
        <w:t>отвечали самым современным</w:t>
      </w:r>
      <w:r w:rsidRPr="00C61FAA">
        <w:t xml:space="preserve"> технологи</w:t>
      </w:r>
      <w:r>
        <w:t>ческим требованиям</w:t>
      </w:r>
      <w:r w:rsidRPr="00C61FAA">
        <w:t>, поддерживали транспортные инновации и оставались открытыми, инклюзивными и доступными</w:t>
      </w:r>
      <w:r>
        <w:t xml:space="preserve"> для всех государств – членов Организации Объединенных Наций;</w:t>
      </w:r>
    </w:p>
    <w:p w:rsidR="007A7376" w:rsidRPr="006C03C4" w:rsidRDefault="007A7376" w:rsidP="007A7376">
      <w:pPr>
        <w:pStyle w:val="SingleTxtG"/>
        <w:ind w:firstLine="567"/>
      </w:pPr>
      <w:r>
        <w:t>3.</w:t>
      </w:r>
      <w:r>
        <w:tab/>
      </w:r>
      <w:r>
        <w:rPr>
          <w:i/>
          <w:iCs/>
        </w:rPr>
        <w:t>настоятельно призвать</w:t>
      </w:r>
      <w:r>
        <w:t xml:space="preserve"> государства-члены содействовать всестороннему использованию информационно-коммуникационных технологий во внутреннем транспорте с уделением особого внимания компьютеризации процедур, установленных в соответствии с конвенциями ООН по транспорту, относящимися к ведению Комитета и его вспомогательных органов, и укреплять сотрудничество с международными финансовыми учреждениями для привлечения средств на финансирование инновационных проектов;</w:t>
      </w:r>
    </w:p>
    <w:p w:rsidR="007A7376" w:rsidRPr="006C03C4" w:rsidRDefault="007A7376" w:rsidP="007A7376">
      <w:pPr>
        <w:pStyle w:val="SingleTxtG"/>
        <w:ind w:firstLine="567"/>
        <w:rPr>
          <w:iCs/>
        </w:rPr>
      </w:pPr>
      <w:r>
        <w:t>4.</w:t>
      </w:r>
      <w:r>
        <w:tab/>
      </w:r>
      <w:r>
        <w:rPr>
          <w:i/>
          <w:iCs/>
        </w:rPr>
        <w:t>заверить</w:t>
      </w:r>
      <w:r>
        <w:t xml:space="preserve"> в том, что мы будем прилагать все усилия для полного внедрения системы e-TIR и скорейшего вступления в силу приложения 11 к Таможенной конвенции о международной перевозке грузов с применением книжки МДП (Конвенция МДП), в том числе путем обеспечения необходимого финансирования и реализации eTIR на национальном уровне, и способствовать присоединению к системе e-CMR и ее введению в действие;</w:t>
      </w:r>
    </w:p>
    <w:p w:rsidR="00693F95" w:rsidRDefault="007A7376" w:rsidP="00693F95">
      <w:pPr>
        <w:pStyle w:val="SingleTxtG"/>
        <w:spacing w:after="240"/>
        <w:ind w:firstLine="567"/>
      </w:pPr>
      <w:r>
        <w:t>5.</w:t>
      </w:r>
      <w:r>
        <w:tab/>
      </w:r>
      <w:r>
        <w:rPr>
          <w:i/>
          <w:iCs/>
        </w:rPr>
        <w:t>выразить</w:t>
      </w:r>
      <w:r>
        <w:t xml:space="preserve"> нашу убежденность в том, что гармонизация, основанная на общих технических требованиях и транспарентности критериев для принятия решений в области автоматизированных/автономных и подключенных транспортных средств, имеет крайне важное значение для надежных и функционально совместимых транспортных систем и что более широкое использование новых технологий во внутреннем транспорте представляет огромный потенциал для поиска решений, направленных на повышение эффективности, предотвращение дорожно-транспортных происшествий, более активное применение интермодального подхода и снижение загрязнения и выбросов парниковых газов. </w:t>
      </w:r>
      <w:bookmarkStart w:id="4" w:name="_Hlk527732787"/>
    </w:p>
    <w:bookmarkEnd w:id="1"/>
    <w:bookmarkEnd w:id="4"/>
    <w:p w:rsidR="007A7376" w:rsidRPr="00693F95" w:rsidRDefault="00693F95" w:rsidP="00693F95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A7376" w:rsidRPr="00693F95" w:rsidSect="007A737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C2B" w:rsidRPr="00A312BC" w:rsidRDefault="00C06C2B" w:rsidP="00A312BC"/>
  </w:endnote>
  <w:endnote w:type="continuationSeparator" w:id="0">
    <w:p w:rsidR="00C06C2B" w:rsidRPr="00A312BC" w:rsidRDefault="00C06C2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376" w:rsidRPr="007A7376" w:rsidRDefault="007A7376">
    <w:pPr>
      <w:pStyle w:val="a8"/>
    </w:pPr>
    <w:r w:rsidRPr="007A7376">
      <w:rPr>
        <w:b/>
        <w:sz w:val="18"/>
      </w:rPr>
      <w:fldChar w:fldCharType="begin"/>
    </w:r>
    <w:r w:rsidRPr="007A7376">
      <w:rPr>
        <w:b/>
        <w:sz w:val="18"/>
      </w:rPr>
      <w:instrText xml:space="preserve"> PAGE  \* MERGEFORMAT </w:instrText>
    </w:r>
    <w:r w:rsidRPr="007A7376">
      <w:rPr>
        <w:b/>
        <w:sz w:val="18"/>
      </w:rPr>
      <w:fldChar w:fldCharType="separate"/>
    </w:r>
    <w:r w:rsidR="00D30AE8">
      <w:rPr>
        <w:b/>
        <w:noProof/>
        <w:sz w:val="18"/>
      </w:rPr>
      <w:t>2</w:t>
    </w:r>
    <w:r w:rsidRPr="007A7376">
      <w:rPr>
        <w:b/>
        <w:sz w:val="18"/>
      </w:rPr>
      <w:fldChar w:fldCharType="end"/>
    </w:r>
    <w:r>
      <w:rPr>
        <w:b/>
        <w:sz w:val="18"/>
      </w:rPr>
      <w:tab/>
    </w:r>
    <w:r>
      <w:t>GE.19-00902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376" w:rsidRPr="007A7376" w:rsidRDefault="007A7376" w:rsidP="007A7376">
    <w:pPr>
      <w:pStyle w:val="a8"/>
      <w:tabs>
        <w:tab w:val="clear" w:pos="9639"/>
        <w:tab w:val="right" w:pos="9638"/>
      </w:tabs>
      <w:rPr>
        <w:b/>
        <w:sz w:val="18"/>
      </w:rPr>
    </w:pPr>
    <w:r>
      <w:t>GE.19-00902</w:t>
    </w:r>
    <w:r>
      <w:tab/>
    </w:r>
    <w:r w:rsidRPr="007A7376">
      <w:rPr>
        <w:b/>
        <w:sz w:val="18"/>
      </w:rPr>
      <w:fldChar w:fldCharType="begin"/>
    </w:r>
    <w:r w:rsidRPr="007A7376">
      <w:rPr>
        <w:b/>
        <w:sz w:val="18"/>
      </w:rPr>
      <w:instrText xml:space="preserve"> PAGE  \* MERGEFORMAT </w:instrText>
    </w:r>
    <w:r w:rsidRPr="007A7376">
      <w:rPr>
        <w:b/>
        <w:sz w:val="18"/>
      </w:rPr>
      <w:fldChar w:fldCharType="separate"/>
    </w:r>
    <w:r w:rsidR="00D30AE8">
      <w:rPr>
        <w:b/>
        <w:noProof/>
        <w:sz w:val="18"/>
      </w:rPr>
      <w:t>3</w:t>
    </w:r>
    <w:r w:rsidRPr="007A737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7A7376" w:rsidRDefault="007A7376" w:rsidP="007A7376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19-00902  (R)  070219  070219</w:t>
    </w:r>
    <w:r>
      <w:br/>
    </w:r>
    <w:r w:rsidRPr="007A7376">
      <w:rPr>
        <w:rFonts w:ascii="C39T30Lfz" w:hAnsi="C39T30Lfz"/>
        <w:kern w:val="14"/>
        <w:sz w:val="56"/>
      </w:rPr>
      <w:t></w:t>
    </w:r>
    <w:r w:rsidRPr="007A7376">
      <w:rPr>
        <w:rFonts w:ascii="C39T30Lfz" w:hAnsi="C39T30Lfz"/>
        <w:kern w:val="14"/>
        <w:sz w:val="56"/>
      </w:rPr>
      <w:t></w:t>
    </w:r>
    <w:r w:rsidRPr="007A7376">
      <w:rPr>
        <w:rFonts w:ascii="C39T30Lfz" w:hAnsi="C39T30Lfz"/>
        <w:kern w:val="14"/>
        <w:sz w:val="56"/>
      </w:rPr>
      <w:t></w:t>
    </w:r>
    <w:r w:rsidRPr="007A7376">
      <w:rPr>
        <w:rFonts w:ascii="C39T30Lfz" w:hAnsi="C39T30Lfz"/>
        <w:kern w:val="14"/>
        <w:sz w:val="56"/>
      </w:rPr>
      <w:t></w:t>
    </w:r>
    <w:r w:rsidRPr="007A7376">
      <w:rPr>
        <w:rFonts w:ascii="C39T30Lfz" w:hAnsi="C39T30Lfz"/>
        <w:kern w:val="14"/>
        <w:sz w:val="56"/>
      </w:rPr>
      <w:t></w:t>
    </w:r>
    <w:r w:rsidRPr="007A7376">
      <w:rPr>
        <w:rFonts w:ascii="C39T30Lfz" w:hAnsi="C39T30Lfz"/>
        <w:kern w:val="14"/>
        <w:sz w:val="56"/>
      </w:rPr>
      <w:t></w:t>
    </w:r>
    <w:r w:rsidRPr="007A7376">
      <w:rPr>
        <w:rFonts w:ascii="C39T30Lfz" w:hAnsi="C39T30Lfz"/>
        <w:kern w:val="14"/>
        <w:sz w:val="56"/>
      </w:rPr>
      <w:t></w:t>
    </w:r>
    <w:r w:rsidRPr="007A7376">
      <w:rPr>
        <w:rFonts w:ascii="C39T30Lfz" w:hAnsi="C39T30Lfz"/>
        <w:kern w:val="14"/>
        <w:sz w:val="56"/>
      </w:rPr>
      <w:t></w:t>
    </w:r>
    <w:r w:rsidRPr="007A7376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Picture 1" descr="https://undocs.org/m2/QRCode.ashx?DS=ECE/TRANS/2019/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2019/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C2B" w:rsidRPr="001075E9" w:rsidRDefault="00C06C2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06C2B" w:rsidRDefault="00C06C2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A7376" w:rsidRPr="008628B6" w:rsidRDefault="007A7376" w:rsidP="007A7376">
      <w:pPr>
        <w:pStyle w:val="ad"/>
        <w:rPr>
          <w:rFonts w:asciiTheme="majorBidi" w:hAnsiTheme="majorBidi" w:cstheme="majorBidi"/>
        </w:rPr>
      </w:pPr>
      <w:r>
        <w:tab/>
      </w:r>
      <w:r w:rsidRPr="008628B6">
        <w:rPr>
          <w:rStyle w:val="aa"/>
          <w:rFonts w:asciiTheme="majorBidi" w:hAnsiTheme="majorBidi" w:cstheme="majorBidi"/>
        </w:rPr>
        <w:footnoteRef/>
      </w:r>
      <w:r>
        <w:t xml:space="preserve"> </w:t>
      </w:r>
      <w:r>
        <w:tab/>
        <w:t>ECE/TRANS/2019/R.1.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376" w:rsidRPr="007A7376" w:rsidRDefault="003A65D2">
    <w:pPr>
      <w:pStyle w:val="a5"/>
    </w:pPr>
    <w:fldSimple w:instr=" TITLE  \* MERGEFORMAT ">
      <w:r w:rsidR="00D30AE8">
        <w:t>ECE/TRANS/2019/2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376" w:rsidRPr="007A7376" w:rsidRDefault="003A65D2" w:rsidP="007A7376">
    <w:pPr>
      <w:pStyle w:val="a5"/>
      <w:jc w:val="right"/>
    </w:pPr>
    <w:fldSimple w:instr=" TITLE  \* MERGEFORMAT ">
      <w:r w:rsidR="00D30AE8">
        <w:t>ECE/TRANS/2019/2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2B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A65D2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93F95"/>
    <w:rsid w:val="006A1ED8"/>
    <w:rsid w:val="006C2031"/>
    <w:rsid w:val="006D461A"/>
    <w:rsid w:val="006F35EE"/>
    <w:rsid w:val="007021FF"/>
    <w:rsid w:val="00712895"/>
    <w:rsid w:val="00734ACB"/>
    <w:rsid w:val="00744D30"/>
    <w:rsid w:val="00757357"/>
    <w:rsid w:val="00792497"/>
    <w:rsid w:val="007A7376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52849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06C2B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0AE8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6703D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B638848-8350-43C7-94ED-E416F735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7A7376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rsid w:val="007A7376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</Pages>
  <Words>981</Words>
  <Characters>7401</Characters>
  <Application>Microsoft Office Word</Application>
  <DocSecurity>0</DocSecurity>
  <Lines>143</Lines>
  <Paragraphs>40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ECE/TRANS/2019/2</vt:lpstr>
      <vt:lpstr>A/</vt:lpstr>
      <vt:lpstr>A/</vt:lpstr>
    </vt:vector>
  </TitlesOfParts>
  <Company>DCM</Company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ECE/TRANS/2019/2</dc:title>
  <dc:subject/>
  <dc:creator>Tatiana SHARKINA</dc:creator>
  <cp:keywords/>
  <cp:lastModifiedBy>Ioulia Goussarova</cp:lastModifiedBy>
  <cp:revision>3</cp:revision>
  <cp:lastPrinted>2019-02-07T15:49:00Z</cp:lastPrinted>
  <dcterms:created xsi:type="dcterms:W3CDTF">2019-02-07T15:49:00Z</dcterms:created>
  <dcterms:modified xsi:type="dcterms:W3CDTF">2019-02-07T15:49:00Z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