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411DB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411DBC" w:rsidP="00411DBC">
            <w:pPr>
              <w:jc w:val="right"/>
            </w:pPr>
            <w:r w:rsidRPr="00411DBC">
              <w:rPr>
                <w:sz w:val="40"/>
              </w:rPr>
              <w:t>ECE</w:t>
            </w:r>
            <w:r>
              <w:t>/TRANS/2019/20</w:t>
            </w:r>
          </w:p>
        </w:tc>
      </w:tr>
      <w:tr w:rsidR="002D5AAC" w:rsidRPr="00411DBC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411DBC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411DBC" w:rsidRDefault="00411DBC" w:rsidP="00411D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7 December 2018</w:t>
            </w:r>
          </w:p>
          <w:p w:rsidR="00411DBC" w:rsidRDefault="00411DBC" w:rsidP="00411D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411DBC" w:rsidRPr="008D53B6" w:rsidRDefault="00411DBC" w:rsidP="00411DB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411DBC" w:rsidRPr="00437EC7" w:rsidRDefault="00411DBC" w:rsidP="00411DBC">
      <w:pPr>
        <w:spacing w:before="120"/>
        <w:rPr>
          <w:sz w:val="28"/>
          <w:szCs w:val="28"/>
        </w:rPr>
      </w:pPr>
      <w:r w:rsidRPr="00437EC7">
        <w:rPr>
          <w:sz w:val="28"/>
          <w:szCs w:val="28"/>
        </w:rPr>
        <w:t>Комитет по внутреннему транспорту</w:t>
      </w:r>
    </w:p>
    <w:p w:rsidR="00411DBC" w:rsidRPr="00437EC7" w:rsidRDefault="00411DBC" w:rsidP="00411DBC">
      <w:pPr>
        <w:spacing w:before="120"/>
        <w:rPr>
          <w:b/>
          <w:bCs/>
        </w:rPr>
      </w:pPr>
      <w:r w:rsidRPr="00437EC7">
        <w:rPr>
          <w:b/>
          <w:bCs/>
        </w:rPr>
        <w:t xml:space="preserve">Восемьдесят первая сессия </w:t>
      </w:r>
    </w:p>
    <w:p w:rsidR="00411DBC" w:rsidRPr="00437EC7" w:rsidRDefault="00411DBC" w:rsidP="00411DBC">
      <w:r>
        <w:t>Женева, 19</w:t>
      </w:r>
      <w:r>
        <w:rPr>
          <w:lang w:val="en-US"/>
        </w:rPr>
        <w:t>–</w:t>
      </w:r>
      <w:r>
        <w:t>22 февраля 2019 года</w:t>
      </w:r>
    </w:p>
    <w:p w:rsidR="00411DBC" w:rsidRPr="00437EC7" w:rsidRDefault="00411DBC" w:rsidP="00411DBC">
      <w:r>
        <w:t>Пункт 5 k) предварительной повестки дня</w:t>
      </w:r>
    </w:p>
    <w:p w:rsidR="00411DBC" w:rsidRPr="00437EC7" w:rsidRDefault="00411DBC" w:rsidP="00411DBC">
      <w:pPr>
        <w:rPr>
          <w:b/>
          <w:bCs/>
        </w:rPr>
      </w:pPr>
      <w:r>
        <w:rPr>
          <w:b/>
          <w:bCs/>
        </w:rPr>
        <w:t xml:space="preserve">Стратегические вопросы, связанные с разными </w:t>
      </w:r>
      <w:r>
        <w:rPr>
          <w:b/>
          <w:bCs/>
        </w:rPr>
        <w:br/>
        <w:t xml:space="preserve">видами транспорта и тематическими направлениями: </w:t>
      </w:r>
      <w:r>
        <w:rPr>
          <w:b/>
          <w:bCs/>
        </w:rPr>
        <w:br/>
        <w:t>транспортная статистика и данные</w:t>
      </w:r>
    </w:p>
    <w:p w:rsidR="00411DBC" w:rsidRPr="00437EC7" w:rsidRDefault="00411DBC" w:rsidP="00411DBC">
      <w:pPr>
        <w:pStyle w:val="HChG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bCs/>
          <w:lang w:val="ru-RU"/>
        </w:rPr>
        <w:t>Визуализация данных в целях разработки политики: обследование движения по дорогам категории Е</w:t>
      </w:r>
    </w:p>
    <w:p w:rsidR="00411DBC" w:rsidRPr="003A749A" w:rsidRDefault="00411DBC" w:rsidP="00411DBC">
      <w:pPr>
        <w:pStyle w:val="H1G"/>
        <w:spacing w:before="240"/>
      </w:pPr>
      <w:r>
        <w:rPr>
          <w:lang w:val="ru-RU"/>
        </w:rPr>
        <w:tab/>
      </w:r>
      <w:r>
        <w:rPr>
          <w:lang w:val="ru-RU"/>
        </w:rPr>
        <w:tab/>
        <w:t xml:space="preserve">Записка секретариата </w:t>
      </w:r>
    </w:p>
    <w:tbl>
      <w:tblPr>
        <w:tblStyle w:val="ac"/>
        <w:tblW w:w="0" w:type="auto"/>
        <w:jc w:val="center"/>
        <w:tblBorders>
          <w:insideH w:val="none" w:sz="0" w:space="0" w:color="auto"/>
        </w:tblBorders>
        <w:tblLayout w:type="fixed"/>
        <w:tblLook w:val="05E0" w:firstRow="1" w:lastRow="1" w:firstColumn="1" w:lastColumn="1" w:noHBand="0" w:noVBand="1"/>
      </w:tblPr>
      <w:tblGrid>
        <w:gridCol w:w="9629"/>
      </w:tblGrid>
      <w:tr w:rsidR="00411DBC" w:rsidRPr="00F27350" w:rsidTr="00481953">
        <w:trPr>
          <w:jc w:val="center"/>
        </w:trPr>
        <w:tc>
          <w:tcPr>
            <w:tcW w:w="9629" w:type="dxa"/>
            <w:shd w:val="clear" w:color="auto" w:fill="auto"/>
          </w:tcPr>
          <w:p w:rsidR="00411DBC" w:rsidRPr="00411DBC" w:rsidRDefault="00411DBC" w:rsidP="00481953">
            <w:pPr>
              <w:spacing w:before="240" w:after="120"/>
              <w:ind w:left="255"/>
              <w:rPr>
                <w:i/>
                <w:sz w:val="24"/>
                <w:szCs w:val="24"/>
              </w:rPr>
            </w:pPr>
            <w:r w:rsidRPr="00411DBC">
              <w:rPr>
                <w:i/>
                <w:iCs/>
                <w:sz w:val="24"/>
                <w:szCs w:val="24"/>
              </w:rPr>
              <w:t>Резюме</w:t>
            </w:r>
          </w:p>
        </w:tc>
      </w:tr>
      <w:tr w:rsidR="00411DBC" w:rsidRPr="00437EC7" w:rsidTr="00481953">
        <w:trPr>
          <w:jc w:val="center"/>
        </w:trPr>
        <w:tc>
          <w:tcPr>
            <w:tcW w:w="9629" w:type="dxa"/>
            <w:shd w:val="clear" w:color="auto" w:fill="auto"/>
          </w:tcPr>
          <w:p w:rsidR="00411DBC" w:rsidRPr="00437EC7" w:rsidRDefault="00411DBC" w:rsidP="00481953">
            <w:pPr>
              <w:pStyle w:val="SingleTxtG"/>
              <w:rPr>
                <w:lang w:val="ru-RU"/>
              </w:rPr>
            </w:pP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Секретариат просит государства-члены каждые пять лет проводить обследование объемов перевозок по их основным международным автомобильным магистралям. В этой связи запрашиваются данные в различных форматах для их использования в целях анализа и визуализации. Эти данные, касающиеся интенсивности движения, запрашиваются в табличной форме, а также в виде файлов географических информационных систем (ГИС), которые дают пользователям возможность просматривать визуальное отображение движения</w:t>
            </w:r>
            <w:r w:rsidRPr="00225A6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транспорта на дорожной сети по странам. Картографическое отображение этих данных позволяет выделить те сегменты сети, в которых интенсивность движения самая высокая, что в свою очередь дает представление о тех участках, которые обладают потенциалом для увеличения инвестиций в инфраструктуру или переключения </w:t>
            </w:r>
            <w:r w:rsidR="00774D5B">
              <w:rPr>
                <w:lang w:val="ru-RU"/>
              </w:rPr>
              <w:t>перевозок</w:t>
            </w:r>
            <w:r>
              <w:rPr>
                <w:lang w:val="ru-RU"/>
              </w:rPr>
              <w:t xml:space="preserve"> с одного вида транспорта на другой. Такой способ визуализации позволяет также отслеживать прогресс в деле развития евро-азиатских транспортных связей.</w:t>
            </w:r>
          </w:p>
        </w:tc>
      </w:tr>
      <w:tr w:rsidR="00411DBC" w:rsidRPr="00437EC7" w:rsidTr="00774D5B">
        <w:trPr>
          <w:jc w:val="center"/>
        </w:trPr>
        <w:tc>
          <w:tcPr>
            <w:tcW w:w="9629" w:type="dxa"/>
            <w:tcBorders>
              <w:bottom w:val="nil"/>
            </w:tcBorders>
            <w:shd w:val="clear" w:color="auto" w:fill="auto"/>
          </w:tcPr>
          <w:p w:rsidR="00411DBC" w:rsidRPr="00437EC7" w:rsidRDefault="00411DBC" w:rsidP="00774D5B">
            <w:pPr>
              <w:spacing w:after="120"/>
              <w:ind w:left="1140" w:right="1140"/>
              <w:jc w:val="both"/>
            </w:pPr>
            <w:r>
              <w:tab/>
              <w:t>Таким образом, этот способ визуализации является одним из полезных инструментов мониторинга показателей достижения целей в области устойчивого развития, в частности:</w:t>
            </w:r>
          </w:p>
        </w:tc>
      </w:tr>
      <w:tr w:rsidR="00411DBC" w:rsidRPr="00437EC7" w:rsidTr="00774D5B">
        <w:trPr>
          <w:jc w:val="center"/>
        </w:trPr>
        <w:tc>
          <w:tcPr>
            <w:tcW w:w="9629" w:type="dxa"/>
            <w:tcBorders>
              <w:top w:val="nil"/>
              <w:bottom w:val="nil"/>
            </w:tcBorders>
            <w:shd w:val="clear" w:color="auto" w:fill="auto"/>
          </w:tcPr>
          <w:p w:rsidR="00411DBC" w:rsidRPr="00437EC7" w:rsidRDefault="00411DBC" w:rsidP="00774D5B">
            <w:pPr>
              <w:pStyle w:val="Bullet1G"/>
              <w:rPr>
                <w:lang w:val="ru-RU"/>
              </w:rPr>
            </w:pPr>
            <w:r>
              <w:rPr>
                <w:lang w:val="ru-RU"/>
              </w:rPr>
              <w:t>Показатель 3.6.1: сокращение смертности в результате дорожно-транспортных происшествий. В тех случаях, когда локализованные уровни дорожного движения картографируются наряду с дорожно-транспортными происшествиями, можно определить «горячие точки» аварийности (и более безопасные участки) с точки зрения количества дорожно-транспортных происшествий в расчете на одно транспортное средство в год, которое определяется для каждого участка дороги. Такие данные могут помочь в целенаправленном применении соответствующих стратегических мер.</w:t>
            </w:r>
          </w:p>
        </w:tc>
      </w:tr>
      <w:tr w:rsidR="00411DBC" w:rsidRPr="00437EC7" w:rsidTr="00774D5B">
        <w:trPr>
          <w:jc w:val="center"/>
        </w:trPr>
        <w:tc>
          <w:tcPr>
            <w:tcW w:w="9629" w:type="dxa"/>
            <w:tcBorders>
              <w:top w:val="nil"/>
            </w:tcBorders>
            <w:shd w:val="clear" w:color="auto" w:fill="auto"/>
          </w:tcPr>
          <w:p w:rsidR="00411DBC" w:rsidRPr="00437EC7" w:rsidRDefault="00411DBC" w:rsidP="00411DBC">
            <w:pPr>
              <w:pStyle w:val="Bullet1G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Показатель 9.1.2: </w:t>
            </w:r>
            <w:r w:rsidR="007D1364">
              <w:rPr>
                <w:lang w:val="ru-RU"/>
              </w:rPr>
              <w:t xml:space="preserve">объемы </w:t>
            </w:r>
            <w:r>
              <w:rPr>
                <w:lang w:val="ru-RU"/>
              </w:rPr>
              <w:t>пассажирских и грузовых перевозок. Обследование дорожного движения по дорогам категории Е позволяет производить непосредственное измерение объема пассажирских и грузовых перевозок в геопространственном формате, выраженного в общем количестве транспортных средств в день, и отдельное измерение объема этих же перевозок вместе с большегрузными транспортными средствами, в связи с чем это обследование также может быть полезно для решения задач в области торговли и автобусных перевозок в международном сообщении.</w:t>
            </w:r>
          </w:p>
        </w:tc>
      </w:tr>
      <w:tr w:rsidR="00411DBC" w:rsidRPr="00437EC7" w:rsidTr="00481953">
        <w:trPr>
          <w:jc w:val="center"/>
        </w:trPr>
        <w:tc>
          <w:tcPr>
            <w:tcW w:w="9629" w:type="dxa"/>
            <w:shd w:val="clear" w:color="auto" w:fill="auto"/>
          </w:tcPr>
          <w:p w:rsidR="00411DBC" w:rsidRPr="00437EC7" w:rsidRDefault="00411DBC" w:rsidP="00774D5B">
            <w:pPr>
              <w:pStyle w:val="SingleTxtG"/>
              <w:spacing w:after="240"/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774D5B">
              <w:rPr>
                <w:lang w:val="ru-RU"/>
              </w:rPr>
              <w:tab/>
            </w:r>
            <w:r>
              <w:rPr>
                <w:lang w:val="ru-RU"/>
              </w:rPr>
              <w:t xml:space="preserve">Комитет, возможно, пожелает </w:t>
            </w:r>
            <w:r>
              <w:rPr>
                <w:b/>
                <w:bCs/>
                <w:lang w:val="ru-RU"/>
              </w:rPr>
              <w:t xml:space="preserve">предложить </w:t>
            </w:r>
            <w:r>
              <w:rPr>
                <w:lang w:val="ru-RU"/>
              </w:rPr>
              <w:t xml:space="preserve">своим государствам-членам поощрять свои национальные статистические управления, учреждения, отвечающие за инфраструктуру, и другие ключевые субъекты к сотрудничеству с целью представить в секретариат необходимые данные за 2020 год в табличной форме, а также файлы ГИС (предпочтительно в формате </w:t>
            </w:r>
            <w:r w:rsidR="00774D5B"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Шейп</w:t>
            </w:r>
            <w:proofErr w:type="spellEnd"/>
            <w:r>
              <w:rPr>
                <w:lang w:val="ru-RU"/>
              </w:rPr>
              <w:t>-файл</w:t>
            </w:r>
            <w:r w:rsidR="00774D5B">
              <w:rPr>
                <w:lang w:val="ru-RU"/>
              </w:rPr>
              <w:t>»</w:t>
            </w:r>
            <w:r>
              <w:rPr>
                <w:lang w:val="ru-RU"/>
              </w:rPr>
              <w:t>). Комитет, возможно, пожелает</w:t>
            </w:r>
            <w:r>
              <w:rPr>
                <w:b/>
                <w:bCs/>
                <w:lang w:val="ru-RU"/>
              </w:rPr>
              <w:t xml:space="preserve"> принять к сведению</w:t>
            </w:r>
            <w:r>
              <w:rPr>
                <w:lang w:val="ru-RU"/>
              </w:rPr>
              <w:t xml:space="preserve"> тот факт, что в последние годы доля респондентов постоянно снижалась, и </w:t>
            </w:r>
            <w:r>
              <w:rPr>
                <w:b/>
                <w:bCs/>
                <w:lang w:val="ru-RU"/>
              </w:rPr>
              <w:t xml:space="preserve">призвать </w:t>
            </w:r>
            <w:r>
              <w:rPr>
                <w:lang w:val="ru-RU"/>
              </w:rPr>
              <w:t>своих членов рассмотреть эту проблему.</w:t>
            </w:r>
          </w:p>
        </w:tc>
      </w:tr>
    </w:tbl>
    <w:p w:rsidR="00411DBC" w:rsidRPr="00437EC7" w:rsidRDefault="00774D5B" w:rsidP="00411DBC">
      <w:pPr>
        <w:pStyle w:val="HChG"/>
        <w:rPr>
          <w:lang w:val="ru-RU"/>
        </w:rPr>
      </w:pPr>
      <w:r>
        <w:rPr>
          <w:lang w:val="ru-RU"/>
        </w:rPr>
        <w:tab/>
      </w:r>
      <w:r w:rsidR="00411DBC">
        <w:rPr>
          <w:lang w:val="ru-RU"/>
        </w:rPr>
        <w:t>I.</w:t>
      </w:r>
      <w:r w:rsidR="00411DBC">
        <w:rPr>
          <w:lang w:val="ru-RU"/>
        </w:rPr>
        <w:tab/>
      </w:r>
      <w:r w:rsidR="00411DBC">
        <w:rPr>
          <w:bCs/>
          <w:lang w:val="ru-RU"/>
        </w:rPr>
        <w:t>Общая информация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>Рабочая групп</w:t>
      </w:r>
      <w:r w:rsidR="007D1364">
        <w:rPr>
          <w:lang w:val="ru-RU"/>
        </w:rPr>
        <w:t>а по статистике транспорта (WP.</w:t>
      </w:r>
      <w:r>
        <w:rPr>
          <w:lang w:val="ru-RU"/>
        </w:rPr>
        <w:t xml:space="preserve">6), являющаяся вспомогательным органом Комитета по внутреннему транспорту, на протяжении многих десятилетий проводит один раз в пять лет соответствующее обследование движения по сети дорог категории Е. В ходе обследования на отдельных участках, определенных соответствующим государством-членом, собирается информация о параметрах инфраструктуры, таких как количество и размеры полос движения, и данные о дорожном движении, измеряемые в виде среднесуточного объема перевозок (ААДТ) по всем транспортным средствам в целом и по конкретным категориям транспортных средств (двухколесные автотранспортные средств, легковые автомобили, грузовые транспортные средства малой </w:t>
      </w:r>
      <w:r w:rsidR="00774D5B">
        <w:rPr>
          <w:lang w:val="ru-RU"/>
        </w:rPr>
        <w:t>грузоподъемности</w:t>
      </w:r>
      <w:r>
        <w:rPr>
          <w:lang w:val="ru-RU"/>
        </w:rPr>
        <w:t>, а также городские и междугородные автобусы).</w:t>
      </w:r>
    </w:p>
    <w:p w:rsidR="00411DBC" w:rsidRPr="00437EC7" w:rsidRDefault="007D1364" w:rsidP="00411DBC">
      <w:pPr>
        <w:pStyle w:val="SingleTxtG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документе WP.</w:t>
      </w:r>
      <w:r w:rsidR="00411DBC">
        <w:rPr>
          <w:lang w:val="ru-RU"/>
        </w:rPr>
        <w:t>6 ECE/TRANS/WP.6/2018/11 содержится более подробная информация о том, какие данные рекомендуется включить правительствам в обследование 2020 года. Цель настоящего документа – подчеркнуть важность предоставления этих данных в геопространственном формате с целью обеспечить их максимально эффективное распространение.</w:t>
      </w:r>
    </w:p>
    <w:p w:rsidR="00411DBC" w:rsidRPr="00437EC7" w:rsidRDefault="00774D5B" w:rsidP="00411DBC">
      <w:pPr>
        <w:pStyle w:val="HChG"/>
        <w:rPr>
          <w:lang w:val="ru-RU"/>
        </w:rPr>
      </w:pPr>
      <w:r>
        <w:rPr>
          <w:lang w:val="ru-RU"/>
        </w:rPr>
        <w:tab/>
      </w:r>
      <w:r w:rsidR="00411DBC">
        <w:rPr>
          <w:lang w:val="ru-RU"/>
        </w:rPr>
        <w:t>II.</w:t>
      </w:r>
      <w:r w:rsidR="00411DBC">
        <w:rPr>
          <w:lang w:val="ru-RU"/>
        </w:rPr>
        <w:tab/>
      </w:r>
      <w:r w:rsidR="00411DBC">
        <w:rPr>
          <w:bCs/>
          <w:lang w:val="ru-RU"/>
        </w:rPr>
        <w:t>Мотивировка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целях содействия осуществлению транспортной политики, основанной на фактических данных, нужна точная, актуальная и своевременная транспортная статистика. Статистика, которая готовится в рамках WP.6, имеет целью удовлетворить этот аналитический спрос и содержит данные по всем внутренним видам транспорта в части инфраструктуры, транспортного оборудования, дорожного движения, измерения параметров перевозок и дорожно-транспортных происшествий на национальном уровне все</w:t>
      </w:r>
      <w:r w:rsidR="007D1364">
        <w:rPr>
          <w:lang w:val="ru-RU"/>
        </w:rPr>
        <w:t xml:space="preserve">х государств – </w:t>
      </w:r>
      <w:r>
        <w:rPr>
          <w:lang w:val="ru-RU"/>
        </w:rPr>
        <w:t>членов ЕЭК. Кроме того, обследование дорог категории Е может способствовать более глубокому осмыслению сути автомобильных перевозок на маршрутах, которые рассматриваются Европейским соглашением о международных автомагистралях (СМА) как имеющие международное значение. Данные этого обследования дополняют данные на национальном уровне</w:t>
      </w:r>
      <w:r w:rsidR="007D1364">
        <w:rPr>
          <w:lang w:val="ru-RU"/>
        </w:rPr>
        <w:t>,</w:t>
      </w:r>
      <w:r>
        <w:rPr>
          <w:lang w:val="ru-RU"/>
        </w:rPr>
        <w:t xml:space="preserve"> поскольку они содержат конкретную информацию, касающуюся конкретных коридоров и дорог.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Данные для переписи на дорогах категории Е представляют многие </w:t>
      </w:r>
      <w:r w:rsidR="007D1364">
        <w:rPr>
          <w:lang w:val="ru-RU"/>
        </w:rPr>
        <w:br/>
      </w:r>
      <w:r>
        <w:rPr>
          <w:lang w:val="ru-RU"/>
        </w:rPr>
        <w:t>государства</w:t>
      </w:r>
      <w:r w:rsidR="007D1364">
        <w:rPr>
          <w:lang w:val="ru-RU"/>
        </w:rPr>
        <w:t xml:space="preserve"> – </w:t>
      </w:r>
      <w:r>
        <w:rPr>
          <w:lang w:val="ru-RU"/>
        </w:rPr>
        <w:t>члены ЕЭК, однако с течением времени уровень их участия снизился. Если в 2000 году ответы, содержащие по крайней мере некоторые данные, были представлены 31 государством-членом, то в 2015 году это было сделано лишь 21</w:t>
      </w:r>
      <w:r w:rsidR="00774D5B">
        <w:rPr>
          <w:lang w:val="ru-RU"/>
        </w:rPr>
        <w:t> </w:t>
      </w:r>
      <w:r>
        <w:rPr>
          <w:lang w:val="ru-RU"/>
        </w:rPr>
        <w:t xml:space="preserve">государством-членом. Из этой 21 страны только девять (Австрия, Болгария, Латвия, </w:t>
      </w:r>
      <w:r>
        <w:rPr>
          <w:lang w:val="ru-RU"/>
        </w:rPr>
        <w:lastRenderedPageBreak/>
        <w:t>Литва, Польша, Словения, Франция, Чехия и Швеция) представили данные в геопространственном формате.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  <w:t xml:space="preserve">Обследование движения по дорогам категории Е в табличной форме обеспечивает полезную информацию для управления системой инфраструктуры и дорожного движения, однако ее дополнение геопространственными данными </w:t>
      </w:r>
      <w:r w:rsidR="00774D5B">
        <w:rPr>
          <w:lang w:val="ru-RU"/>
        </w:rPr>
        <w:t>позволяет</w:t>
      </w:r>
      <w:r>
        <w:rPr>
          <w:lang w:val="ru-RU"/>
        </w:rPr>
        <w:t xml:space="preserve"> получить гораздо более полное представление о реальной ситуации. Эти аспекты анализируются в</w:t>
      </w:r>
      <w:r w:rsidRPr="00CE5D5F">
        <w:rPr>
          <w:lang w:val="ru-RU"/>
        </w:rPr>
        <w:t xml:space="preserve"> </w:t>
      </w:r>
      <w:r>
        <w:rPr>
          <w:lang w:val="ru-RU"/>
        </w:rPr>
        <w:t>нижеследующих пунктах.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 xml:space="preserve">Информация о дорожной инфраструктуре и объемах перевозок дает более четкое представление о потребностях в </w:t>
      </w:r>
      <w:r w:rsidRPr="00CE5D5F">
        <w:rPr>
          <w:b/>
          <w:bCs/>
          <w:lang w:val="ru-RU"/>
        </w:rPr>
        <w:t>эксплуатационно-техническом обслуживании и потенциальной модернизации</w:t>
      </w:r>
      <w:r>
        <w:rPr>
          <w:lang w:val="ru-RU"/>
        </w:rPr>
        <w:t>. Что касается сети дорог категории</w:t>
      </w:r>
      <w:r w:rsidR="007D1364">
        <w:rPr>
          <w:lang w:val="ru-RU"/>
        </w:rPr>
        <w:t> </w:t>
      </w:r>
      <w:r>
        <w:rPr>
          <w:lang w:val="ru-RU"/>
        </w:rPr>
        <w:t>Е, имеющих международное значение, то соответствующая всеобъемлющая карта обследования позволит государствам-членам обмениваться информацией об инфраструктуре и лучше планировать проекты в области эксплуатационно-технического обслуживания и модернизации дорог, которые сказываются на трансграничных перевозках.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>Наглядное отображение объемов дорожного движения (в сочетании с информацией об инфраструктуре, такой как количество и ширина полос движения), позволяет выявить узкие места в области международных перевозок</w:t>
      </w:r>
      <w:r w:rsidR="007D1364">
        <w:rPr>
          <w:lang w:val="ru-RU"/>
        </w:rPr>
        <w:t>,</w:t>
      </w:r>
      <w:r>
        <w:rPr>
          <w:lang w:val="ru-RU"/>
        </w:rPr>
        <w:t xml:space="preserve"> и как следствие, провести анализ затрат и выгод, связанных с реализацией потенциальных решений. Кроме того, в случае сочетания этих </w:t>
      </w:r>
      <w:r w:rsidR="00774D5B">
        <w:rPr>
          <w:lang w:val="ru-RU"/>
        </w:rPr>
        <w:t>данных</w:t>
      </w:r>
      <w:r>
        <w:rPr>
          <w:lang w:val="ru-RU"/>
        </w:rPr>
        <w:t xml:space="preserve"> с детальной информацией о сетях железнодорожного и внутреннего водного </w:t>
      </w:r>
      <w:r w:rsidR="00774D5B">
        <w:rPr>
          <w:lang w:val="ru-RU"/>
        </w:rPr>
        <w:t>транспорта</w:t>
      </w:r>
      <w:r>
        <w:rPr>
          <w:lang w:val="ru-RU"/>
        </w:rPr>
        <w:t xml:space="preserve"> в геопространственном формате можно легко определить </w:t>
      </w:r>
      <w:r>
        <w:rPr>
          <w:b/>
          <w:bCs/>
          <w:lang w:val="ru-RU"/>
        </w:rPr>
        <w:t xml:space="preserve">потенциал </w:t>
      </w:r>
      <w:r>
        <w:rPr>
          <w:lang w:val="ru-RU"/>
        </w:rPr>
        <w:t xml:space="preserve">отдельных коридоров в плане </w:t>
      </w:r>
      <w:r>
        <w:rPr>
          <w:b/>
          <w:bCs/>
          <w:lang w:val="ru-RU"/>
        </w:rPr>
        <w:t>переключения перевозок</w:t>
      </w:r>
      <w:r>
        <w:rPr>
          <w:lang w:val="ru-RU"/>
        </w:rPr>
        <w:t xml:space="preserve"> с одного вида транспорта на другой.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8.</w:t>
      </w:r>
      <w:r>
        <w:rPr>
          <w:lang w:val="ru-RU"/>
        </w:rPr>
        <w:tab/>
        <w:t xml:space="preserve">Само собой разумеется, что в этой связи большое значение придается реализации некоторых важнейших коридоров, которые будут выполнять функцию </w:t>
      </w:r>
      <w:r>
        <w:rPr>
          <w:b/>
          <w:bCs/>
          <w:lang w:val="ru-RU"/>
        </w:rPr>
        <w:t>евро-азиатских транспортных связей</w:t>
      </w:r>
      <w:r>
        <w:rPr>
          <w:lang w:val="ru-RU"/>
        </w:rPr>
        <w:t xml:space="preserve">. Статистика отслеживания существующих перевозок по этим маршрутам в сочетании с информацией об инфраструктуре важна для прогнозирования будущего роста, для определения тех участков, в которых инфраструктура нуждается в обновлении, и для отслеживания эффективности транспортных операций. Это делается в порядке поддержки выводов, сделанных на недавних рабочих совещаниях Рабочей группы ЕЭК по тенденциям и экономике транспорта под названием «Рабочее совещание по введению в </w:t>
      </w:r>
      <w:r w:rsidR="00774D5B">
        <w:rPr>
          <w:lang w:val="ru-RU"/>
        </w:rPr>
        <w:t>действие</w:t>
      </w:r>
      <w:r>
        <w:rPr>
          <w:lang w:val="ru-RU"/>
        </w:rPr>
        <w:t xml:space="preserve"> евро-азиатских транспортных коридоров» (2018 год) и «Рабочее совещание по коридорам транспортной инфраструктуры вдоль Европы и Азии» (2017 год). </w:t>
      </w:r>
    </w:p>
    <w:p w:rsidR="00411DBC" w:rsidRDefault="00411DBC" w:rsidP="00411DBC">
      <w:pPr>
        <w:pStyle w:val="SingleTxtG"/>
        <w:spacing w:after="240"/>
        <w:rPr>
          <w:lang w:val="ru-RU"/>
        </w:rPr>
      </w:pPr>
      <w:r>
        <w:rPr>
          <w:lang w:val="ru-RU"/>
        </w:rPr>
        <w:t>9.</w:t>
      </w:r>
      <w:r>
        <w:rPr>
          <w:lang w:val="ru-RU"/>
        </w:rPr>
        <w:tab/>
        <w:t xml:space="preserve">Данные этого обследования также могут помочь в определении </w:t>
      </w:r>
      <w:r>
        <w:rPr>
          <w:b/>
          <w:bCs/>
          <w:lang w:val="ru-RU"/>
        </w:rPr>
        <w:t>ценности пограничных контрольно-пропускных пунктов</w:t>
      </w:r>
      <w:r>
        <w:rPr>
          <w:lang w:val="ru-RU"/>
        </w:rPr>
        <w:t>. Пример, приведенный ниже, свидетельствует о том, что карту обследования можно использовать для подтверждения важности отдельных пунктов пересечения границы с точки зрения их ценности для торговли (в обоих направлениях). Этими данными могут также с успехом воспользоваться директивные органы в процессе рассмотрения будущих планов по распределению ресурсов на пограничные и таможенные службы.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4"/>
      </w:tblGrid>
      <w:tr w:rsidR="008D4DAC" w:rsidTr="008D4DAC">
        <w:trPr>
          <w:trHeight w:val="240"/>
          <w:jc w:val="center"/>
        </w:trPr>
        <w:tc>
          <w:tcPr>
            <w:tcW w:w="7654" w:type="dxa"/>
            <w:tcBorders>
              <w:bottom w:val="nil"/>
            </w:tcBorders>
          </w:tcPr>
          <w:p w:rsidR="008D4DAC" w:rsidRDefault="008D4DAC">
            <w:pPr>
              <w:spacing w:line="240" w:lineRule="auto"/>
              <w:rPr>
                <w:lang w:val="es-ES"/>
              </w:rPr>
            </w:pPr>
          </w:p>
        </w:tc>
      </w:tr>
      <w:tr w:rsidR="008D4DAC" w:rsidTr="002822B7">
        <w:trPr>
          <w:jc w:val="center"/>
        </w:trPr>
        <w:tc>
          <w:tcPr>
            <w:tcW w:w="7654" w:type="dxa"/>
            <w:tcBorders>
              <w:top w:val="nil"/>
              <w:bottom w:val="nil"/>
            </w:tcBorders>
            <w:tcMar>
              <w:top w:w="0" w:type="dxa"/>
              <w:left w:w="142" w:type="dxa"/>
              <w:bottom w:w="0" w:type="dxa"/>
              <w:right w:w="142" w:type="dxa"/>
            </w:tcMar>
          </w:tcPr>
          <w:p w:rsidR="008D4DAC" w:rsidRDefault="008D4DAC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Оценка пунктов пересечения границ: на примере Беларуси и Литвы</w:t>
            </w:r>
          </w:p>
          <w:p w:rsidR="008D4DAC" w:rsidRDefault="008D4DAC">
            <w:pPr>
              <w:spacing w:after="120"/>
              <w:jc w:val="both"/>
              <w:rPr>
                <w:lang w:val="es-ES"/>
              </w:rPr>
            </w:pPr>
            <w:r>
              <w:tab/>
              <w:t xml:space="preserve">По данным </w:t>
            </w:r>
            <w:proofErr w:type="spellStart"/>
            <w:r>
              <w:t>Евростата</w:t>
            </w:r>
            <w:proofErr w:type="spellEnd"/>
            <w:r>
              <w:t>, в 2015 году импорт Литвы из Беларуси автомобильным т</w:t>
            </w:r>
            <w:r w:rsidR="006D1E86">
              <w:t>ранспортом оценивался в 259 млн</w:t>
            </w:r>
            <w:r>
              <w:t xml:space="preserve"> евро. Карта обследования движения по дорогам категории Е показывает, что эти страны имеют два основных пограничных контрольно-пропускных пункта: Мядининкай/Каменный Лог и </w:t>
            </w:r>
            <w:proofErr w:type="spellStart"/>
            <w:r>
              <w:t>Шальчининкай</w:t>
            </w:r>
            <w:proofErr w:type="spellEnd"/>
            <w:r>
              <w:t>/</w:t>
            </w:r>
            <w:r>
              <w:br/>
              <w:t xml:space="preserve">Бенякони (есть еще три других пограничных контрольно-пропускных пункта, но уровень перевозок через эти пункты более низкий). Показатель ААДТ первого пункта составляет 2 343 автомобиля, из которых 506 – большегрузные транспортные средства. Показатель ААДТ второго пункта составляет 1 341 автомобиль, из которых 374 – большегрузные транспортные средства. Исходя из предположения о том, что все коммерческие перевозки грузов осуществляются большегрузными транспортными средствами и что трансграничные коммерческие перевозки соразмерны с пропускной способностью каждого пограничного пункта пропуска, о чем сообщило правительство </w:t>
            </w:r>
            <w:r>
              <w:lastRenderedPageBreak/>
              <w:t xml:space="preserve">Беларуси (поскольку некоторые из небольших пограничных пунктов также обслуживают грузовые автомобили), можно сделать вывод о том, что в 2015 году на пограничный пункт Мядининкай/Каменный Лог пришлось 120 млн евро импорта из Беларуси в Литву, а </w:t>
            </w:r>
            <w:proofErr w:type="spellStart"/>
            <w:r>
              <w:t>Шальчининкай</w:t>
            </w:r>
            <w:proofErr w:type="spellEnd"/>
            <w:r>
              <w:t>/Бенякони – 60 млн евро.</w:t>
            </w:r>
          </w:p>
        </w:tc>
      </w:tr>
      <w:tr w:rsidR="008D4DAC" w:rsidTr="002822B7">
        <w:trPr>
          <w:jc w:val="center"/>
        </w:trPr>
        <w:tc>
          <w:tcPr>
            <w:tcW w:w="7654" w:type="dxa"/>
            <w:tcBorders>
              <w:top w:val="nil"/>
              <w:bottom w:val="single" w:sz="4" w:space="0" w:color="auto"/>
            </w:tcBorders>
            <w:tcMar>
              <w:top w:w="0" w:type="dxa"/>
              <w:left w:w="142" w:type="dxa"/>
              <w:bottom w:w="0" w:type="dxa"/>
              <w:right w:w="142" w:type="dxa"/>
            </w:tcMar>
          </w:tcPr>
          <w:p w:rsidR="008D4DAC" w:rsidRDefault="008D4DAC" w:rsidP="002822B7">
            <w:pPr>
              <w:spacing w:line="20" w:lineRule="exact"/>
              <w:jc w:val="both"/>
              <w:rPr>
                <w:b/>
                <w:bCs/>
              </w:rPr>
            </w:pPr>
          </w:p>
        </w:tc>
      </w:tr>
    </w:tbl>
    <w:p w:rsidR="00411DBC" w:rsidRPr="00437EC7" w:rsidRDefault="00411DBC" w:rsidP="00411DBC">
      <w:pPr>
        <w:keepNext/>
        <w:keepLines/>
        <w:spacing w:before="240" w:after="120"/>
        <w:ind w:left="1134" w:right="1134"/>
        <w:jc w:val="both"/>
        <w:rPr>
          <w:b/>
        </w:rPr>
      </w:pPr>
      <w:r>
        <w:rPr>
          <w:b/>
          <w:bCs/>
        </w:rPr>
        <w:t>Снимок экрана из обследования дорог категории Е в 2015 году карт</w:t>
      </w:r>
      <w:r w:rsidR="006D1E86">
        <w:rPr>
          <w:b/>
          <w:bCs/>
        </w:rPr>
        <w:t>ы</w:t>
      </w:r>
      <w:r>
        <w:rPr>
          <w:b/>
          <w:bCs/>
        </w:rPr>
        <w:t xml:space="preserve"> движения в</w:t>
      </w:r>
      <w:r w:rsidR="00774D5B">
        <w:rPr>
          <w:b/>
          <w:bCs/>
        </w:rPr>
        <w:t> </w:t>
      </w:r>
      <w:r>
        <w:rPr>
          <w:b/>
          <w:bCs/>
        </w:rPr>
        <w:t>районе границы между Литвой и Беларусью</w:t>
      </w:r>
    </w:p>
    <w:p w:rsidR="00411DBC" w:rsidRDefault="00411DBC" w:rsidP="00411DBC">
      <w:pPr>
        <w:pStyle w:val="SingleTxtG"/>
        <w:spacing w:after="240"/>
        <w:rPr>
          <w:noProof/>
          <w:lang w:val="ru-RU"/>
        </w:rPr>
      </w:pPr>
      <w:r w:rsidRPr="009E7B22">
        <w:rPr>
          <w:noProof/>
          <w:lang w:val="ru-RU" w:eastAsia="ru-RU"/>
        </w:rPr>
        <w:drawing>
          <wp:inline distT="0" distB="0" distL="0" distR="0" wp14:anchorId="6E2EB2AB" wp14:editId="10892C6E">
            <wp:extent cx="4738977" cy="3241344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87" cy="32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  <w:t xml:space="preserve">По согласованию с </w:t>
      </w:r>
      <w:proofErr w:type="spellStart"/>
      <w:r>
        <w:rPr>
          <w:lang w:val="ru-RU"/>
        </w:rPr>
        <w:t>Евростатом</w:t>
      </w:r>
      <w:proofErr w:type="spellEnd"/>
      <w:r>
        <w:rPr>
          <w:lang w:val="ru-RU"/>
        </w:rPr>
        <w:t xml:space="preserve"> WP.6 уже в течение некоторого времени признает необходимость улучшения статистики автобусного сообщения, в результате чего на сессии 2018 года она решила придать своей многолетней работе по экспериментальному сбору данных постоянный характер (см. ECE/TRANS/WP.6/175, пункт 45). В ходе обсуждений (и как свидетельствуют собранные данные) многие государства-члены отмечают, что сбор точной информации о </w:t>
      </w:r>
      <w:r w:rsidRPr="006D1E86">
        <w:rPr>
          <w:b/>
          <w:lang w:val="ru-RU"/>
        </w:rPr>
        <w:t xml:space="preserve">международных </w:t>
      </w:r>
      <w:r w:rsidR="00774D5B" w:rsidRPr="006D1E86">
        <w:rPr>
          <w:b/>
          <w:lang w:val="ru-RU"/>
        </w:rPr>
        <w:t>перевозках</w:t>
      </w:r>
      <w:r w:rsidRPr="006D1E86">
        <w:rPr>
          <w:b/>
          <w:lang w:val="ru-RU"/>
        </w:rPr>
        <w:t xml:space="preserve"> в автобусном сообщении</w:t>
      </w:r>
      <w:r>
        <w:rPr>
          <w:lang w:val="ru-RU"/>
        </w:rPr>
        <w:t xml:space="preserve"> и/или </w:t>
      </w:r>
      <w:r w:rsidR="00774D5B">
        <w:rPr>
          <w:lang w:val="ru-RU"/>
        </w:rPr>
        <w:t>распределение</w:t>
      </w:r>
      <w:r>
        <w:rPr>
          <w:lang w:val="ru-RU"/>
        </w:rPr>
        <w:t xml:space="preserve"> данных между национальны</w:t>
      </w:r>
      <w:r w:rsidR="006D1E86">
        <w:rPr>
          <w:lang w:val="ru-RU"/>
        </w:rPr>
        <w:t>ми и международными перевозками</w:t>
      </w:r>
      <w:r>
        <w:rPr>
          <w:lang w:val="ru-RU"/>
        </w:rPr>
        <w:t xml:space="preserve"> все еще остается сложной задачей. В настоящее время данные обследования ААДТ отражаются в разбивке по категориям транспортных средств для каждой дороги категории Е (с указанием усредненного значения по всей ее длине). Данные по конкретному значению ААДТ для автобусов </w:t>
      </w:r>
      <w:r w:rsidR="00774D5B">
        <w:rPr>
          <w:lang w:val="ru-RU"/>
        </w:rPr>
        <w:br/>
      </w:r>
      <w:r>
        <w:rPr>
          <w:lang w:val="ru-RU"/>
        </w:rPr>
        <w:t xml:space="preserve">(в обследовании </w:t>
      </w:r>
      <w:r w:rsidR="00774D5B">
        <w:rPr>
          <w:lang w:val="ru-RU"/>
        </w:rPr>
        <w:t>–</w:t>
      </w:r>
      <w:r>
        <w:rPr>
          <w:lang w:val="ru-RU"/>
        </w:rPr>
        <w:t xml:space="preserve"> транспортные средства категории D) на участке пересечения границы позволили бы придать работе по отслеживанию автобусных </w:t>
      </w:r>
      <w:r w:rsidR="00774D5B">
        <w:rPr>
          <w:lang w:val="ru-RU"/>
        </w:rPr>
        <w:t>перевозок</w:t>
      </w:r>
      <w:r>
        <w:rPr>
          <w:lang w:val="ru-RU"/>
        </w:rPr>
        <w:t xml:space="preserve"> в международном сообщении реальную ценность. Этот момент не был включен в вопросник обследования в 2015 году, но был включен в вопросник 2020 года.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  <w:t xml:space="preserve">Благодаря повышению детализации статистики дорожно-транспортных происшествий, в частности геопространственных данных о местах ДТП, визуальное отображение данных обследования можно было бы использовать для </w:t>
      </w:r>
      <w:r>
        <w:rPr>
          <w:b/>
          <w:bCs/>
          <w:lang w:val="ru-RU"/>
        </w:rPr>
        <w:t>выявления «горячих точек» дорожно-транспортных происшествий</w:t>
      </w:r>
      <w:r w:rsidR="006D1E86">
        <w:rPr>
          <w:lang w:val="ru-RU"/>
        </w:rPr>
        <w:t xml:space="preserve"> (и</w:t>
      </w:r>
      <w:r>
        <w:rPr>
          <w:lang w:val="ru-RU"/>
        </w:rPr>
        <w:t xml:space="preserve"> наоборот, наиболее эффективных участков) на дорогах международного значения с точки зрения количества погибших (или раненых) в расчете на транспортное средство в год. Это</w:t>
      </w:r>
      <w:r w:rsidR="00774D5B">
        <w:rPr>
          <w:lang w:val="ru-RU"/>
        </w:rPr>
        <w:t> </w:t>
      </w:r>
      <w:r>
        <w:rPr>
          <w:lang w:val="ru-RU"/>
        </w:rPr>
        <w:t>позволило бы получить более полезный критерий мониторинга дорожно-транспортных происшествий, чем простое сравнение состояния дорог с точки зрения общего числа погибших (или раненых).</w:t>
      </w:r>
    </w:p>
    <w:p w:rsidR="00411DBC" w:rsidRPr="00437EC7" w:rsidRDefault="00774D5B" w:rsidP="00411DBC">
      <w:pPr>
        <w:pStyle w:val="HChG"/>
        <w:rPr>
          <w:lang w:val="ru-RU"/>
        </w:rPr>
      </w:pPr>
      <w:r>
        <w:rPr>
          <w:lang w:val="ru-RU"/>
        </w:rPr>
        <w:lastRenderedPageBreak/>
        <w:tab/>
      </w:r>
      <w:r w:rsidR="00411DBC">
        <w:rPr>
          <w:lang w:val="ru-RU"/>
        </w:rPr>
        <w:t>III.</w:t>
      </w:r>
      <w:r w:rsidR="00411DBC">
        <w:rPr>
          <w:lang w:val="ru-RU"/>
        </w:rPr>
        <w:tab/>
      </w:r>
      <w:r w:rsidR="00411DBC">
        <w:rPr>
          <w:bCs/>
          <w:lang w:val="ru-RU"/>
        </w:rPr>
        <w:t>Осуществление целей в области устойчивого развития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  <w:t xml:space="preserve">Эти геопространственные данные станут полезным дополнением к мониторингу достижения целей в области устойчивого развития. Как отмечалось выше, эта перепись позволит </w:t>
      </w:r>
      <w:r w:rsidR="00774D5B">
        <w:rPr>
          <w:lang w:val="ru-RU"/>
        </w:rPr>
        <w:t>непосредственно</w:t>
      </w:r>
      <w:r>
        <w:rPr>
          <w:lang w:val="ru-RU"/>
        </w:rPr>
        <w:t xml:space="preserve"> измерить показатель 9.1.2 по объемам пассажирских и грузовых перевозок, а также выявить те участки сети E, которые </w:t>
      </w:r>
      <w:r w:rsidR="00774D5B">
        <w:rPr>
          <w:lang w:val="ru-RU"/>
        </w:rPr>
        <w:t>«</w:t>
      </w:r>
      <w:r>
        <w:rPr>
          <w:lang w:val="ru-RU"/>
        </w:rPr>
        <w:t>работают</w:t>
      </w:r>
      <w:r w:rsidR="00774D5B">
        <w:rPr>
          <w:lang w:val="ru-RU"/>
        </w:rPr>
        <w:t>»</w:t>
      </w:r>
      <w:r>
        <w:rPr>
          <w:lang w:val="ru-RU"/>
        </w:rPr>
        <w:t xml:space="preserve"> хорошо с точки зрения дорожно-транспортных происшествий, и те, которые </w:t>
      </w:r>
      <w:r w:rsidR="00774D5B">
        <w:rPr>
          <w:lang w:val="ru-RU"/>
        </w:rPr>
        <w:t>«</w:t>
      </w:r>
      <w:r>
        <w:rPr>
          <w:lang w:val="ru-RU"/>
        </w:rPr>
        <w:t>работают</w:t>
      </w:r>
      <w:r w:rsidR="00774D5B">
        <w:rPr>
          <w:lang w:val="ru-RU"/>
        </w:rPr>
        <w:t>»</w:t>
      </w:r>
      <w:r>
        <w:rPr>
          <w:lang w:val="ru-RU"/>
        </w:rPr>
        <w:t xml:space="preserve"> плохо,</w:t>
      </w:r>
      <w:r w:rsidR="006D1E86">
        <w:rPr>
          <w:lang w:val="ru-RU"/>
        </w:rPr>
        <w:t xml:space="preserve"> (показатель 3.6.1). Группа WP.</w:t>
      </w:r>
      <w:r>
        <w:rPr>
          <w:lang w:val="ru-RU"/>
        </w:rPr>
        <w:t xml:space="preserve">6 приступила к сотрудничеству с Генеральным директоратом по мобильности и транспорту </w:t>
      </w:r>
      <w:r w:rsidR="00774D5B">
        <w:rPr>
          <w:lang w:val="ru-RU"/>
        </w:rPr>
        <w:br/>
      </w:r>
      <w:r>
        <w:rPr>
          <w:lang w:val="ru-RU"/>
        </w:rPr>
        <w:t>(ГД МОТР) Европейской комиссии в целях объединения данных этого обследования дорожного движения с данными ГД МОТР, которые касаются дорожно-транспортных происшествий, что позволит лучше понять ситуацию в этой области.</w:t>
      </w:r>
    </w:p>
    <w:p w:rsidR="00411DBC" w:rsidRPr="00437EC7" w:rsidRDefault="00774D5B" w:rsidP="00411DBC">
      <w:pPr>
        <w:pStyle w:val="HChG"/>
        <w:rPr>
          <w:lang w:val="ru-RU"/>
        </w:rPr>
      </w:pPr>
      <w:r>
        <w:rPr>
          <w:lang w:val="ru-RU"/>
        </w:rPr>
        <w:tab/>
      </w:r>
      <w:r w:rsidR="00411DBC">
        <w:rPr>
          <w:lang w:val="ru-RU"/>
        </w:rPr>
        <w:t>IV.</w:t>
      </w:r>
      <w:r w:rsidR="00411DBC">
        <w:rPr>
          <w:lang w:val="ru-RU"/>
        </w:rPr>
        <w:tab/>
      </w:r>
      <w:r w:rsidR="00411DBC">
        <w:rPr>
          <w:bCs/>
          <w:lang w:val="ru-RU"/>
        </w:rPr>
        <w:t>Выводы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13.</w:t>
      </w:r>
      <w:r>
        <w:rPr>
          <w:lang w:val="ru-RU"/>
        </w:rPr>
        <w:tab/>
        <w:t xml:space="preserve">Ожидается, что обследование движения по дорогам категории Е будет и впредь обеспечивать более полную картину дорожного движения по сети дорог категории Е, но ценность </w:t>
      </w:r>
      <w:r w:rsidR="006D1E86">
        <w:rPr>
          <w:lang w:val="ru-RU"/>
        </w:rPr>
        <w:t>этой работы существенно повысит</w:t>
      </w:r>
      <w:r>
        <w:rPr>
          <w:lang w:val="ru-RU"/>
        </w:rPr>
        <w:t>ся, если многие другие государства-члены смогут предоставлять результаты в виде файлов ГИС (предпочтительно в формате «</w:t>
      </w:r>
      <w:proofErr w:type="spellStart"/>
      <w:r>
        <w:rPr>
          <w:lang w:val="ru-RU"/>
        </w:rPr>
        <w:t>Шейп</w:t>
      </w:r>
      <w:proofErr w:type="spellEnd"/>
      <w:r>
        <w:rPr>
          <w:lang w:val="ru-RU"/>
        </w:rPr>
        <w:t xml:space="preserve">-файл»). Данные в разбивке по различным типам транспортных средств позволили бы еще больше расширить возможности такого анализа. Сокращение с течением времени числа государств-членов, представляющих данные в рамках этого обследования, вызывает определенную озабоченность, в связи с чем Комитет, возможно, пожелает </w:t>
      </w:r>
      <w:r>
        <w:rPr>
          <w:b/>
          <w:bCs/>
          <w:lang w:val="ru-RU"/>
        </w:rPr>
        <w:t xml:space="preserve">рекомендовать </w:t>
      </w:r>
      <w:r>
        <w:rPr>
          <w:lang w:val="ru-RU"/>
        </w:rPr>
        <w:t>своим членам рассматривать предоставление этих данных в качестве одной из приоритетных задач.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14.</w:t>
      </w:r>
      <w:r>
        <w:rPr>
          <w:lang w:val="ru-RU"/>
        </w:rPr>
        <w:tab/>
        <w:t xml:space="preserve">Обследование движения на </w:t>
      </w:r>
      <w:r w:rsidR="00774D5B">
        <w:rPr>
          <w:lang w:val="ru-RU"/>
        </w:rPr>
        <w:t>дорогах</w:t>
      </w:r>
      <w:r>
        <w:rPr>
          <w:lang w:val="ru-RU"/>
        </w:rPr>
        <w:t xml:space="preserve"> категории Е, в частности отображение данных этого обследования в визуальной форме, имеет важное значение по причинам, которые изложены выше и которые включают, в частности, мониторинг достижения целей в области устойчивого развития, а также использование геопространственных данных для оценки достижения этих целей.</w:t>
      </w:r>
    </w:p>
    <w:p w:rsidR="00411DBC" w:rsidRPr="00437EC7" w:rsidRDefault="00411DBC" w:rsidP="00411DBC">
      <w:pPr>
        <w:pStyle w:val="SingleTxtG"/>
        <w:rPr>
          <w:lang w:val="ru-RU"/>
        </w:rPr>
      </w:pPr>
      <w:r>
        <w:rPr>
          <w:lang w:val="ru-RU"/>
        </w:rPr>
        <w:t>15.</w:t>
      </w:r>
      <w:r>
        <w:rPr>
          <w:lang w:val="ru-RU"/>
        </w:rPr>
        <w:tab/>
        <w:t xml:space="preserve">Государствам-членам </w:t>
      </w:r>
      <w:r>
        <w:rPr>
          <w:b/>
          <w:bCs/>
          <w:lang w:val="ru-RU"/>
        </w:rPr>
        <w:t>настоятельно рекомендуется</w:t>
      </w:r>
      <w:r>
        <w:rPr>
          <w:lang w:val="ru-RU"/>
        </w:rPr>
        <w:t xml:space="preserve"> </w:t>
      </w:r>
      <w:r>
        <w:rPr>
          <w:b/>
          <w:bCs/>
          <w:lang w:val="ru-RU"/>
        </w:rPr>
        <w:t>принять к сведению</w:t>
      </w:r>
      <w:r>
        <w:rPr>
          <w:lang w:val="ru-RU"/>
        </w:rPr>
        <w:t xml:space="preserve"> результаты обследовани</w:t>
      </w:r>
      <w:r w:rsidR="006D1E86">
        <w:rPr>
          <w:lang w:val="ru-RU"/>
        </w:rPr>
        <w:t>я дорог категории Е в 2020 году</w:t>
      </w:r>
      <w:r>
        <w:rPr>
          <w:lang w:val="ru-RU"/>
        </w:rPr>
        <w:t xml:space="preserve"> и рекомендации, изложенные в документе ECE/TRANS/WP.6/2018/11, и </w:t>
      </w:r>
      <w:r>
        <w:rPr>
          <w:b/>
          <w:bCs/>
          <w:lang w:val="ru-RU"/>
        </w:rPr>
        <w:t>одобрить</w:t>
      </w:r>
      <w:r>
        <w:rPr>
          <w:lang w:val="ru-RU"/>
        </w:rPr>
        <w:t xml:space="preserve"> содержащийся в нем проект резолюции.</w:t>
      </w:r>
    </w:p>
    <w:p w:rsidR="00411DBC" w:rsidRDefault="00411DBC" w:rsidP="00774D5B">
      <w:pPr>
        <w:pStyle w:val="SingleTxtG"/>
      </w:pPr>
      <w:r>
        <w:rPr>
          <w:lang w:val="ru-RU"/>
        </w:rPr>
        <w:t>16.</w:t>
      </w:r>
      <w:r>
        <w:rPr>
          <w:lang w:val="ru-RU"/>
        </w:rPr>
        <w:tab/>
        <w:t xml:space="preserve">Основное внимание в настоящем документе уделяется обследованию движения на дорогах категории Е, однако при этом имеются аналогичные преимущества и в плане получения геопространственных данных посредством проведения соответствующего обследования на железных дорогах категории Е, таких как измерение объема перевозок, выявление возможностей переключения перевозок с одного вида транспорта на другой и мониторинг евро-азиатских транспортных связей. Комитету предлагается </w:t>
      </w:r>
      <w:r>
        <w:rPr>
          <w:b/>
          <w:bCs/>
          <w:lang w:val="ru-RU"/>
        </w:rPr>
        <w:t>также рассмотреть в приоритетном порядке</w:t>
      </w:r>
      <w:r>
        <w:rPr>
          <w:lang w:val="ru-RU"/>
        </w:rPr>
        <w:t xml:space="preserve"> вопрос о предоставлении данных путем проведения соответствующего обследования на железных дорогах.</w:t>
      </w:r>
    </w:p>
    <w:p w:rsidR="00E12C5F" w:rsidRPr="00774D5B" w:rsidRDefault="00774D5B" w:rsidP="00774D5B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774D5B" w:rsidSect="00411DBC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284" w:rsidRPr="00A312BC" w:rsidRDefault="00470284" w:rsidP="00A312BC"/>
  </w:endnote>
  <w:endnote w:type="continuationSeparator" w:id="0">
    <w:p w:rsidR="00470284" w:rsidRPr="00A312BC" w:rsidRDefault="00470284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BC" w:rsidRPr="00411DBC" w:rsidRDefault="00411DBC">
    <w:pPr>
      <w:pStyle w:val="a8"/>
    </w:pPr>
    <w:r w:rsidRPr="00411DBC">
      <w:rPr>
        <w:b/>
        <w:sz w:val="18"/>
      </w:rPr>
      <w:fldChar w:fldCharType="begin"/>
    </w:r>
    <w:r w:rsidRPr="00411DBC">
      <w:rPr>
        <w:b/>
        <w:sz w:val="18"/>
      </w:rPr>
      <w:instrText xml:space="preserve"> PAGE  \* MERGEFORMAT </w:instrText>
    </w:r>
    <w:r w:rsidRPr="00411DBC">
      <w:rPr>
        <w:b/>
        <w:sz w:val="18"/>
      </w:rPr>
      <w:fldChar w:fldCharType="separate"/>
    </w:r>
    <w:r w:rsidR="00CE4B16">
      <w:rPr>
        <w:b/>
        <w:noProof/>
        <w:sz w:val="18"/>
      </w:rPr>
      <w:t>4</w:t>
    </w:r>
    <w:r w:rsidRPr="00411DBC">
      <w:rPr>
        <w:b/>
        <w:sz w:val="18"/>
      </w:rPr>
      <w:fldChar w:fldCharType="end"/>
    </w:r>
    <w:r>
      <w:rPr>
        <w:b/>
        <w:sz w:val="18"/>
      </w:rPr>
      <w:tab/>
    </w:r>
    <w:r>
      <w:t>GE.18-20650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BC" w:rsidRPr="00411DBC" w:rsidRDefault="00411DBC" w:rsidP="00411DBC">
    <w:pPr>
      <w:pStyle w:val="a8"/>
      <w:tabs>
        <w:tab w:val="clear" w:pos="9639"/>
        <w:tab w:val="right" w:pos="9638"/>
      </w:tabs>
      <w:rPr>
        <w:b/>
        <w:sz w:val="18"/>
      </w:rPr>
    </w:pPr>
    <w:r>
      <w:t>GE.18-20650</w:t>
    </w:r>
    <w:r>
      <w:tab/>
    </w:r>
    <w:r w:rsidRPr="00411DBC">
      <w:rPr>
        <w:b/>
        <w:sz w:val="18"/>
      </w:rPr>
      <w:fldChar w:fldCharType="begin"/>
    </w:r>
    <w:r w:rsidRPr="00411DBC">
      <w:rPr>
        <w:b/>
        <w:sz w:val="18"/>
      </w:rPr>
      <w:instrText xml:space="preserve"> PAGE  \* MERGEFORMAT </w:instrText>
    </w:r>
    <w:r w:rsidRPr="00411DBC">
      <w:rPr>
        <w:b/>
        <w:sz w:val="18"/>
      </w:rPr>
      <w:fldChar w:fldCharType="separate"/>
    </w:r>
    <w:r w:rsidR="00CE4B16">
      <w:rPr>
        <w:b/>
        <w:noProof/>
        <w:sz w:val="18"/>
      </w:rPr>
      <w:t>5</w:t>
    </w:r>
    <w:r w:rsidRPr="00411DB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B72" w:rsidRPr="00411DBC" w:rsidRDefault="00411DBC" w:rsidP="00411DBC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18-</w:t>
    </w:r>
    <w:proofErr w:type="gramStart"/>
    <w:r>
      <w:t>20650  (</w:t>
    </w:r>
    <w:proofErr w:type="gramEnd"/>
    <w:r>
      <w:t>R)</w:t>
    </w:r>
    <w:r w:rsidR="00774D5B">
      <w:rPr>
        <w:lang w:val="en-US"/>
      </w:rPr>
      <w:t xml:space="preserve">  241218  261218</w:t>
    </w:r>
    <w:r>
      <w:br/>
    </w:r>
    <w:r w:rsidRPr="00411DBC">
      <w:rPr>
        <w:rFonts w:ascii="C39T30Lfz" w:hAnsi="C39T30Lfz"/>
        <w:kern w:val="14"/>
        <w:sz w:val="56"/>
      </w:rPr>
      <w:t></w:t>
    </w:r>
    <w:r w:rsidRPr="00411DBC">
      <w:rPr>
        <w:rFonts w:ascii="C39T30Lfz" w:hAnsi="C39T30Lfz"/>
        <w:kern w:val="14"/>
        <w:sz w:val="56"/>
      </w:rPr>
      <w:t></w:t>
    </w:r>
    <w:r w:rsidRPr="00411DBC">
      <w:rPr>
        <w:rFonts w:ascii="C39T30Lfz" w:hAnsi="C39T30Lfz"/>
        <w:kern w:val="14"/>
        <w:sz w:val="56"/>
      </w:rPr>
      <w:t></w:t>
    </w:r>
    <w:r w:rsidRPr="00411DBC">
      <w:rPr>
        <w:rFonts w:ascii="C39T30Lfz" w:hAnsi="C39T30Lfz"/>
        <w:kern w:val="14"/>
        <w:sz w:val="56"/>
      </w:rPr>
      <w:t></w:t>
    </w:r>
    <w:r w:rsidRPr="00411DBC">
      <w:rPr>
        <w:rFonts w:ascii="C39T30Lfz" w:hAnsi="C39T30Lfz"/>
        <w:kern w:val="14"/>
        <w:sz w:val="56"/>
      </w:rPr>
      <w:t></w:t>
    </w:r>
    <w:r w:rsidRPr="00411DBC">
      <w:rPr>
        <w:rFonts w:ascii="C39T30Lfz" w:hAnsi="C39T30Lfz"/>
        <w:kern w:val="14"/>
        <w:sz w:val="56"/>
      </w:rPr>
      <w:t></w:t>
    </w:r>
    <w:r w:rsidRPr="00411DBC">
      <w:rPr>
        <w:rFonts w:ascii="C39T30Lfz" w:hAnsi="C39T30Lfz"/>
        <w:kern w:val="14"/>
        <w:sz w:val="56"/>
      </w:rPr>
      <w:t></w:t>
    </w:r>
    <w:r w:rsidRPr="00411DBC">
      <w:rPr>
        <w:rFonts w:ascii="C39T30Lfz" w:hAnsi="C39T30Lfz"/>
        <w:kern w:val="14"/>
        <w:sz w:val="56"/>
      </w:rPr>
      <w:t></w:t>
    </w:r>
    <w:r w:rsidRPr="00411DBC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2019/20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2019/20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284" w:rsidRPr="001075E9" w:rsidRDefault="00470284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470284" w:rsidRDefault="00470284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BC" w:rsidRPr="00411DBC" w:rsidRDefault="00CE4B16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ECE/TRANS/2019/20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BC" w:rsidRPr="00411DBC" w:rsidRDefault="00CE4B16" w:rsidP="00411DBC">
    <w:pPr>
      <w:pStyle w:val="a5"/>
      <w:jc w:val="right"/>
    </w:pPr>
    <w:r>
      <w:fldChar w:fldCharType="begin"/>
    </w:r>
    <w:r>
      <w:instrText xml:space="preserve"> </w:instrText>
    </w:r>
    <w:r>
      <w:instrText xml:space="preserve">TITLE  \* MERGEFORMAT </w:instrText>
    </w:r>
    <w:r>
      <w:fldChar w:fldCharType="separate"/>
    </w:r>
    <w:r>
      <w:t>ECE/TRANS/2019/20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2"/>
  </w:num>
  <w:num w:numId="18">
    <w:abstractNumId w:val="14"/>
  </w:num>
  <w:num w:numId="19">
    <w:abstractNumId w:val="16"/>
  </w:num>
  <w:num w:numId="20">
    <w:abstractNumId w:val="12"/>
  </w:num>
  <w:num w:numId="21">
    <w:abstractNumId w:val="14"/>
  </w:num>
  <w:num w:numId="22">
    <w:abstractNumId w:val="15"/>
    <w:lvlOverride w:ilvl="0">
      <w:lvl w:ilvl="0" w:tplc="8C4849AC">
        <w:start w:val="1"/>
        <w:numFmt w:val="bullet"/>
        <w:pStyle w:val="Bullet1G"/>
        <w:lvlText w:val="•"/>
        <w:lvlJc w:val="left"/>
        <w:pPr>
          <w:tabs>
            <w:tab w:val="num" w:pos="1701"/>
          </w:tabs>
          <w:ind w:left="1701" w:hanging="170"/>
        </w:pPr>
        <w:rPr>
          <w:rFonts w:ascii="Times New Roman" w:hAnsi="Times New Roman" w:cs="Times New Roman" w:hint="default"/>
          <w:b w:val="0"/>
          <w:i w:val="0"/>
          <w:sz w:val="20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84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822B7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407B78"/>
    <w:rsid w:val="00411DBC"/>
    <w:rsid w:val="00424203"/>
    <w:rsid w:val="00452493"/>
    <w:rsid w:val="00453318"/>
    <w:rsid w:val="00454AF2"/>
    <w:rsid w:val="00454E07"/>
    <w:rsid w:val="00470284"/>
    <w:rsid w:val="00472C5C"/>
    <w:rsid w:val="004E05B7"/>
    <w:rsid w:val="004F1936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1E86"/>
    <w:rsid w:val="006D461A"/>
    <w:rsid w:val="006F35EE"/>
    <w:rsid w:val="007021FF"/>
    <w:rsid w:val="00712895"/>
    <w:rsid w:val="00734ACB"/>
    <w:rsid w:val="00757357"/>
    <w:rsid w:val="00774D5B"/>
    <w:rsid w:val="00792497"/>
    <w:rsid w:val="007D1364"/>
    <w:rsid w:val="00806737"/>
    <w:rsid w:val="00825F8D"/>
    <w:rsid w:val="00834B71"/>
    <w:rsid w:val="0086445C"/>
    <w:rsid w:val="00894693"/>
    <w:rsid w:val="008A08D7"/>
    <w:rsid w:val="008A37C8"/>
    <w:rsid w:val="008B6909"/>
    <w:rsid w:val="008D4DAC"/>
    <w:rsid w:val="008D53B6"/>
    <w:rsid w:val="008F7609"/>
    <w:rsid w:val="00906890"/>
    <w:rsid w:val="00911BE4"/>
    <w:rsid w:val="00951972"/>
    <w:rsid w:val="009608F3"/>
    <w:rsid w:val="00984A01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805C9"/>
    <w:rsid w:val="00C92939"/>
    <w:rsid w:val="00CA1679"/>
    <w:rsid w:val="00CB151C"/>
    <w:rsid w:val="00CE4B16"/>
    <w:rsid w:val="00CE5A1A"/>
    <w:rsid w:val="00CF55F6"/>
    <w:rsid w:val="00D33D63"/>
    <w:rsid w:val="00D5253A"/>
    <w:rsid w:val="00D873A8"/>
    <w:rsid w:val="00D90028"/>
    <w:rsid w:val="00D90138"/>
    <w:rsid w:val="00DD78D1"/>
    <w:rsid w:val="00DE32CD"/>
    <w:rsid w:val="00DF5767"/>
    <w:rsid w:val="00DF71B9"/>
    <w:rsid w:val="00E12C5F"/>
    <w:rsid w:val="00E17E19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70959D9-9443-4D85-84B6-2B03FF90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sid w:val="009C59D7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R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a"/>
    <w:qFormat/>
    <w:rsid w:val="00617A4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a"/>
    <w:next w:val="a"/>
    <w:qFormat/>
    <w:rsid w:val="00617A43"/>
    <w:pPr>
      <w:numPr>
        <w:numId w:val="21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R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R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R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R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R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R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R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984A01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R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R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R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uiPriority w:val="99"/>
    <w:unhideWhenUsed/>
    <w:rsid w:val="00617A43"/>
    <w:rPr>
      <w:color w:val="0000FF" w:themeColor="hyperlink"/>
      <w:u w:val="none"/>
    </w:rPr>
  </w:style>
  <w:style w:type="character" w:styleId="af2">
    <w:name w:val="FollowedHyperlink"/>
    <w:basedOn w:val="a0"/>
    <w:uiPriority w:val="99"/>
    <w:semiHidden/>
    <w:unhideWhenUsed/>
    <w:rsid w:val="00617A43"/>
    <w:rPr>
      <w:color w:val="800080" w:themeColor="followedHyperlink"/>
      <w:u w:val="none"/>
    </w:rPr>
  </w:style>
  <w:style w:type="paragraph" w:customStyle="1" w:styleId="SingleTxtG">
    <w:name w:val="_ Single Txt_G"/>
    <w:basedOn w:val="a"/>
    <w:link w:val="SingleTxtGChar"/>
    <w:rsid w:val="00411DBC"/>
    <w:pPr>
      <w:spacing w:after="120"/>
      <w:ind w:left="1134" w:right="1134"/>
      <w:jc w:val="both"/>
    </w:pPr>
    <w:rPr>
      <w:rFonts w:eastAsia="Times New Roman" w:cs="Times New Roman"/>
      <w:szCs w:val="20"/>
      <w:lang w:val="en-GB"/>
    </w:rPr>
  </w:style>
  <w:style w:type="paragraph" w:customStyle="1" w:styleId="HChG">
    <w:name w:val="_ H _Ch_G"/>
    <w:basedOn w:val="a"/>
    <w:next w:val="a"/>
    <w:rsid w:val="00411DB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val="en-GB"/>
    </w:rPr>
  </w:style>
  <w:style w:type="paragraph" w:customStyle="1" w:styleId="Bullet1G">
    <w:name w:val="_Bullet 1_G"/>
    <w:basedOn w:val="a"/>
    <w:rsid w:val="00411DBC"/>
    <w:pPr>
      <w:numPr>
        <w:numId w:val="22"/>
      </w:numPr>
      <w:spacing w:after="120"/>
      <w:ind w:right="1134"/>
      <w:jc w:val="both"/>
    </w:pPr>
    <w:rPr>
      <w:rFonts w:eastAsia="Times New Roman" w:cs="Times New Roman"/>
      <w:szCs w:val="20"/>
      <w:lang w:val="en-GB"/>
    </w:rPr>
  </w:style>
  <w:style w:type="paragraph" w:customStyle="1" w:styleId="H1G">
    <w:name w:val="_ H_1_G"/>
    <w:basedOn w:val="a"/>
    <w:next w:val="a"/>
    <w:rsid w:val="00411DB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val="en-GB"/>
    </w:rPr>
  </w:style>
  <w:style w:type="character" w:customStyle="1" w:styleId="SingleTxtGChar">
    <w:name w:val="_ Single Txt_G Char"/>
    <w:link w:val="SingleTxtG"/>
    <w:rsid w:val="00411DBC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F43A5-8BC6-484C-981E-90CF45EBD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5</Pages>
  <Words>1786</Words>
  <Characters>12639</Characters>
  <Application>Microsoft Office Word</Application>
  <DocSecurity>0</DocSecurity>
  <Lines>224</Lines>
  <Paragraphs>44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ECE/TRANS/2019/20</vt:lpstr>
      <vt:lpstr>A/</vt:lpstr>
      <vt:lpstr>A/</vt:lpstr>
    </vt:vector>
  </TitlesOfParts>
  <Company>DCM</Company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ECE/TRANS/2019/20</dc:title>
  <dc:subject/>
  <dc:creator>Tatiana SHARKINA</dc:creator>
  <cp:keywords/>
  <cp:lastModifiedBy>Tatiana Sharkina</cp:lastModifiedBy>
  <cp:revision>4</cp:revision>
  <cp:lastPrinted>2018-12-26T08:24:00Z</cp:lastPrinted>
  <dcterms:created xsi:type="dcterms:W3CDTF">2018-12-26T08:22:00Z</dcterms:created>
  <dcterms:modified xsi:type="dcterms:W3CDTF">2018-12-26T08:25:00Z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