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FC627D" w:rsidP="009E6CB7">
            <w:pPr>
              <w:spacing w:after="80" w:line="300" w:lineRule="exact"/>
              <w:rPr>
                <w:b/>
                <w:sz w:val="24"/>
                <w:szCs w:val="24"/>
              </w:rPr>
            </w:pPr>
            <w:r w:rsidRPr="00DB58B5">
              <w:rPr>
                <w:sz w:val="28"/>
              </w:rPr>
              <w:t xml:space="preserve">Nations </w:t>
            </w:r>
            <w:proofErr w:type="spellStart"/>
            <w:r w:rsidRPr="00DB58B5">
              <w:rPr>
                <w:sz w:val="28"/>
              </w:rPr>
              <w:t>Unies</w:t>
            </w:r>
            <w:proofErr w:type="spellEnd"/>
          </w:p>
        </w:tc>
        <w:tc>
          <w:tcPr>
            <w:tcW w:w="6095" w:type="dxa"/>
            <w:gridSpan w:val="2"/>
            <w:tcBorders>
              <w:bottom w:val="single" w:sz="4" w:space="0" w:color="auto"/>
            </w:tcBorders>
            <w:vAlign w:val="bottom"/>
          </w:tcPr>
          <w:p w:rsidR="009E6CB7" w:rsidRPr="00DE1FDF" w:rsidRDefault="003A5F98" w:rsidP="00557F5E">
            <w:pPr>
              <w:jc w:val="right"/>
              <w:rPr>
                <w:lang w:val="ru-RU"/>
              </w:rPr>
            </w:pPr>
            <w:r w:rsidRPr="003A5F98">
              <w:rPr>
                <w:sz w:val="40"/>
              </w:rPr>
              <w:t>ECE</w:t>
            </w:r>
            <w:r>
              <w:t>/TRANS/201</w:t>
            </w:r>
            <w:r w:rsidR="00DE1FDF">
              <w:rPr>
                <w:lang w:val="ru-RU"/>
              </w:rPr>
              <w:t>9</w:t>
            </w:r>
            <w:r>
              <w:t>/</w:t>
            </w:r>
            <w:r w:rsidR="00EF0BAE">
              <w:t>1</w:t>
            </w:r>
            <w:r w:rsidR="00557F5E">
              <w:t>5</w:t>
            </w:r>
          </w:p>
        </w:tc>
      </w:tr>
      <w:tr w:rsidR="009E6CB7" w:rsidRPr="00FC627D"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14:anchorId="76052E44" wp14:editId="3FCCE6D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FC627D" w:rsidP="009E6CB7">
            <w:pPr>
              <w:spacing w:before="120" w:line="420" w:lineRule="exact"/>
              <w:rPr>
                <w:sz w:val="40"/>
                <w:szCs w:val="40"/>
              </w:rPr>
            </w:pPr>
            <w:r w:rsidRPr="00FB77FF">
              <w:rPr>
                <w:b/>
                <w:sz w:val="40"/>
                <w:szCs w:val="40"/>
              </w:rPr>
              <w:t xml:space="preserve">Conseil </w:t>
            </w:r>
            <w:proofErr w:type="spellStart"/>
            <w:r w:rsidRPr="00FB77FF">
              <w:rPr>
                <w:b/>
                <w:sz w:val="40"/>
                <w:szCs w:val="40"/>
              </w:rPr>
              <w:t>économique</w:t>
            </w:r>
            <w:proofErr w:type="spellEnd"/>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C627D" w:rsidRPr="00FC627D" w:rsidRDefault="00FC627D" w:rsidP="00FC627D">
            <w:pPr>
              <w:spacing w:before="240"/>
              <w:rPr>
                <w:lang w:val="fr-CH"/>
              </w:rPr>
            </w:pPr>
            <w:proofErr w:type="spellStart"/>
            <w:r w:rsidRPr="00FC627D">
              <w:rPr>
                <w:lang w:val="fr-CH"/>
              </w:rPr>
              <w:t>Distr</w:t>
            </w:r>
            <w:proofErr w:type="spellEnd"/>
            <w:r w:rsidRPr="00FC627D">
              <w:rPr>
                <w:lang w:val="fr-CH"/>
              </w:rPr>
              <w:t>. générale</w:t>
            </w:r>
          </w:p>
          <w:p w:rsidR="00FC627D" w:rsidRPr="00FC627D" w:rsidRDefault="00C97014" w:rsidP="00FC627D">
            <w:pPr>
              <w:spacing w:line="240" w:lineRule="exact"/>
              <w:rPr>
                <w:lang w:val="fr-CH"/>
              </w:rPr>
            </w:pPr>
            <w:r>
              <w:rPr>
                <w:lang w:val="fr-CH"/>
              </w:rPr>
              <w:t>7</w:t>
            </w:r>
            <w:r w:rsidR="00FC627D">
              <w:rPr>
                <w:lang w:val="fr-CH"/>
              </w:rPr>
              <w:t xml:space="preserve"> d</w:t>
            </w:r>
            <w:r>
              <w:rPr>
                <w:lang w:val="fr-CH"/>
              </w:rPr>
              <w:t>é</w:t>
            </w:r>
            <w:r w:rsidR="00FC627D">
              <w:rPr>
                <w:lang w:val="fr-CH"/>
              </w:rPr>
              <w:t>cembre</w:t>
            </w:r>
            <w:r w:rsidR="00FC627D" w:rsidRPr="00FC627D">
              <w:rPr>
                <w:lang w:val="fr-CH"/>
              </w:rPr>
              <w:t xml:space="preserve"> 2018</w:t>
            </w:r>
          </w:p>
          <w:p w:rsidR="00FC627D" w:rsidRDefault="00FC627D" w:rsidP="00FC627D">
            <w:pPr>
              <w:spacing w:line="240" w:lineRule="exact"/>
              <w:rPr>
                <w:lang w:val="fr-CH"/>
              </w:rPr>
            </w:pPr>
            <w:r w:rsidRPr="00FC627D">
              <w:rPr>
                <w:lang w:val="fr-CH"/>
              </w:rPr>
              <w:t>Français</w:t>
            </w:r>
          </w:p>
          <w:p w:rsidR="003A5F98" w:rsidRPr="004F2584" w:rsidRDefault="003B2C95" w:rsidP="003A5F98">
            <w:pPr>
              <w:spacing w:line="240" w:lineRule="exact"/>
              <w:rPr>
                <w:lang w:val="ru-RU"/>
              </w:rPr>
            </w:pPr>
            <w:r>
              <w:t xml:space="preserve">Original: </w:t>
            </w:r>
            <w:proofErr w:type="spellStart"/>
            <w:r>
              <w:t>anglais</w:t>
            </w:r>
            <w:proofErr w:type="spellEnd"/>
            <w:r>
              <w:t xml:space="preserve">, </w:t>
            </w:r>
            <w:proofErr w:type="spellStart"/>
            <w:r>
              <w:t>français</w:t>
            </w:r>
            <w:proofErr w:type="spellEnd"/>
            <w:r>
              <w:t xml:space="preserve"> et russe</w:t>
            </w:r>
            <w:bookmarkStart w:id="0" w:name="_GoBack"/>
            <w:bookmarkEnd w:id="0"/>
          </w:p>
        </w:tc>
      </w:tr>
    </w:tbl>
    <w:p w:rsidR="00FC627D" w:rsidRPr="00FC627D" w:rsidRDefault="00FC627D" w:rsidP="00FC627D">
      <w:pPr>
        <w:spacing w:before="120"/>
        <w:rPr>
          <w:b/>
          <w:sz w:val="28"/>
          <w:szCs w:val="28"/>
          <w:lang w:val="fr-CH"/>
        </w:rPr>
      </w:pPr>
      <w:r w:rsidRPr="00FC627D">
        <w:rPr>
          <w:b/>
          <w:sz w:val="28"/>
          <w:szCs w:val="28"/>
          <w:lang w:val="fr-CH"/>
        </w:rPr>
        <w:t>Commission économique pour l’Europe</w:t>
      </w:r>
    </w:p>
    <w:p w:rsidR="00FC627D" w:rsidRPr="00FC627D" w:rsidRDefault="00FC627D" w:rsidP="00FC627D">
      <w:pPr>
        <w:spacing w:before="120"/>
        <w:rPr>
          <w:sz w:val="28"/>
          <w:szCs w:val="28"/>
          <w:lang w:val="fr-CH"/>
        </w:rPr>
      </w:pPr>
      <w:r w:rsidRPr="00FC627D">
        <w:rPr>
          <w:sz w:val="28"/>
          <w:szCs w:val="28"/>
          <w:lang w:val="fr-CH"/>
        </w:rPr>
        <w:t>Comité des transports intérieurs</w:t>
      </w:r>
    </w:p>
    <w:p w:rsidR="00FC627D" w:rsidRPr="00E31798" w:rsidRDefault="00FC627D" w:rsidP="00FC627D">
      <w:pPr>
        <w:spacing w:before="120"/>
        <w:rPr>
          <w:b/>
          <w:lang w:val="fr-FR"/>
        </w:rPr>
      </w:pPr>
      <w:r w:rsidRPr="00E31798">
        <w:rPr>
          <w:b/>
          <w:bCs/>
          <w:lang w:val="fr-FR"/>
        </w:rPr>
        <w:t xml:space="preserve">Quatre-vingt-unième </w:t>
      </w:r>
      <w:r w:rsidRPr="00E31798">
        <w:rPr>
          <w:b/>
          <w:lang w:val="fr-FR"/>
        </w:rPr>
        <w:t>session</w:t>
      </w:r>
    </w:p>
    <w:p w:rsidR="00FC627D" w:rsidRPr="00E31798" w:rsidRDefault="00FC627D" w:rsidP="00FC627D">
      <w:pPr>
        <w:rPr>
          <w:lang w:val="fr-FR"/>
        </w:rPr>
      </w:pPr>
      <w:r w:rsidRPr="00E31798">
        <w:rPr>
          <w:lang w:val="fr-FR"/>
        </w:rPr>
        <w:t>Genève, 19-22 février 2018</w:t>
      </w:r>
    </w:p>
    <w:p w:rsidR="00C16FA6" w:rsidRPr="00E31798" w:rsidRDefault="00C16FA6" w:rsidP="00C16FA6">
      <w:pPr>
        <w:rPr>
          <w:lang w:val="fr-FR"/>
        </w:rPr>
      </w:pPr>
      <w:r w:rsidRPr="00E31798">
        <w:rPr>
          <w:lang w:val="fr-FR"/>
        </w:rPr>
        <w:t>Point 5 g) de l’ordre du jour provisoire</w:t>
      </w:r>
    </w:p>
    <w:p w:rsidR="00C16FA6" w:rsidRPr="00E31798" w:rsidRDefault="00C16FA6" w:rsidP="00C16FA6">
      <w:pPr>
        <w:rPr>
          <w:b/>
          <w:bCs/>
          <w:sz w:val="28"/>
          <w:szCs w:val="28"/>
          <w:lang w:val="fr-FR"/>
        </w:rPr>
      </w:pPr>
      <w:r w:rsidRPr="00E31798">
        <w:rPr>
          <w:b/>
          <w:lang w:val="fr-FR"/>
        </w:rPr>
        <w:t>Questions stratégiques à caractère modal et thématique :</w:t>
      </w:r>
      <w:r w:rsidRPr="00E31798">
        <w:rPr>
          <w:b/>
          <w:bCs/>
          <w:sz w:val="28"/>
          <w:szCs w:val="28"/>
          <w:lang w:val="fr-FR"/>
        </w:rPr>
        <w:br/>
      </w:r>
      <w:r w:rsidRPr="00E31798">
        <w:rPr>
          <w:b/>
          <w:bCs/>
          <w:lang w:val="fr-FR"/>
        </w:rPr>
        <w:t>Transport par voie navigable</w:t>
      </w:r>
    </w:p>
    <w:p w:rsidR="00FC627D" w:rsidRPr="00FC627D" w:rsidRDefault="00471487" w:rsidP="00FC627D">
      <w:pPr>
        <w:pStyle w:val="HChG"/>
        <w:rPr>
          <w:lang w:val="fr-CH"/>
        </w:rPr>
      </w:pPr>
      <w:r w:rsidRPr="008F5906">
        <w:rPr>
          <w:lang w:val="fr-CH"/>
        </w:rPr>
        <w:tab/>
      </w:r>
      <w:r w:rsidR="00FC627D" w:rsidRPr="008F5906">
        <w:rPr>
          <w:lang w:val="fr-CH"/>
        </w:rPr>
        <w:tab/>
      </w:r>
      <w:r w:rsidR="00FC627D" w:rsidRPr="00FC627D">
        <w:rPr>
          <w:lang w:val="fr-CH"/>
        </w:rPr>
        <w:t xml:space="preserve">Projet </w:t>
      </w:r>
      <w:bookmarkStart w:id="1" w:name="OLE_LINK8"/>
      <w:bookmarkStart w:id="2" w:name="OLE_LINK9"/>
      <w:r w:rsidR="00FC627D" w:rsidRPr="00FC627D">
        <w:rPr>
          <w:lang w:val="fr-CH"/>
        </w:rPr>
        <w:t>de résolution du Comité des transports intérieurs</w:t>
      </w:r>
      <w:r w:rsidR="00FC627D">
        <w:rPr>
          <w:lang w:val="fr-CH"/>
        </w:rPr>
        <w:t xml:space="preserve"> </w:t>
      </w:r>
      <w:r w:rsidR="008F5906">
        <w:rPr>
          <w:lang w:val="fr-CH"/>
        </w:rPr>
        <w:t>sur les transports par voie navigable</w:t>
      </w:r>
    </w:p>
    <w:bookmarkEnd w:id="1"/>
    <w:bookmarkEnd w:id="2"/>
    <w:p w:rsidR="00FC627D" w:rsidRPr="00A6236E" w:rsidRDefault="00FC627D" w:rsidP="00FC627D">
      <w:pPr>
        <w:pStyle w:val="H1G"/>
      </w:pPr>
      <w:r w:rsidRPr="00FC627D">
        <w:rPr>
          <w:lang w:val="fr-CH"/>
        </w:rPr>
        <w:tab/>
      </w:r>
      <w:r w:rsidRPr="00FC627D">
        <w:rPr>
          <w:lang w:val="fr-CH"/>
        </w:rPr>
        <w:tab/>
      </w:r>
      <w:r w:rsidRPr="00A6236E">
        <w:t xml:space="preserve">Note du </w:t>
      </w:r>
      <w:proofErr w:type="spellStart"/>
      <w:r w:rsidRPr="00A6236E">
        <w:t>secrétariat</w:t>
      </w:r>
      <w:proofErr w:type="spellEnd"/>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4F5A5F" w:rsidRPr="00FA4E19" w:rsidTr="00C31ABD">
        <w:trPr>
          <w:jc w:val="center"/>
        </w:trPr>
        <w:tc>
          <w:tcPr>
            <w:tcW w:w="9637" w:type="dxa"/>
            <w:shd w:val="clear" w:color="auto" w:fill="auto"/>
          </w:tcPr>
          <w:p w:rsidR="004F5A5F" w:rsidRPr="00FA4E19" w:rsidRDefault="00FC627D" w:rsidP="00C31ABD">
            <w:pPr>
              <w:spacing w:before="240" w:after="120"/>
              <w:ind w:left="255"/>
              <w:rPr>
                <w:i/>
                <w:sz w:val="24"/>
              </w:rPr>
            </w:pPr>
            <w:r w:rsidRPr="000001E7">
              <w:rPr>
                <w:i/>
                <w:sz w:val="24"/>
              </w:rPr>
              <w:t>Résumé</w:t>
            </w:r>
          </w:p>
        </w:tc>
      </w:tr>
      <w:tr w:rsidR="004F5A5F" w:rsidRPr="00E20F86" w:rsidTr="00C31ABD">
        <w:trPr>
          <w:jc w:val="center"/>
        </w:trPr>
        <w:tc>
          <w:tcPr>
            <w:tcW w:w="9637" w:type="dxa"/>
            <w:shd w:val="clear" w:color="auto" w:fill="auto"/>
          </w:tcPr>
          <w:p w:rsidR="004F5A5F" w:rsidRPr="00E20F86" w:rsidRDefault="0066714E" w:rsidP="0066714E">
            <w:pPr>
              <w:pStyle w:val="SingleTxtG"/>
              <w:rPr>
                <w:lang w:val="fr-CH"/>
              </w:rPr>
            </w:pPr>
            <w:r>
              <w:rPr>
                <w:lang w:val="fr-CH"/>
              </w:rPr>
              <w:tab/>
            </w:r>
            <w:r w:rsidR="00FC627D" w:rsidRPr="008F5906">
              <w:rPr>
                <w:lang w:val="fr-CH"/>
              </w:rPr>
              <w:t>À sa soixante</w:t>
            </w:r>
            <w:r w:rsidR="008F5906" w:rsidRPr="008F5906">
              <w:rPr>
                <w:lang w:val="fr-CH"/>
              </w:rPr>
              <w:t>-deuxième</w:t>
            </w:r>
            <w:r w:rsidR="00FC627D" w:rsidRPr="008F5906">
              <w:rPr>
                <w:lang w:val="fr-CH"/>
              </w:rPr>
              <w:t xml:space="preserve"> session, le Groupe de travail des transports par voie navigable (SC.3) </w:t>
            </w:r>
            <w:r w:rsidR="008F5906" w:rsidRPr="008F5906">
              <w:rPr>
                <w:lang w:val="fr-CH"/>
              </w:rPr>
              <w:t xml:space="preserve">a préparé un projet de résolution du Comité des transports intérieurs (CTI) </w:t>
            </w:r>
            <w:r w:rsidR="008F5906" w:rsidRPr="00CE40D3">
              <w:rPr>
                <w:lang w:val="fr-FR"/>
              </w:rPr>
              <w:t>à l</w:t>
            </w:r>
            <w:r w:rsidR="008F5906">
              <w:rPr>
                <w:lang w:val="fr-FR"/>
              </w:rPr>
              <w:t>’</w:t>
            </w:r>
            <w:r w:rsidR="008F5906" w:rsidRPr="00CE40D3">
              <w:rPr>
                <w:lang w:val="fr-FR"/>
              </w:rPr>
              <w:t>appui de</w:t>
            </w:r>
            <w:r w:rsidR="004F5A5F" w:rsidRPr="008F5906">
              <w:rPr>
                <w:lang w:val="fr-CH"/>
              </w:rPr>
              <w:t xml:space="preserve"> </w:t>
            </w:r>
            <w:r w:rsidR="008F5906" w:rsidRPr="008F5906">
              <w:rPr>
                <w:lang w:val="fr-CH"/>
              </w:rPr>
              <w:t>la déclaration ministérielle</w:t>
            </w:r>
            <w:r w:rsidR="008F5906">
              <w:rPr>
                <w:lang w:val="fr-CH"/>
              </w:rPr>
              <w:t xml:space="preserve"> </w:t>
            </w:r>
            <w:r w:rsidR="008F5906" w:rsidRPr="008F5906">
              <w:rPr>
                <w:lang w:val="fr-CH"/>
              </w:rPr>
              <w:t xml:space="preserve">« </w:t>
            </w:r>
            <w:r w:rsidR="008F5906">
              <w:rPr>
                <w:lang w:val="fr-CH"/>
              </w:rPr>
              <w:t>L</w:t>
            </w:r>
            <w:r w:rsidR="008F5906" w:rsidRPr="008F5906">
              <w:rPr>
                <w:lang w:val="fr-CH"/>
              </w:rPr>
              <w:t>a navigation intérieure dans le contexte international »</w:t>
            </w:r>
            <w:r w:rsidR="008F5906">
              <w:rPr>
                <w:lang w:val="fr-CH"/>
              </w:rPr>
              <w:t xml:space="preserve">, </w:t>
            </w:r>
            <w:r w:rsidR="008F5906" w:rsidRPr="008F5906">
              <w:rPr>
                <w:lang w:val="fr-CH"/>
              </w:rPr>
              <w:t>adopté</w:t>
            </w:r>
            <w:r w:rsidR="008F5906">
              <w:rPr>
                <w:lang w:val="fr-CH"/>
              </w:rPr>
              <w:t>e</w:t>
            </w:r>
            <w:r w:rsidR="008F5906" w:rsidRPr="008F5906">
              <w:rPr>
                <w:lang w:val="fr-CH"/>
              </w:rPr>
              <w:t xml:space="preserve"> lors de la conférence internationale sur la Conférence ministérielle internationale</w:t>
            </w:r>
            <w:r w:rsidR="00EE7A2D" w:rsidRPr="00EE7A2D">
              <w:rPr>
                <w:lang w:val="fr-CH"/>
              </w:rPr>
              <w:t xml:space="preserve"> portant sur les liaisons </w:t>
            </w:r>
            <w:r w:rsidR="00EE7A2D">
              <w:rPr>
                <w:lang w:val="fr-CH"/>
              </w:rPr>
              <w:t>par la navigation intérieure,</w:t>
            </w:r>
            <w:r w:rsidR="008F5906" w:rsidRPr="008F5906">
              <w:rPr>
                <w:lang w:val="fr-CH"/>
              </w:rPr>
              <w:t xml:space="preserve"> qui s'est tenue les</w:t>
            </w:r>
            <w:r w:rsidR="008F5906">
              <w:rPr>
                <w:lang w:val="fr-CH"/>
              </w:rPr>
              <w:t xml:space="preserve"> </w:t>
            </w:r>
            <w:r w:rsidR="008F5906" w:rsidRPr="008F5906">
              <w:rPr>
                <w:lang w:val="fr-CH"/>
              </w:rPr>
              <w:t>18 et 19 avril 2018</w:t>
            </w:r>
            <w:r w:rsidR="00EE7A2D">
              <w:rPr>
                <w:lang w:val="fr-CH"/>
              </w:rPr>
              <w:t xml:space="preserve"> à</w:t>
            </w:r>
            <w:r w:rsidR="008F5906" w:rsidRPr="008F5906">
              <w:rPr>
                <w:lang w:val="fr-CH"/>
              </w:rPr>
              <w:t xml:space="preserve"> Wroc</w:t>
            </w:r>
            <w:r w:rsidR="004F6DA4">
              <w:rPr>
                <w:lang w:val="fr-CH"/>
              </w:rPr>
              <w:t>l</w:t>
            </w:r>
            <w:r w:rsidR="008F5906" w:rsidRPr="008F5906">
              <w:rPr>
                <w:lang w:val="fr-CH"/>
              </w:rPr>
              <w:t>aw</w:t>
            </w:r>
            <w:r w:rsidR="00EE7A2D">
              <w:rPr>
                <w:lang w:val="fr-CH"/>
              </w:rPr>
              <w:t xml:space="preserve"> (</w:t>
            </w:r>
            <w:r w:rsidR="008F5906" w:rsidRPr="008F5906">
              <w:rPr>
                <w:lang w:val="fr-CH"/>
              </w:rPr>
              <w:t>Pologne)</w:t>
            </w:r>
            <w:r w:rsidR="00EE7A2D">
              <w:rPr>
                <w:lang w:val="fr-CH"/>
              </w:rPr>
              <w:t xml:space="preserve">, </w:t>
            </w:r>
            <w:r w:rsidR="00EE7A2D" w:rsidRPr="00EE7A2D">
              <w:rPr>
                <w:lang w:val="fr-CH"/>
              </w:rPr>
              <w:t>conjointement par le Ministère polonais de l’économie maritime et de la navigation intérieure et par la CEE</w:t>
            </w:r>
            <w:r w:rsidR="00EE7A2D">
              <w:rPr>
                <w:lang w:val="fr-CH"/>
              </w:rPr>
              <w:t>.</w:t>
            </w:r>
          </w:p>
        </w:tc>
      </w:tr>
      <w:tr w:rsidR="0066714E" w:rsidRPr="00E20F86" w:rsidTr="00C31ABD">
        <w:trPr>
          <w:jc w:val="center"/>
        </w:trPr>
        <w:tc>
          <w:tcPr>
            <w:tcW w:w="9637" w:type="dxa"/>
            <w:shd w:val="clear" w:color="auto" w:fill="auto"/>
          </w:tcPr>
          <w:p w:rsidR="0066714E" w:rsidRPr="008F5906" w:rsidRDefault="0066714E" w:rsidP="008F5906">
            <w:pPr>
              <w:pStyle w:val="SingleTxtG"/>
              <w:rPr>
                <w:lang w:val="fr-CH"/>
              </w:rPr>
            </w:pPr>
            <w:r>
              <w:rPr>
                <w:lang w:val="fr-CH"/>
              </w:rPr>
              <w:tab/>
            </w:r>
            <w:r w:rsidRPr="0066714E">
              <w:rPr>
                <w:lang w:val="fr-CH"/>
              </w:rPr>
              <w:t>La Déclaration ministérielle a consolidé les progrès accomplis depuis la conférence paneuropéenne sur le transport par voies de navigation intérieure intitulée « La navigation intérieure, élément clef pour le futur système de transport paneuropéen » (Bucarest, 13 et 14 septembre 2006) et a proposé des mesures harmonisées au niveau mondial, à la lumière des objectifs de développement durable, tout en assurant la participation de toutes les régions et de tous les pays disposant de voies navigables.</w:t>
            </w:r>
          </w:p>
        </w:tc>
      </w:tr>
      <w:tr w:rsidR="0066714E" w:rsidRPr="00E20F86" w:rsidTr="00C31ABD">
        <w:trPr>
          <w:jc w:val="center"/>
        </w:trPr>
        <w:tc>
          <w:tcPr>
            <w:tcW w:w="9637" w:type="dxa"/>
            <w:shd w:val="clear" w:color="auto" w:fill="auto"/>
          </w:tcPr>
          <w:p w:rsidR="0066714E" w:rsidRPr="008F5906" w:rsidRDefault="0066714E" w:rsidP="008F5906">
            <w:pPr>
              <w:pStyle w:val="SingleTxtG"/>
              <w:rPr>
                <w:lang w:val="fr-CH"/>
              </w:rPr>
            </w:pPr>
            <w:r>
              <w:rPr>
                <w:lang w:val="fr-CH"/>
              </w:rPr>
              <w:tab/>
            </w:r>
            <w:r w:rsidRPr="00EE7A2D">
              <w:rPr>
                <w:lang w:val="fr-CH"/>
              </w:rPr>
              <w:t>Conformément à la démarche utilisée dans les résolutions n</w:t>
            </w:r>
            <w:r w:rsidRPr="00EE7A2D">
              <w:rPr>
                <w:vertAlign w:val="superscript"/>
                <w:lang w:val="fr-CH"/>
              </w:rPr>
              <w:t>os</w:t>
            </w:r>
            <w:r w:rsidR="002905D1">
              <w:rPr>
                <w:lang w:val="fr-CH"/>
              </w:rPr>
              <w:t xml:space="preserve"> </w:t>
            </w:r>
            <w:r w:rsidRPr="00EE7A2D">
              <w:rPr>
                <w:lang w:val="fr-CH"/>
              </w:rPr>
              <w:t xml:space="preserve">250 </w:t>
            </w:r>
            <w:r>
              <w:rPr>
                <w:lang w:val="fr-CH"/>
              </w:rPr>
              <w:t>et</w:t>
            </w:r>
            <w:r w:rsidRPr="00EE7A2D">
              <w:rPr>
                <w:lang w:val="fr-CH"/>
              </w:rPr>
              <w:t xml:space="preserve"> 258</w:t>
            </w:r>
            <w:r>
              <w:rPr>
                <w:lang w:val="fr-CH"/>
              </w:rPr>
              <w:t xml:space="preserve"> du CTI, le Comité </w:t>
            </w:r>
            <w:r w:rsidRPr="00EE7A2D">
              <w:rPr>
                <w:lang w:val="fr-CH"/>
              </w:rPr>
              <w:t xml:space="preserve">souhaitera peut-être </w:t>
            </w:r>
            <w:r w:rsidRPr="00791A2C">
              <w:rPr>
                <w:b/>
                <w:bCs/>
                <w:lang w:val="fr-CH"/>
              </w:rPr>
              <w:t xml:space="preserve">adopter </w:t>
            </w:r>
            <w:r w:rsidRPr="002905D1">
              <w:rPr>
                <w:lang w:val="fr-CH"/>
              </w:rPr>
              <w:t xml:space="preserve">la résolution </w:t>
            </w:r>
            <w:r w:rsidR="002905D1" w:rsidRPr="002905D1">
              <w:rPr>
                <w:lang w:val="fr-CH"/>
              </w:rPr>
              <w:t>ci-dessous</w:t>
            </w:r>
            <w:r w:rsidRPr="002905D1">
              <w:rPr>
                <w:lang w:val="fr-CH"/>
              </w:rPr>
              <w:t>. L</w:t>
            </w:r>
            <w:r w:rsidRPr="00EE7A2D">
              <w:rPr>
                <w:lang w:val="fr-CH"/>
              </w:rPr>
              <w:t>e Comité souhaitera peut-être aussi encourager les États membres</w:t>
            </w:r>
            <w:r w:rsidRPr="00E20F86">
              <w:rPr>
                <w:lang w:val="fr-CH"/>
              </w:rPr>
              <w:t xml:space="preserve"> ayant des intérêts dans le sect</w:t>
            </w:r>
            <w:r>
              <w:rPr>
                <w:lang w:val="fr-CH"/>
              </w:rPr>
              <w:t xml:space="preserve">eur de la navigation intérieure, </w:t>
            </w:r>
            <w:r w:rsidRPr="00E20F86">
              <w:rPr>
                <w:lang w:val="fr-CH"/>
              </w:rPr>
              <w:t>qui n</w:t>
            </w:r>
            <w:r>
              <w:rPr>
                <w:lang w:val="fr-CH"/>
              </w:rPr>
              <w:t xml:space="preserve">e l'ont pas encore fait, </w:t>
            </w:r>
            <w:r w:rsidRPr="00E20F86">
              <w:rPr>
                <w:lang w:val="fr-CH"/>
              </w:rPr>
              <w:t>à devenir signataires de</w:t>
            </w:r>
            <w:r>
              <w:rPr>
                <w:lang w:val="fr-CH"/>
              </w:rPr>
              <w:t xml:space="preserve"> </w:t>
            </w:r>
            <w:r w:rsidRPr="008F5906">
              <w:rPr>
                <w:lang w:val="fr-CH"/>
              </w:rPr>
              <w:t>la déclaration ministérielle</w:t>
            </w:r>
            <w:r>
              <w:rPr>
                <w:lang w:val="fr-CH"/>
              </w:rPr>
              <w:t>.</w:t>
            </w:r>
          </w:p>
        </w:tc>
      </w:tr>
      <w:tr w:rsidR="004F5A5F" w:rsidRPr="00E20F86" w:rsidTr="00C31ABD">
        <w:trPr>
          <w:jc w:val="center"/>
        </w:trPr>
        <w:tc>
          <w:tcPr>
            <w:tcW w:w="9637" w:type="dxa"/>
            <w:shd w:val="clear" w:color="auto" w:fill="auto"/>
          </w:tcPr>
          <w:p w:rsidR="004F5A5F" w:rsidRPr="00E20F86" w:rsidRDefault="004F5A5F" w:rsidP="00C31ABD">
            <w:pPr>
              <w:rPr>
                <w:lang w:val="fr-CH"/>
              </w:rPr>
            </w:pPr>
          </w:p>
        </w:tc>
      </w:tr>
    </w:tbl>
    <w:p w:rsidR="00D000D9" w:rsidRPr="00D000D9" w:rsidRDefault="00D000D9" w:rsidP="00D000D9">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Theme="minorHAnsi"/>
          <w:b/>
          <w:sz w:val="28"/>
          <w:lang w:val="fr-CH"/>
        </w:rPr>
      </w:pPr>
      <w:r w:rsidRPr="00E20F86">
        <w:rPr>
          <w:rFonts w:eastAsiaTheme="minorHAnsi"/>
          <w:b/>
          <w:sz w:val="28"/>
          <w:lang w:val="fr-CH"/>
        </w:rPr>
        <w:lastRenderedPageBreak/>
        <w:tab/>
      </w:r>
      <w:r w:rsidRPr="00E20F86">
        <w:rPr>
          <w:rFonts w:eastAsiaTheme="minorHAnsi"/>
          <w:b/>
          <w:sz w:val="28"/>
          <w:lang w:val="fr-CH"/>
        </w:rPr>
        <w:tab/>
      </w:r>
      <w:r w:rsidRPr="00D000D9">
        <w:rPr>
          <w:rFonts w:eastAsiaTheme="minorHAnsi"/>
          <w:b/>
          <w:sz w:val="28"/>
          <w:lang w:val="fr-CH"/>
        </w:rPr>
        <w:t>Faciliter le développement des transports par voie navigable</w:t>
      </w:r>
    </w:p>
    <w:p w:rsidR="00D000D9" w:rsidRPr="00D000D9" w:rsidRDefault="00D000D9" w:rsidP="00D000D9">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Theme="minorHAnsi"/>
          <w:b/>
          <w:lang w:val="fr-CH"/>
        </w:rPr>
      </w:pPr>
      <w:r w:rsidRPr="00D000D9">
        <w:rPr>
          <w:rFonts w:eastAsiaTheme="minorHAnsi"/>
          <w:b/>
          <w:lang w:val="fr-CH"/>
        </w:rPr>
        <w:tab/>
      </w:r>
      <w:r w:rsidRPr="00D000D9">
        <w:rPr>
          <w:rFonts w:eastAsiaTheme="minorHAnsi"/>
          <w:b/>
          <w:lang w:val="fr-CH"/>
        </w:rPr>
        <w:tab/>
        <w:t xml:space="preserve">Résolution </w:t>
      </w:r>
      <w:r w:rsidRPr="00D000D9">
        <w:rPr>
          <w:rFonts w:eastAsia="MS Mincho"/>
          <w:b/>
          <w:szCs w:val="22"/>
          <w:lang w:val="fr-CH"/>
        </w:rPr>
        <w:t>n</w:t>
      </w:r>
      <w:r w:rsidRPr="00D000D9">
        <w:rPr>
          <w:rFonts w:eastAsia="MS Mincho"/>
          <w:b/>
          <w:szCs w:val="22"/>
          <w:vertAlign w:val="superscript"/>
          <w:lang w:val="fr-CH"/>
        </w:rPr>
        <w:t>o</w:t>
      </w:r>
      <w:r w:rsidRPr="00D000D9">
        <w:rPr>
          <w:rFonts w:eastAsia="MS Mincho"/>
          <w:b/>
          <w:szCs w:val="22"/>
          <w:lang w:val="fr-CH"/>
        </w:rPr>
        <w:t> </w:t>
      </w:r>
      <w:r w:rsidRPr="00D000D9">
        <w:rPr>
          <w:rFonts w:eastAsiaTheme="minorHAnsi"/>
          <w:b/>
          <w:lang w:val="fr-CH"/>
        </w:rPr>
        <w:t>…</w:t>
      </w:r>
      <w:r w:rsidRPr="00D000D9">
        <w:rPr>
          <w:rFonts w:eastAsiaTheme="minorHAnsi"/>
          <w:b/>
          <w:lang w:val="fr-CH"/>
        </w:rPr>
        <w:br/>
      </w:r>
      <w:r w:rsidRPr="00D000D9">
        <w:rPr>
          <w:rFonts w:eastAsiaTheme="minorHAnsi"/>
          <w:lang w:val="fr-CH"/>
        </w:rPr>
        <w:t>(adoptée par le Comité des transports intérieurs le…)</w:t>
      </w:r>
    </w:p>
    <w:p w:rsidR="00D000D9" w:rsidRPr="00D000D9" w:rsidRDefault="00D000D9" w:rsidP="00D000D9">
      <w:pPr>
        <w:kinsoku w:val="0"/>
        <w:overflowPunct w:val="0"/>
        <w:autoSpaceDE w:val="0"/>
        <w:autoSpaceDN w:val="0"/>
        <w:adjustRightInd w:val="0"/>
        <w:snapToGrid w:val="0"/>
        <w:spacing w:after="100"/>
        <w:ind w:left="1134" w:right="1134" w:firstLine="567"/>
        <w:jc w:val="both"/>
        <w:rPr>
          <w:rFonts w:eastAsiaTheme="minorHAnsi"/>
          <w:i/>
          <w:lang w:val="fr-CH"/>
        </w:rPr>
      </w:pPr>
      <w:r w:rsidRPr="00D000D9">
        <w:rPr>
          <w:rFonts w:eastAsiaTheme="minorHAnsi"/>
          <w:i/>
          <w:lang w:val="fr-CH"/>
        </w:rPr>
        <w:t>Le Comité des transports intérieurs</w:t>
      </w:r>
      <w:r w:rsidRPr="00D000D9">
        <w:rPr>
          <w:rFonts w:eastAsiaTheme="minorHAnsi"/>
          <w:lang w:val="fr-CH"/>
        </w:rPr>
        <w:t>,</w:t>
      </w:r>
    </w:p>
    <w:p w:rsidR="00D000D9" w:rsidRPr="00D000D9" w:rsidRDefault="00D000D9" w:rsidP="00D000D9">
      <w:pPr>
        <w:kinsoku w:val="0"/>
        <w:overflowPunct w:val="0"/>
        <w:autoSpaceDE w:val="0"/>
        <w:autoSpaceDN w:val="0"/>
        <w:adjustRightInd w:val="0"/>
        <w:snapToGrid w:val="0"/>
        <w:spacing w:after="100"/>
        <w:ind w:left="1134" w:right="1134" w:firstLine="567"/>
        <w:jc w:val="both"/>
        <w:rPr>
          <w:rFonts w:eastAsiaTheme="minorHAnsi"/>
          <w:lang w:val="fr-CH"/>
        </w:rPr>
      </w:pPr>
      <w:r w:rsidRPr="00D000D9">
        <w:rPr>
          <w:rFonts w:eastAsiaTheme="minorHAnsi"/>
          <w:i/>
          <w:iCs/>
          <w:lang w:val="fr-CH"/>
        </w:rPr>
        <w:t>Réaffirmant</w:t>
      </w:r>
      <w:r w:rsidRPr="00D000D9">
        <w:rPr>
          <w:rFonts w:eastAsiaTheme="minorHAnsi"/>
          <w:lang w:val="fr-CH"/>
        </w:rPr>
        <w:t xml:space="preserve"> son engagement en faveur de la réalisation des objectifs de développement durable qui concernent les transports par voie navigable, comme bâtir une infrastructure résiliente pour le réseau de voies navigables, faire en sorte que les transports par voie navigable soient sûrs, accessibles et abordables et que des liens soient établis avec les secteurs de l’énergie et de l’environnement, ou encourager l’innovation,</w:t>
      </w:r>
    </w:p>
    <w:p w:rsidR="00D000D9" w:rsidRPr="00D000D9" w:rsidRDefault="00D000D9" w:rsidP="00D000D9">
      <w:pPr>
        <w:kinsoku w:val="0"/>
        <w:overflowPunct w:val="0"/>
        <w:autoSpaceDE w:val="0"/>
        <w:autoSpaceDN w:val="0"/>
        <w:adjustRightInd w:val="0"/>
        <w:snapToGrid w:val="0"/>
        <w:spacing w:after="100"/>
        <w:ind w:left="1134" w:right="1134" w:firstLine="567"/>
        <w:jc w:val="both"/>
        <w:rPr>
          <w:rFonts w:eastAsiaTheme="minorHAnsi"/>
          <w:lang w:val="fr-CH"/>
        </w:rPr>
      </w:pPr>
      <w:r w:rsidRPr="00D000D9">
        <w:rPr>
          <w:rFonts w:eastAsiaTheme="minorHAnsi"/>
          <w:i/>
          <w:lang w:val="fr-CH"/>
        </w:rPr>
        <w:t>Rappelant</w:t>
      </w:r>
      <w:r w:rsidRPr="00D000D9">
        <w:rPr>
          <w:rFonts w:eastAsiaTheme="minorHAnsi"/>
          <w:lang w:val="fr-CH"/>
        </w:rPr>
        <w:t xml:space="preserve"> la Déclaration ministérielle intitulée « La navigation intérieure dans le contexte international », adoptée par la Conférence ministérielle internationale sur les transports par voie navigable (Wroclaw (Pologne), 18 et 19 avril 2018),</w:t>
      </w:r>
    </w:p>
    <w:p w:rsidR="00D000D9" w:rsidRPr="00D000D9" w:rsidRDefault="00D000D9" w:rsidP="00D000D9">
      <w:pPr>
        <w:kinsoku w:val="0"/>
        <w:overflowPunct w:val="0"/>
        <w:autoSpaceDE w:val="0"/>
        <w:autoSpaceDN w:val="0"/>
        <w:adjustRightInd w:val="0"/>
        <w:snapToGrid w:val="0"/>
        <w:spacing w:after="100"/>
        <w:ind w:left="1134" w:right="1134" w:firstLine="567"/>
        <w:jc w:val="both"/>
        <w:rPr>
          <w:rFonts w:eastAsiaTheme="minorHAnsi"/>
          <w:lang w:val="fr-CH"/>
        </w:rPr>
      </w:pPr>
      <w:r w:rsidRPr="00D000D9">
        <w:rPr>
          <w:rFonts w:eastAsiaTheme="minorHAnsi"/>
          <w:i/>
          <w:lang w:val="fr-CH"/>
        </w:rPr>
        <w:t xml:space="preserve">Convaincu </w:t>
      </w:r>
      <w:r w:rsidRPr="00D000D9">
        <w:rPr>
          <w:rFonts w:eastAsiaTheme="minorHAnsi"/>
          <w:lang w:val="fr-CH"/>
        </w:rPr>
        <w:t>que</w:t>
      </w:r>
      <w:r w:rsidRPr="00D000D9">
        <w:rPr>
          <w:rFonts w:eastAsiaTheme="minorHAnsi"/>
          <w:i/>
          <w:lang w:val="fr-CH"/>
        </w:rPr>
        <w:t xml:space="preserve"> </w:t>
      </w:r>
      <w:r w:rsidRPr="00D000D9">
        <w:rPr>
          <w:rFonts w:eastAsiaTheme="minorHAnsi"/>
          <w:lang w:val="fr-CH"/>
        </w:rPr>
        <w:t xml:space="preserve">les résultats de la Conférence devraient avoir une utilité pratique en ce qui concerne la sécurité, les aspects environnementaux, la logistique, l’attrait du secteur et les avantages économiques et </w:t>
      </w:r>
      <w:r w:rsidRPr="00D000D9">
        <w:rPr>
          <w:rFonts w:eastAsiaTheme="minorHAnsi"/>
          <w:i/>
          <w:lang w:val="fr-CH"/>
        </w:rPr>
        <w:t>réaffirmant</w:t>
      </w:r>
      <w:r w:rsidRPr="00D000D9">
        <w:rPr>
          <w:rFonts w:eastAsiaTheme="minorHAnsi"/>
          <w:lang w:val="fr-CH"/>
        </w:rPr>
        <w:t xml:space="preserve"> son appui aux objectifs et aux mesures établis par la déclaration ministérielle susmentionnée,</w:t>
      </w:r>
    </w:p>
    <w:p w:rsidR="00D000D9" w:rsidRPr="00D000D9" w:rsidRDefault="00D000D9" w:rsidP="00D000D9">
      <w:pPr>
        <w:kinsoku w:val="0"/>
        <w:overflowPunct w:val="0"/>
        <w:autoSpaceDE w:val="0"/>
        <w:autoSpaceDN w:val="0"/>
        <w:adjustRightInd w:val="0"/>
        <w:snapToGrid w:val="0"/>
        <w:spacing w:after="100"/>
        <w:ind w:left="1134" w:right="1134" w:firstLine="567"/>
        <w:jc w:val="both"/>
        <w:rPr>
          <w:rFonts w:eastAsiaTheme="minorHAnsi"/>
          <w:lang w:val="fr-CH"/>
        </w:rPr>
      </w:pPr>
      <w:r w:rsidRPr="00D000D9">
        <w:rPr>
          <w:rFonts w:eastAsiaTheme="minorHAnsi"/>
          <w:i/>
          <w:lang w:val="fr-CH"/>
        </w:rPr>
        <w:t>Notant avec satisfaction</w:t>
      </w:r>
      <w:r w:rsidRPr="00D000D9">
        <w:rPr>
          <w:rFonts w:eastAsiaTheme="minorHAnsi"/>
          <w:lang w:val="fr-CH"/>
        </w:rPr>
        <w:t xml:space="preserve"> les résultats de la conférence ministérielle tenue à l’occasion du soixante-dixième anniversaire de la Convention relative au régime de la navigation sur le Danube (Belgrade, 29 juin 2018) ainsi que </w:t>
      </w:r>
      <w:r w:rsidR="004F6DA4">
        <w:rPr>
          <w:rFonts w:eastAsiaTheme="minorHAnsi"/>
          <w:lang w:val="fr-CH"/>
        </w:rPr>
        <w:t>l</w:t>
      </w:r>
      <w:r w:rsidR="004F6DA4" w:rsidRPr="004F6DA4">
        <w:rPr>
          <w:rFonts w:eastAsiaTheme="minorHAnsi"/>
          <w:lang w:val="fr-CH"/>
        </w:rPr>
        <w:t xml:space="preserve">es résultats </w:t>
      </w:r>
      <w:r w:rsidR="004F6DA4">
        <w:rPr>
          <w:rFonts w:eastAsiaTheme="minorHAnsi"/>
          <w:lang w:val="fr-CH"/>
        </w:rPr>
        <w:t xml:space="preserve">du </w:t>
      </w:r>
      <w:r w:rsidRPr="00D000D9">
        <w:rPr>
          <w:rFonts w:eastAsiaTheme="minorHAnsi"/>
          <w:lang w:val="fr-CH"/>
        </w:rPr>
        <w:t xml:space="preserve">sixième congrès de la Commission centrale pour la navigation du Rhin, à l’occasion du cent cinquantième anniversaire de l’Acte de Mannheim, qui </w:t>
      </w:r>
      <w:r w:rsidR="004F6DA4">
        <w:rPr>
          <w:rFonts w:eastAsiaTheme="minorHAnsi"/>
          <w:lang w:val="fr-CH"/>
        </w:rPr>
        <w:t>s’est tenu</w:t>
      </w:r>
      <w:r w:rsidRPr="00D000D9">
        <w:rPr>
          <w:rFonts w:eastAsiaTheme="minorHAnsi"/>
          <w:lang w:val="fr-CH"/>
        </w:rPr>
        <w:t xml:space="preserve"> le 17 octobre 2018 à Mannheim (Allemagne),</w:t>
      </w:r>
    </w:p>
    <w:p w:rsidR="00D000D9" w:rsidRPr="00D000D9" w:rsidRDefault="00D000D9" w:rsidP="00D000D9">
      <w:pPr>
        <w:kinsoku w:val="0"/>
        <w:overflowPunct w:val="0"/>
        <w:autoSpaceDE w:val="0"/>
        <w:autoSpaceDN w:val="0"/>
        <w:adjustRightInd w:val="0"/>
        <w:snapToGrid w:val="0"/>
        <w:spacing w:after="100"/>
        <w:ind w:left="1134" w:right="1134" w:firstLine="567"/>
        <w:jc w:val="both"/>
        <w:rPr>
          <w:rFonts w:eastAsiaTheme="minorHAnsi"/>
          <w:lang w:val="fr-CH"/>
        </w:rPr>
      </w:pPr>
      <w:r w:rsidRPr="00D000D9">
        <w:rPr>
          <w:rFonts w:eastAsiaTheme="minorHAnsi"/>
          <w:i/>
          <w:lang w:val="fr-CH"/>
        </w:rPr>
        <w:t>Gardant à l’esprit</w:t>
      </w:r>
      <w:r w:rsidRPr="00D000D9">
        <w:rPr>
          <w:rFonts w:eastAsiaTheme="minorHAnsi"/>
          <w:lang w:val="fr-CH"/>
        </w:rPr>
        <w:t xml:space="preserve"> que l’objectif général est de développer des modes de transport efficaces, harmonieux et adaptables, répondant aux impératifs économiques, sociaux et environnementaux ainsi qu’aux exigences de sécurité des pays membres de la CEE,</w:t>
      </w:r>
    </w:p>
    <w:p w:rsidR="00D000D9" w:rsidRPr="00D000D9" w:rsidRDefault="00D000D9" w:rsidP="00D000D9">
      <w:pPr>
        <w:kinsoku w:val="0"/>
        <w:overflowPunct w:val="0"/>
        <w:autoSpaceDE w:val="0"/>
        <w:autoSpaceDN w:val="0"/>
        <w:adjustRightInd w:val="0"/>
        <w:snapToGrid w:val="0"/>
        <w:spacing w:after="100"/>
        <w:ind w:left="1134" w:right="1134" w:firstLine="567"/>
        <w:jc w:val="both"/>
        <w:rPr>
          <w:rFonts w:eastAsiaTheme="minorHAnsi"/>
          <w:lang w:val="fr-CH"/>
        </w:rPr>
      </w:pPr>
      <w:r w:rsidRPr="00D000D9">
        <w:rPr>
          <w:rFonts w:eastAsiaTheme="minorHAnsi"/>
          <w:i/>
          <w:lang w:val="fr-CH"/>
        </w:rPr>
        <w:t>Conscient</w:t>
      </w:r>
      <w:r w:rsidRPr="00D000D9">
        <w:rPr>
          <w:rFonts w:eastAsiaTheme="minorHAnsi"/>
          <w:lang w:val="fr-CH"/>
        </w:rPr>
        <w:t xml:space="preserve"> du rôle important que joue le transport par voie navigable en contribuant pour une large part à la mise en place d’un système de transport équilibré, de par en particulier le niveau de sécurité, l’efficacité en termes d’énergie et de coûts, le faible niveau des émissions et l’absence d’encombrements, ainsi que la baisse des coûts de transport et des coûts logistiques,</w:t>
      </w:r>
    </w:p>
    <w:p w:rsidR="00D000D9" w:rsidRPr="00D000D9" w:rsidRDefault="00D000D9" w:rsidP="00D000D9">
      <w:pPr>
        <w:kinsoku w:val="0"/>
        <w:overflowPunct w:val="0"/>
        <w:autoSpaceDE w:val="0"/>
        <w:autoSpaceDN w:val="0"/>
        <w:adjustRightInd w:val="0"/>
        <w:snapToGrid w:val="0"/>
        <w:spacing w:after="100"/>
        <w:ind w:left="1134" w:right="1134" w:firstLine="567"/>
        <w:jc w:val="both"/>
        <w:rPr>
          <w:rFonts w:eastAsiaTheme="minorHAnsi"/>
          <w:lang w:val="fr-CH"/>
        </w:rPr>
      </w:pPr>
      <w:r w:rsidRPr="00D000D9">
        <w:rPr>
          <w:rFonts w:eastAsiaTheme="minorHAnsi"/>
          <w:i/>
          <w:lang w:val="fr-CH"/>
        </w:rPr>
        <w:t xml:space="preserve">Sachant </w:t>
      </w:r>
      <w:r w:rsidRPr="00D000D9">
        <w:rPr>
          <w:rFonts w:eastAsiaTheme="minorHAnsi"/>
          <w:lang w:val="fr-CH"/>
        </w:rPr>
        <w:t>que les changements dans le cadre législatif et la structure institutionnelle du transport par voie navigable en Europe, les fais nouveaux et les tendances récentes offrent de nouvelles possibilités et lancent de nouveaux défis à ce secteur,</w:t>
      </w:r>
    </w:p>
    <w:p w:rsidR="00D000D9" w:rsidRPr="00D000D9" w:rsidRDefault="00D000D9" w:rsidP="00D000D9">
      <w:pPr>
        <w:kinsoku w:val="0"/>
        <w:overflowPunct w:val="0"/>
        <w:autoSpaceDE w:val="0"/>
        <w:autoSpaceDN w:val="0"/>
        <w:adjustRightInd w:val="0"/>
        <w:snapToGrid w:val="0"/>
        <w:spacing w:after="100"/>
        <w:ind w:left="1134" w:right="1134" w:firstLine="567"/>
        <w:jc w:val="both"/>
        <w:rPr>
          <w:rFonts w:eastAsiaTheme="minorHAnsi"/>
          <w:lang w:val="fr-CH"/>
        </w:rPr>
      </w:pPr>
      <w:r w:rsidRPr="00D000D9">
        <w:rPr>
          <w:rFonts w:eastAsiaTheme="minorHAnsi"/>
          <w:i/>
          <w:lang w:val="fr-CH"/>
        </w:rPr>
        <w:t>Conscient</w:t>
      </w:r>
      <w:r w:rsidRPr="00D000D9">
        <w:rPr>
          <w:rFonts w:eastAsiaTheme="minorHAnsi"/>
          <w:lang w:val="fr-CH"/>
        </w:rPr>
        <w:t xml:space="preserve"> du rôle joué par les technologies modernes, les innovations et la numérisation pour ce qui est de garantir la sécurité de la navigation et une meilleure intégration de la logistique,</w:t>
      </w:r>
    </w:p>
    <w:p w:rsidR="00D000D9" w:rsidRPr="00D000D9" w:rsidRDefault="00D000D9" w:rsidP="00D000D9">
      <w:pPr>
        <w:kinsoku w:val="0"/>
        <w:overflowPunct w:val="0"/>
        <w:autoSpaceDE w:val="0"/>
        <w:autoSpaceDN w:val="0"/>
        <w:adjustRightInd w:val="0"/>
        <w:snapToGrid w:val="0"/>
        <w:spacing w:after="100"/>
        <w:ind w:left="1134" w:right="1134" w:firstLine="567"/>
        <w:jc w:val="both"/>
        <w:rPr>
          <w:rFonts w:eastAsiaTheme="minorHAnsi"/>
          <w:lang w:val="fr-CH"/>
        </w:rPr>
      </w:pPr>
      <w:r w:rsidRPr="00D000D9">
        <w:rPr>
          <w:rFonts w:eastAsiaTheme="minorHAnsi"/>
          <w:i/>
          <w:lang w:val="fr-CH"/>
        </w:rPr>
        <w:t>Reconnaissant</w:t>
      </w:r>
      <w:r w:rsidRPr="00D000D9">
        <w:rPr>
          <w:rFonts w:eastAsiaTheme="minorHAnsi"/>
          <w:lang w:val="fr-CH"/>
        </w:rPr>
        <w:t xml:space="preserve"> la nécessité d’une action concertée pour libérer le riche potentiel encore inexploité du secteur et, partant, la nécessité de bénéficier d’un solide appui politique au plus haut niveau,</w:t>
      </w:r>
    </w:p>
    <w:p w:rsidR="00D000D9" w:rsidRPr="00D000D9" w:rsidRDefault="00D000D9" w:rsidP="00D000D9">
      <w:pPr>
        <w:kinsoku w:val="0"/>
        <w:overflowPunct w:val="0"/>
        <w:autoSpaceDE w:val="0"/>
        <w:autoSpaceDN w:val="0"/>
        <w:adjustRightInd w:val="0"/>
        <w:snapToGrid w:val="0"/>
        <w:spacing w:after="100"/>
        <w:ind w:left="1134" w:right="1134" w:firstLine="567"/>
        <w:jc w:val="both"/>
        <w:rPr>
          <w:rFonts w:eastAsiaTheme="minorHAnsi"/>
          <w:lang w:val="fr-CH"/>
        </w:rPr>
      </w:pPr>
      <w:r w:rsidRPr="00D000D9">
        <w:rPr>
          <w:rFonts w:eastAsiaTheme="minorHAnsi"/>
          <w:i/>
          <w:lang w:val="fr-CH"/>
        </w:rPr>
        <w:t>Convaincu</w:t>
      </w:r>
      <w:r w:rsidRPr="00D000D9">
        <w:rPr>
          <w:rFonts w:eastAsiaTheme="minorHAnsi"/>
          <w:lang w:val="fr-CH"/>
        </w:rPr>
        <w:t xml:space="preserve"> que la CEE, en étroite coopération avec d’autres organisations internationales compétentes, peut et devrait appuyer dans toute la mesure du possible la réalisation des tâches fixées par les ministres dans la déclaration de Wroclaw,</w:t>
      </w:r>
    </w:p>
    <w:p w:rsidR="00D000D9" w:rsidRPr="00D000D9" w:rsidRDefault="00D000D9" w:rsidP="00D000D9">
      <w:pPr>
        <w:kinsoku w:val="0"/>
        <w:overflowPunct w:val="0"/>
        <w:autoSpaceDE w:val="0"/>
        <w:autoSpaceDN w:val="0"/>
        <w:adjustRightInd w:val="0"/>
        <w:snapToGrid w:val="0"/>
        <w:spacing w:after="100"/>
        <w:ind w:left="1134" w:right="1134" w:firstLine="567"/>
        <w:jc w:val="both"/>
        <w:rPr>
          <w:rFonts w:eastAsiaTheme="minorHAnsi"/>
          <w:lang w:val="fr-CH"/>
        </w:rPr>
      </w:pPr>
      <w:r w:rsidRPr="00D000D9">
        <w:rPr>
          <w:rFonts w:eastAsiaTheme="minorHAnsi"/>
          <w:i/>
          <w:lang w:val="fr-CH"/>
        </w:rPr>
        <w:t xml:space="preserve">Invite </w:t>
      </w:r>
      <w:r w:rsidRPr="00D000D9">
        <w:rPr>
          <w:rFonts w:eastAsiaTheme="minorHAnsi"/>
          <w:lang w:val="fr-CH"/>
        </w:rPr>
        <w:t>les États membres à élaborer des plans d’action nationaux pour la mise en œuvre des objectifs et des mesures stratégiques énoncés dans la déclaration de Wroclaw ainsi qu’à informer le Groupe de travail des transports par voie navigable des progrès accomplis,</w:t>
      </w:r>
    </w:p>
    <w:p w:rsidR="00D000D9" w:rsidRPr="00D000D9" w:rsidRDefault="00D000D9" w:rsidP="00D000D9">
      <w:pPr>
        <w:kinsoku w:val="0"/>
        <w:overflowPunct w:val="0"/>
        <w:autoSpaceDE w:val="0"/>
        <w:autoSpaceDN w:val="0"/>
        <w:adjustRightInd w:val="0"/>
        <w:snapToGrid w:val="0"/>
        <w:spacing w:after="120"/>
        <w:ind w:left="1134" w:right="1134" w:firstLine="567"/>
        <w:jc w:val="both"/>
        <w:rPr>
          <w:rFonts w:eastAsiaTheme="minorHAnsi"/>
          <w:lang w:val="fr-CH"/>
        </w:rPr>
      </w:pPr>
      <w:r w:rsidRPr="00D000D9">
        <w:rPr>
          <w:rFonts w:eastAsiaTheme="minorHAnsi"/>
          <w:i/>
          <w:lang w:val="fr-CH"/>
        </w:rPr>
        <w:lastRenderedPageBreak/>
        <w:t>Invite</w:t>
      </w:r>
      <w:r w:rsidRPr="00D000D9">
        <w:rPr>
          <w:rFonts w:eastAsiaTheme="minorHAnsi"/>
          <w:lang w:val="fr-CH"/>
        </w:rPr>
        <w:t xml:space="preserve"> les États membres, les commissions fluviales, les organismes publics et organisations internationales et les autres parties prenantes à poursuivre le dialogue sur les bonnes pratiques et les mesures relatives à la mise en œuvre des objectifs en tirant parti du cadre fourni par la CEE,</w:t>
      </w:r>
    </w:p>
    <w:p w:rsidR="00D000D9" w:rsidRPr="00D000D9" w:rsidRDefault="00D000D9" w:rsidP="00D000D9">
      <w:pPr>
        <w:kinsoku w:val="0"/>
        <w:overflowPunct w:val="0"/>
        <w:autoSpaceDE w:val="0"/>
        <w:autoSpaceDN w:val="0"/>
        <w:adjustRightInd w:val="0"/>
        <w:snapToGrid w:val="0"/>
        <w:spacing w:after="120"/>
        <w:ind w:left="1134" w:right="1134" w:firstLine="567"/>
        <w:jc w:val="both"/>
        <w:rPr>
          <w:rFonts w:eastAsiaTheme="minorHAnsi"/>
          <w:lang w:val="fr-CH"/>
        </w:rPr>
      </w:pPr>
      <w:r w:rsidRPr="00D000D9">
        <w:rPr>
          <w:rFonts w:eastAsiaTheme="minorHAnsi"/>
          <w:i/>
          <w:lang w:val="fr-CH"/>
        </w:rPr>
        <w:t>Prie</w:t>
      </w:r>
      <w:r w:rsidRPr="00D000D9">
        <w:rPr>
          <w:rFonts w:eastAsiaTheme="minorHAnsi"/>
          <w:lang w:val="fr-CH"/>
        </w:rPr>
        <w:t xml:space="preserve"> le Groupe de travail des transports par voie navigable, conformément à sa stratégie pour 2016-2021 approuvée par le Comité des transports intérieurs le 24 février 2017, et en étroite coopération avec les États membres, la Commission européenne, la Commission centrale pour la navigation du Rhin, la Commission du Danube, la Commission de la Moselle et la Commission internationale de la Save, de mettre en œuvre les objectifs et les mesures stratégiques susmentionnés et de modifier son programme de travail en conséquence,</w:t>
      </w:r>
    </w:p>
    <w:p w:rsidR="00D000D9" w:rsidRPr="00D000D9" w:rsidRDefault="00D000D9" w:rsidP="00D000D9">
      <w:pPr>
        <w:kinsoku w:val="0"/>
        <w:overflowPunct w:val="0"/>
        <w:autoSpaceDE w:val="0"/>
        <w:autoSpaceDN w:val="0"/>
        <w:adjustRightInd w:val="0"/>
        <w:snapToGrid w:val="0"/>
        <w:spacing w:after="120"/>
        <w:ind w:left="1134" w:right="1134" w:firstLine="567"/>
        <w:jc w:val="both"/>
        <w:rPr>
          <w:rFonts w:eastAsiaTheme="minorHAnsi"/>
          <w:lang w:val="fr-CH"/>
        </w:rPr>
      </w:pPr>
      <w:r w:rsidRPr="00D000D9">
        <w:rPr>
          <w:rFonts w:eastAsiaTheme="minorHAnsi"/>
          <w:i/>
          <w:lang w:val="fr-CH"/>
        </w:rPr>
        <w:t>Demande</w:t>
      </w:r>
      <w:r w:rsidRPr="00D000D9">
        <w:rPr>
          <w:rFonts w:eastAsiaTheme="minorHAnsi"/>
          <w:lang w:val="fr-CH"/>
        </w:rPr>
        <w:t xml:space="preserve"> au Groupe de travail des transports par voie navigable de rendre régulièrement compte au Comité des transports intérieurs des progrès réalisés dans l’application de la présente résolution.</w:t>
      </w:r>
    </w:p>
    <w:p w:rsidR="004F5A5F" w:rsidRPr="00D000D9" w:rsidRDefault="004F5A5F" w:rsidP="004F5A5F">
      <w:pPr>
        <w:pStyle w:val="SingleTxtG"/>
        <w:spacing w:before="240" w:after="0"/>
        <w:jc w:val="center"/>
        <w:rPr>
          <w:u w:val="single"/>
          <w:lang w:val="fr-CH"/>
        </w:rPr>
      </w:pPr>
      <w:r w:rsidRPr="00D000D9">
        <w:rPr>
          <w:u w:val="single"/>
          <w:lang w:val="fr-CH"/>
        </w:rPr>
        <w:tab/>
      </w:r>
      <w:r w:rsidRPr="00D000D9">
        <w:rPr>
          <w:u w:val="single"/>
          <w:lang w:val="fr-CH"/>
        </w:rPr>
        <w:tab/>
      </w:r>
      <w:r w:rsidRPr="00D000D9">
        <w:rPr>
          <w:u w:val="single"/>
          <w:lang w:val="fr-CH"/>
        </w:rPr>
        <w:tab/>
      </w:r>
    </w:p>
    <w:sectPr w:rsidR="004F5A5F" w:rsidRPr="00D000D9" w:rsidSect="003A5F98">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F98" w:rsidRDefault="003A5F98"/>
  </w:endnote>
  <w:endnote w:type="continuationSeparator" w:id="0">
    <w:p w:rsidR="003A5F98" w:rsidRDefault="003A5F98"/>
  </w:endnote>
  <w:endnote w:type="continuationNotice" w:id="1">
    <w:p w:rsidR="003A5F98" w:rsidRDefault="003A5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ED1F90">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ED1F90">
      <w:rPr>
        <w:b/>
        <w:noProof/>
        <w:sz w:val="18"/>
      </w:rPr>
      <w:t>3</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F98" w:rsidRPr="000B175B" w:rsidRDefault="003A5F98" w:rsidP="000B175B">
      <w:pPr>
        <w:tabs>
          <w:tab w:val="right" w:pos="2155"/>
        </w:tabs>
        <w:spacing w:after="80"/>
        <w:ind w:left="680"/>
        <w:rPr>
          <w:u w:val="single"/>
        </w:rPr>
      </w:pPr>
      <w:r>
        <w:rPr>
          <w:u w:val="single"/>
        </w:rPr>
        <w:tab/>
      </w:r>
    </w:p>
  </w:footnote>
  <w:footnote w:type="continuationSeparator" w:id="0">
    <w:p w:rsidR="003A5F98" w:rsidRPr="00FC68B7" w:rsidRDefault="003A5F98" w:rsidP="00FC68B7">
      <w:pPr>
        <w:tabs>
          <w:tab w:val="left" w:pos="2155"/>
        </w:tabs>
        <w:spacing w:after="80"/>
        <w:ind w:left="680"/>
        <w:rPr>
          <w:u w:val="single"/>
        </w:rPr>
      </w:pPr>
      <w:r>
        <w:rPr>
          <w:u w:val="single"/>
        </w:rPr>
        <w:tab/>
      </w:r>
    </w:p>
  </w:footnote>
  <w:footnote w:type="continuationNotice" w:id="1">
    <w:p w:rsidR="003A5F98" w:rsidRDefault="003A5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98" w:rsidRPr="002217AC" w:rsidRDefault="00DE1FDF">
    <w:pPr>
      <w:pStyle w:val="Header"/>
      <w:rPr>
        <w:lang w:val="en-US"/>
      </w:rPr>
    </w:pPr>
    <w:r>
      <w:t>ECE/TRANS/201</w:t>
    </w:r>
    <w:r>
      <w:rPr>
        <w:lang w:val="ru-RU"/>
      </w:rPr>
      <w:t>9</w:t>
    </w:r>
    <w:r>
      <w:t>/</w:t>
    </w:r>
    <w:r w:rsidR="004F4AB5">
      <w:t>1</w:t>
    </w:r>
    <w:r w:rsidR="00557F5E">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98" w:rsidRPr="002217AC" w:rsidRDefault="006C1223" w:rsidP="003A5F98">
    <w:pPr>
      <w:pStyle w:val="Header"/>
      <w:jc w:val="right"/>
      <w:rPr>
        <w:lang w:val="en-US"/>
      </w:rPr>
    </w:pPr>
    <w:r>
      <w:t>ECE/TRANS/201</w:t>
    </w:r>
    <w:r w:rsidR="00DE1FDF">
      <w:rPr>
        <w:lang w:val="ru-RU"/>
      </w:rPr>
      <w:t>9</w:t>
    </w:r>
    <w:r w:rsidR="00DE1FDF">
      <w:t>/</w:t>
    </w:r>
    <w:r w:rsidR="004F4AB5">
      <w:rPr>
        <w:lang w:val="en-US"/>
      </w:rPr>
      <w:t>1</w:t>
    </w:r>
    <w:r w:rsidR="00557F5E">
      <w:rPr>
        <w:lang w:val="en-U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6" w:nlCheck="1" w:checkStyle="1"/>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F98"/>
    <w:rsid w:val="00002A7D"/>
    <w:rsid w:val="000038A8"/>
    <w:rsid w:val="00006790"/>
    <w:rsid w:val="00027624"/>
    <w:rsid w:val="00050F6B"/>
    <w:rsid w:val="000678CD"/>
    <w:rsid w:val="00072C8C"/>
    <w:rsid w:val="0007553C"/>
    <w:rsid w:val="00081CE0"/>
    <w:rsid w:val="00084D30"/>
    <w:rsid w:val="00090320"/>
    <w:rsid w:val="00092E85"/>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65BF"/>
    <w:rsid w:val="00211E0B"/>
    <w:rsid w:val="002217AC"/>
    <w:rsid w:val="00232575"/>
    <w:rsid w:val="00247258"/>
    <w:rsid w:val="00257CAC"/>
    <w:rsid w:val="0027237A"/>
    <w:rsid w:val="00283F23"/>
    <w:rsid w:val="002905D1"/>
    <w:rsid w:val="002974E9"/>
    <w:rsid w:val="002A7F94"/>
    <w:rsid w:val="002B109A"/>
    <w:rsid w:val="002C6D45"/>
    <w:rsid w:val="002D6E53"/>
    <w:rsid w:val="002F046D"/>
    <w:rsid w:val="00301764"/>
    <w:rsid w:val="00310340"/>
    <w:rsid w:val="003229D8"/>
    <w:rsid w:val="00336C97"/>
    <w:rsid w:val="00337F88"/>
    <w:rsid w:val="00342432"/>
    <w:rsid w:val="0035223F"/>
    <w:rsid w:val="00352D4B"/>
    <w:rsid w:val="0035638C"/>
    <w:rsid w:val="003672C4"/>
    <w:rsid w:val="003A46BB"/>
    <w:rsid w:val="003A4EC7"/>
    <w:rsid w:val="003A5F98"/>
    <w:rsid w:val="003A7295"/>
    <w:rsid w:val="003B1F60"/>
    <w:rsid w:val="003B2C95"/>
    <w:rsid w:val="003C2CC4"/>
    <w:rsid w:val="003D4B23"/>
    <w:rsid w:val="003E278A"/>
    <w:rsid w:val="00413520"/>
    <w:rsid w:val="00416162"/>
    <w:rsid w:val="004325CB"/>
    <w:rsid w:val="00440A07"/>
    <w:rsid w:val="00462880"/>
    <w:rsid w:val="00471487"/>
    <w:rsid w:val="0047566C"/>
    <w:rsid w:val="00476F24"/>
    <w:rsid w:val="004C55B0"/>
    <w:rsid w:val="004F2584"/>
    <w:rsid w:val="004F4AB5"/>
    <w:rsid w:val="004F5A5F"/>
    <w:rsid w:val="004F6BA0"/>
    <w:rsid w:val="004F6DA4"/>
    <w:rsid w:val="00503BEA"/>
    <w:rsid w:val="00511975"/>
    <w:rsid w:val="00525622"/>
    <w:rsid w:val="00533616"/>
    <w:rsid w:val="00535ABA"/>
    <w:rsid w:val="0053768B"/>
    <w:rsid w:val="005420F2"/>
    <w:rsid w:val="0054285C"/>
    <w:rsid w:val="00557F5E"/>
    <w:rsid w:val="00584173"/>
    <w:rsid w:val="00595520"/>
    <w:rsid w:val="005A44B9"/>
    <w:rsid w:val="005B1BA0"/>
    <w:rsid w:val="005B3DB3"/>
    <w:rsid w:val="005D15CA"/>
    <w:rsid w:val="005F3066"/>
    <w:rsid w:val="005F3E61"/>
    <w:rsid w:val="00604DDD"/>
    <w:rsid w:val="006115CC"/>
    <w:rsid w:val="00611D9A"/>
    <w:rsid w:val="00611FC4"/>
    <w:rsid w:val="006176FB"/>
    <w:rsid w:val="00630FCB"/>
    <w:rsid w:val="00640B26"/>
    <w:rsid w:val="0066714E"/>
    <w:rsid w:val="006770B2"/>
    <w:rsid w:val="006940E1"/>
    <w:rsid w:val="006A3C72"/>
    <w:rsid w:val="006A7392"/>
    <w:rsid w:val="006B03A1"/>
    <w:rsid w:val="006B67D9"/>
    <w:rsid w:val="006C1223"/>
    <w:rsid w:val="006C5535"/>
    <w:rsid w:val="006D0589"/>
    <w:rsid w:val="006E564B"/>
    <w:rsid w:val="006E7154"/>
    <w:rsid w:val="007003CD"/>
    <w:rsid w:val="0070701E"/>
    <w:rsid w:val="00710C2A"/>
    <w:rsid w:val="0071242A"/>
    <w:rsid w:val="0071634C"/>
    <w:rsid w:val="0072632A"/>
    <w:rsid w:val="007358E8"/>
    <w:rsid w:val="00736ECE"/>
    <w:rsid w:val="0074533B"/>
    <w:rsid w:val="007643BC"/>
    <w:rsid w:val="0076532A"/>
    <w:rsid w:val="00776F10"/>
    <w:rsid w:val="00791A2C"/>
    <w:rsid w:val="007959FE"/>
    <w:rsid w:val="007A0CF1"/>
    <w:rsid w:val="007B2E42"/>
    <w:rsid w:val="007B553D"/>
    <w:rsid w:val="007B6BA5"/>
    <w:rsid w:val="007C3390"/>
    <w:rsid w:val="007C42D8"/>
    <w:rsid w:val="007C4F4B"/>
    <w:rsid w:val="007D3C9B"/>
    <w:rsid w:val="007D7362"/>
    <w:rsid w:val="007F33C7"/>
    <w:rsid w:val="007F5CE2"/>
    <w:rsid w:val="007F6611"/>
    <w:rsid w:val="00810BAC"/>
    <w:rsid w:val="008175E9"/>
    <w:rsid w:val="008242D7"/>
    <w:rsid w:val="0082577B"/>
    <w:rsid w:val="008528B2"/>
    <w:rsid w:val="008612A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8F5906"/>
    <w:rsid w:val="00915CA4"/>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078AB"/>
    <w:rsid w:val="00C16FA6"/>
    <w:rsid w:val="00C463DD"/>
    <w:rsid w:val="00C745C3"/>
    <w:rsid w:val="00C97014"/>
    <w:rsid w:val="00CA24A4"/>
    <w:rsid w:val="00CB33F3"/>
    <w:rsid w:val="00CB348D"/>
    <w:rsid w:val="00CD46F5"/>
    <w:rsid w:val="00CE4A8F"/>
    <w:rsid w:val="00CF071D"/>
    <w:rsid w:val="00D000D9"/>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E1FDF"/>
    <w:rsid w:val="00DF7CAE"/>
    <w:rsid w:val="00E20F86"/>
    <w:rsid w:val="00E31798"/>
    <w:rsid w:val="00E423C0"/>
    <w:rsid w:val="00E6414C"/>
    <w:rsid w:val="00E7260F"/>
    <w:rsid w:val="00E8702D"/>
    <w:rsid w:val="00E916A9"/>
    <w:rsid w:val="00E916DE"/>
    <w:rsid w:val="00E925AD"/>
    <w:rsid w:val="00E96630"/>
    <w:rsid w:val="00ED18DC"/>
    <w:rsid w:val="00ED1F90"/>
    <w:rsid w:val="00ED6201"/>
    <w:rsid w:val="00ED7A2A"/>
    <w:rsid w:val="00EE7A2D"/>
    <w:rsid w:val="00EF0BAE"/>
    <w:rsid w:val="00EF1D7F"/>
    <w:rsid w:val="00F0137E"/>
    <w:rsid w:val="00F21786"/>
    <w:rsid w:val="00F3742B"/>
    <w:rsid w:val="00F41FDB"/>
    <w:rsid w:val="00F507EC"/>
    <w:rsid w:val="00F56D63"/>
    <w:rsid w:val="00F609A9"/>
    <w:rsid w:val="00F80C99"/>
    <w:rsid w:val="00F867EC"/>
    <w:rsid w:val="00F91B2B"/>
    <w:rsid w:val="00FC03CD"/>
    <w:rsid w:val="00FC0646"/>
    <w:rsid w:val="00FC627D"/>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AFEF7E5-C97C-41CD-8DEF-3F620FA8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rsid w:val="00471487"/>
    <w:rPr>
      <w:b/>
      <w:sz w:val="28"/>
      <w:lang w:eastAsia="en-US"/>
    </w:rPr>
  </w:style>
  <w:style w:type="character" w:customStyle="1" w:styleId="FootnoteTextChar">
    <w:name w:val="Footnote Text Char"/>
    <w:aliases w:val="5_G Char"/>
    <w:link w:val="FootnoteText"/>
    <w:rsid w:val="00471487"/>
    <w:rPr>
      <w:sz w:val="18"/>
      <w:lang w:eastAsia="en-US"/>
    </w:rPr>
  </w:style>
  <w:style w:type="character" w:customStyle="1" w:styleId="SingleTxtGChar">
    <w:name w:val="_ Single Txt_G Char"/>
    <w:link w:val="SingleTxtG"/>
    <w:locked/>
    <w:rsid w:val="004F5A5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7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0</TotalTime>
  <Pages>3</Pages>
  <Words>953</Words>
  <Characters>5436</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AB</cp:lastModifiedBy>
  <cp:revision>3</cp:revision>
  <cp:lastPrinted>2018-12-03T14:38:00Z</cp:lastPrinted>
  <dcterms:created xsi:type="dcterms:W3CDTF">2018-12-06T16:29:00Z</dcterms:created>
  <dcterms:modified xsi:type="dcterms:W3CDTF">2018-12-07T09:01:00Z</dcterms:modified>
</cp:coreProperties>
</file>