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900062" w:rsidRPr="00FF658F" w14:paraId="6AFDFC38" w14:textId="77777777" w:rsidTr="00D72E58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B1B2594" w14:textId="77777777" w:rsidR="00900062" w:rsidRPr="00FF658F" w:rsidRDefault="00900062" w:rsidP="00D72E58">
            <w:pPr>
              <w:rPr>
                <w:lang w:eastAsia="en-GB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0B7D8FB0" w14:textId="294A51CA" w:rsidR="00900062" w:rsidRPr="00FF658F" w:rsidRDefault="00900062" w:rsidP="00D72E58">
            <w:pPr>
              <w:jc w:val="right"/>
            </w:pPr>
            <w:r w:rsidRPr="003C435B">
              <w:rPr>
                <w:b/>
                <w:sz w:val="40"/>
                <w:szCs w:val="40"/>
              </w:rPr>
              <w:t>INF.</w:t>
            </w:r>
            <w:r w:rsidR="007144CA">
              <w:rPr>
                <w:b/>
                <w:sz w:val="40"/>
                <w:szCs w:val="40"/>
              </w:rPr>
              <w:t>11</w:t>
            </w:r>
          </w:p>
        </w:tc>
      </w:tr>
      <w:tr w:rsidR="00900062" w:rsidRPr="00FF658F" w14:paraId="15683328" w14:textId="77777777" w:rsidTr="006B6769">
        <w:trPr>
          <w:cantSplit/>
          <w:trHeight w:hRule="exact" w:val="3830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CC1F3C5" w14:textId="77777777" w:rsidR="00900062" w:rsidRPr="002E7DCB" w:rsidRDefault="00900062" w:rsidP="00D72E58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Economic Commission for Europe</w:t>
            </w:r>
          </w:p>
          <w:p w14:paraId="27B1971F" w14:textId="77777777" w:rsidR="00900062" w:rsidRPr="002E7DCB" w:rsidRDefault="00900062" w:rsidP="00D72E58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14:paraId="62FF4FD5" w14:textId="77777777" w:rsidR="00900062" w:rsidRPr="002E7DCB" w:rsidRDefault="00900062" w:rsidP="00D72E58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77A69AD5" w14:textId="77777777" w:rsidR="00900062" w:rsidRPr="00FF658F" w:rsidRDefault="00900062" w:rsidP="00D72E58">
            <w:pPr>
              <w:spacing w:before="120"/>
              <w:rPr>
                <w:b/>
              </w:rPr>
            </w:pPr>
            <w:r>
              <w:rPr>
                <w:b/>
              </w:rPr>
              <w:t>Joint Meeting of Experts on the Regulations annexed to the</w:t>
            </w:r>
          </w:p>
          <w:p w14:paraId="4D8ED244" w14:textId="77777777" w:rsidR="00900062" w:rsidRPr="00FF658F" w:rsidRDefault="00900062" w:rsidP="00D72E58">
            <w:pPr>
              <w:rPr>
                <w:b/>
              </w:rPr>
            </w:pPr>
            <w:r>
              <w:rPr>
                <w:b/>
              </w:rPr>
              <w:t>European Agreement concerning the International Carriage</w:t>
            </w:r>
          </w:p>
          <w:p w14:paraId="7B256253" w14:textId="77777777" w:rsidR="00900062" w:rsidRPr="002E7DCB" w:rsidRDefault="00900062" w:rsidP="00D72E58">
            <w:pPr>
              <w:rPr>
                <w:b/>
              </w:rPr>
            </w:pPr>
            <w:r>
              <w:rPr>
                <w:b/>
              </w:rPr>
              <w:t>of Dangerous Goods by Inland Waterways (ADN)</w:t>
            </w:r>
          </w:p>
          <w:p w14:paraId="643A125F" w14:textId="77777777" w:rsidR="00900062" w:rsidRPr="00FF658F" w:rsidRDefault="00900062" w:rsidP="00D72E58">
            <w:pPr>
              <w:spacing w:before="120"/>
              <w:rPr>
                <w:b/>
              </w:rPr>
            </w:pPr>
            <w:r>
              <w:rPr>
                <w:b/>
              </w:rPr>
              <w:t>Thirty-fourth session</w:t>
            </w:r>
          </w:p>
          <w:p w14:paraId="22DFA90B" w14:textId="77777777" w:rsidR="00900062" w:rsidRPr="002E7DCB" w:rsidRDefault="00900062" w:rsidP="00D72E58">
            <w:r>
              <w:t>Geneva, 21-25 January 2019</w:t>
            </w:r>
          </w:p>
          <w:p w14:paraId="289F5C1D" w14:textId="77777777" w:rsidR="005409BD" w:rsidRPr="00FF658F" w:rsidRDefault="005409BD" w:rsidP="005409BD">
            <w:pPr>
              <w:rPr>
                <w:lang w:eastAsia="en-GB"/>
              </w:rPr>
            </w:pPr>
            <w:r w:rsidRPr="00FF658F">
              <w:rPr>
                <w:lang w:eastAsia="en-GB"/>
              </w:rPr>
              <w:t xml:space="preserve">Item </w:t>
            </w:r>
            <w:r>
              <w:rPr>
                <w:lang w:eastAsia="en-GB"/>
              </w:rPr>
              <w:t>4 (c)</w:t>
            </w:r>
            <w:r w:rsidRPr="00FF658F">
              <w:rPr>
                <w:lang w:eastAsia="en-GB"/>
              </w:rPr>
              <w:t xml:space="preserve"> of the provisional agenda</w:t>
            </w:r>
          </w:p>
          <w:p w14:paraId="049D9157" w14:textId="1C7654A7" w:rsidR="005409BD" w:rsidRPr="004C2703" w:rsidRDefault="005409BD" w:rsidP="006B6769">
            <w:pPr>
              <w:ind w:left="0" w:firstLine="0"/>
              <w:rPr>
                <w:b/>
                <w:bCs/>
              </w:rPr>
            </w:pPr>
            <w:r w:rsidRPr="004C2703">
              <w:rPr>
                <w:b/>
                <w:bCs/>
              </w:rPr>
              <w:t>Implementation of the European Agreement concerning the International Carriage of Dangerous Goods by Inland Waterways (ADN):</w:t>
            </w:r>
          </w:p>
          <w:p w14:paraId="1A9404F5" w14:textId="43526DB0" w:rsidR="00900062" w:rsidRPr="00FF658F" w:rsidRDefault="005409BD" w:rsidP="00D72E58">
            <w:pPr>
              <w:rPr>
                <w:b/>
              </w:rPr>
            </w:pPr>
            <w:r w:rsidRPr="004C2703">
              <w:rPr>
                <w:b/>
                <w:bCs/>
              </w:rPr>
              <w:t>interpretation of</w:t>
            </w:r>
            <w:r>
              <w:rPr>
                <w:b/>
                <w:bCs/>
              </w:rPr>
              <w:t xml:space="preserve"> the Regulations annexed to ADN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B8EE4D9" w14:textId="77777777" w:rsidR="00900062" w:rsidRPr="00FF658F" w:rsidRDefault="00900062" w:rsidP="00D72E58">
            <w:pPr>
              <w:spacing w:before="120"/>
              <w:rPr>
                <w:lang w:eastAsia="en-GB"/>
              </w:rPr>
            </w:pPr>
          </w:p>
          <w:p w14:paraId="73EE3B5C" w14:textId="20A8B574" w:rsidR="00900062" w:rsidRPr="00FF658F" w:rsidRDefault="007144CA" w:rsidP="00E201C9">
            <w:pPr>
              <w:spacing w:before="120"/>
              <w:ind w:left="1695"/>
            </w:pPr>
            <w:r>
              <w:t xml:space="preserve">11 </w:t>
            </w:r>
            <w:r w:rsidR="002310BA">
              <w:t>January, 2019</w:t>
            </w:r>
          </w:p>
        </w:tc>
      </w:tr>
    </w:tbl>
    <w:p w14:paraId="597F4D63" w14:textId="60CA5546" w:rsidR="00900062" w:rsidRPr="009F2215" w:rsidRDefault="00900062" w:rsidP="00900062">
      <w:pPr>
        <w:pStyle w:val="HChG"/>
        <w:rPr>
          <w:sz w:val="32"/>
        </w:rPr>
      </w:pPr>
      <w:bookmarkStart w:id="0" w:name="_Hlk531350506"/>
      <w:r>
        <w:tab/>
      </w:r>
      <w:r>
        <w:tab/>
      </w:r>
      <w:r w:rsidR="002310BA">
        <w:t>Request for interpretation</w:t>
      </w:r>
      <w:bookmarkEnd w:id="0"/>
      <w:r w:rsidR="002310BA">
        <w:t>: Heavy</w:t>
      </w:r>
      <w:r w:rsidR="008A6B96">
        <w:t xml:space="preserve"> </w:t>
      </w:r>
      <w:r w:rsidR="00385902">
        <w:t>H</w:t>
      </w:r>
      <w:bookmarkStart w:id="1" w:name="_GoBack"/>
      <w:bookmarkEnd w:id="1"/>
      <w:r w:rsidR="003E64DA">
        <w:t xml:space="preserve">eating Oil </w:t>
      </w:r>
      <w:r w:rsidR="002310BA">
        <w:t>as UN</w:t>
      </w:r>
      <w:r w:rsidR="002D1885">
        <w:t> </w:t>
      </w:r>
      <w:r w:rsidR="002310BA">
        <w:t>3082 or UN 1202</w:t>
      </w:r>
    </w:p>
    <w:p w14:paraId="03C8B03A" w14:textId="4D3F0FDE" w:rsidR="00900062" w:rsidRDefault="00900062" w:rsidP="0030086B">
      <w:pPr>
        <w:pStyle w:val="HChG"/>
      </w:pPr>
      <w:bookmarkStart w:id="2" w:name="_Hlk531350542"/>
      <w:r>
        <w:tab/>
      </w:r>
      <w:r>
        <w:tab/>
      </w:r>
      <w:r w:rsidR="00D86529">
        <w:t xml:space="preserve">Transmitted </w:t>
      </w:r>
      <w:r>
        <w:t>by</w:t>
      </w:r>
      <w:r w:rsidR="00D86529">
        <w:t xml:space="preserve"> </w:t>
      </w:r>
      <w:bookmarkEnd w:id="2"/>
      <w:proofErr w:type="spellStart"/>
      <w:r w:rsidR="002310BA">
        <w:t>FuelsEurope</w:t>
      </w:r>
      <w:proofErr w:type="spellEnd"/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016"/>
      </w:tblGrid>
      <w:tr w:rsidR="007144CA" w14:paraId="6ABA546F" w14:textId="77777777" w:rsidTr="006B6769">
        <w:trPr>
          <w:jc w:val="center"/>
        </w:trPr>
        <w:tc>
          <w:tcPr>
            <w:tcW w:w="9016" w:type="dxa"/>
            <w:tcBorders>
              <w:bottom w:val="nil"/>
            </w:tcBorders>
          </w:tcPr>
          <w:p w14:paraId="3C42D38B" w14:textId="77777777" w:rsidR="007144CA" w:rsidRPr="00041650" w:rsidRDefault="007144CA" w:rsidP="009C0259">
            <w:pPr>
              <w:tabs>
                <w:tab w:val="left" w:pos="255"/>
              </w:tabs>
              <w:spacing w:before="240" w:after="120"/>
              <w:rPr>
                <w:sz w:val="24"/>
              </w:rPr>
            </w:pPr>
            <w:r>
              <w:tab/>
            </w:r>
            <w:r>
              <w:rPr>
                <w:i/>
                <w:sz w:val="24"/>
              </w:rPr>
              <w:t>Summary</w:t>
            </w:r>
          </w:p>
        </w:tc>
      </w:tr>
      <w:tr w:rsidR="007144CA" w14:paraId="60FF14B5" w14:textId="77777777" w:rsidTr="006B6769">
        <w:trPr>
          <w:jc w:val="center"/>
        </w:trPr>
        <w:tc>
          <w:tcPr>
            <w:tcW w:w="9016" w:type="dxa"/>
            <w:tcBorders>
              <w:top w:val="nil"/>
              <w:bottom w:val="nil"/>
            </w:tcBorders>
            <w:shd w:val="clear" w:color="auto" w:fill="auto"/>
          </w:tcPr>
          <w:p w14:paraId="09461778" w14:textId="7990E1C7" w:rsidR="007144CA" w:rsidRDefault="007144CA" w:rsidP="006B6769">
            <w:pPr>
              <w:pStyle w:val="SingleTxtG"/>
              <w:ind w:left="2552" w:hanging="2268"/>
            </w:pPr>
            <w:r w:rsidRPr="005E716C">
              <w:rPr>
                <w:b/>
              </w:rPr>
              <w:t xml:space="preserve">Executive </w:t>
            </w:r>
            <w:r w:rsidRPr="00BD4820">
              <w:rPr>
                <w:b/>
                <w:szCs w:val="22"/>
                <w:lang w:eastAsia="en-US"/>
              </w:rPr>
              <w:t>summary</w:t>
            </w:r>
            <w:r w:rsidRPr="00BD4820">
              <w:t>:</w:t>
            </w:r>
            <w:r>
              <w:rPr>
                <w:b/>
              </w:rPr>
              <w:tab/>
            </w:r>
            <w:r w:rsidRPr="00DA4298">
              <w:t xml:space="preserve">The Safety Committee introduced </w:t>
            </w:r>
            <w:r>
              <w:t>a specific entry in Table C for Heavy Heating Oil as UN 3082 in 2013. However, it appears that other ways of classifying HFO, leading to an assignment under UN</w:t>
            </w:r>
            <w:r w:rsidR="002D1885">
              <w:t> 1</w:t>
            </w:r>
            <w:r>
              <w:t>202, are being pursued.</w:t>
            </w:r>
          </w:p>
        </w:tc>
      </w:tr>
      <w:tr w:rsidR="007144CA" w14:paraId="5405113D" w14:textId="77777777" w:rsidTr="006B6769">
        <w:trPr>
          <w:jc w:val="center"/>
        </w:trPr>
        <w:tc>
          <w:tcPr>
            <w:tcW w:w="9016" w:type="dxa"/>
            <w:tcBorders>
              <w:top w:val="nil"/>
              <w:bottom w:val="nil"/>
            </w:tcBorders>
            <w:shd w:val="clear" w:color="auto" w:fill="auto"/>
          </w:tcPr>
          <w:p w14:paraId="7EEFE3DA" w14:textId="46327712" w:rsidR="007144CA" w:rsidRPr="007860A8" w:rsidRDefault="007144CA" w:rsidP="006B6769">
            <w:pPr>
              <w:pStyle w:val="SingleTxtG"/>
              <w:ind w:left="2552" w:hanging="2268"/>
            </w:pPr>
            <w:r w:rsidRPr="007860A8">
              <w:rPr>
                <w:b/>
              </w:rPr>
              <w:t>Action to be taken</w:t>
            </w:r>
            <w:r w:rsidRPr="00BD4820">
              <w:t>:</w:t>
            </w:r>
            <w:r>
              <w:tab/>
            </w:r>
            <w:r w:rsidRPr="00B449B2">
              <w:t xml:space="preserve">In paragraph </w:t>
            </w:r>
            <w:r>
              <w:t>3</w:t>
            </w:r>
            <w:r w:rsidRPr="00B449B2">
              <w:t>, the Safety Committee is requested to give the interpretation</w:t>
            </w:r>
            <w:r w:rsidR="002D1885">
              <w:t>.</w:t>
            </w:r>
          </w:p>
        </w:tc>
      </w:tr>
      <w:tr w:rsidR="007144CA" w14:paraId="1B64E3BE" w14:textId="77777777" w:rsidTr="006B6769">
        <w:trPr>
          <w:jc w:val="center"/>
        </w:trPr>
        <w:tc>
          <w:tcPr>
            <w:tcW w:w="9016" w:type="dxa"/>
            <w:tcBorders>
              <w:top w:val="nil"/>
              <w:bottom w:val="nil"/>
            </w:tcBorders>
            <w:shd w:val="clear" w:color="auto" w:fill="auto"/>
          </w:tcPr>
          <w:p w14:paraId="25998B40" w14:textId="763323D4" w:rsidR="007144CA" w:rsidRPr="006A08FC" w:rsidRDefault="007144CA" w:rsidP="006B6769">
            <w:pPr>
              <w:pStyle w:val="SingleTxtG"/>
              <w:spacing w:after="60"/>
              <w:ind w:left="2552" w:right="936" w:hanging="2268"/>
              <w:jc w:val="left"/>
            </w:pPr>
            <w:r w:rsidRPr="007860A8">
              <w:rPr>
                <w:b/>
              </w:rPr>
              <w:t>Related documents</w:t>
            </w:r>
            <w:r w:rsidRPr="00FE2586">
              <w:t>:</w:t>
            </w:r>
            <w:r>
              <w:tab/>
              <w:t>E</w:t>
            </w:r>
            <w:r w:rsidRPr="006A08FC">
              <w:t>CE/TRANS/WP.15/AC.2/2011/39</w:t>
            </w:r>
            <w:r w:rsidR="00DB2F00">
              <w:t xml:space="preserve"> of the nineteenth</w:t>
            </w:r>
            <w:r>
              <w:t xml:space="preserve"> session;</w:t>
            </w:r>
            <w:r>
              <w:br/>
            </w:r>
            <w:r w:rsidRPr="006A08FC">
              <w:t>ECE/TRANS/WP.15/AC.2/40</w:t>
            </w:r>
            <w:r w:rsidR="00DB2F00">
              <w:t xml:space="preserve"> of the nineteenth</w:t>
            </w:r>
            <w:r>
              <w:t xml:space="preserve"> session (par. 22-24 and 27)</w:t>
            </w:r>
            <w:r>
              <w:br/>
              <w:t>ECE/TRANS/WP.15/AC.2/2012/5</w:t>
            </w:r>
            <w:r w:rsidR="00DB2F00">
              <w:t xml:space="preserve"> of the twentieth</w:t>
            </w:r>
            <w:r>
              <w:t xml:space="preserve"> session;</w:t>
            </w:r>
            <w:r>
              <w:br/>
              <w:t>ECE/TRANS/WP.15/AC.2/42</w:t>
            </w:r>
            <w:r w:rsidR="00DB2F00">
              <w:t xml:space="preserve"> of the twentieth </w:t>
            </w:r>
            <w:r>
              <w:t>session (Annex I, p.15/16)</w:t>
            </w:r>
            <w:r w:rsidR="002E008C">
              <w:t>.</w:t>
            </w:r>
          </w:p>
          <w:p w14:paraId="6173327E" w14:textId="76AD14C3" w:rsidR="007144CA" w:rsidRPr="007860A8" w:rsidRDefault="007144CA" w:rsidP="006B6769">
            <w:pPr>
              <w:pStyle w:val="SingleTxtG"/>
              <w:spacing w:after="60"/>
              <w:ind w:right="794"/>
              <w:jc w:val="left"/>
            </w:pPr>
          </w:p>
        </w:tc>
      </w:tr>
      <w:tr w:rsidR="007144CA" w14:paraId="71D466E0" w14:textId="77777777" w:rsidTr="006B6769">
        <w:trPr>
          <w:jc w:val="center"/>
        </w:trPr>
        <w:tc>
          <w:tcPr>
            <w:tcW w:w="9016" w:type="dxa"/>
            <w:tcBorders>
              <w:top w:val="nil"/>
            </w:tcBorders>
          </w:tcPr>
          <w:p w14:paraId="0881ACF2" w14:textId="77777777" w:rsidR="007144CA" w:rsidRDefault="007144CA" w:rsidP="009C0259"/>
        </w:tc>
      </w:tr>
    </w:tbl>
    <w:p w14:paraId="43A76374" w14:textId="23B677F8" w:rsidR="00900062" w:rsidRDefault="00044666" w:rsidP="0030086B">
      <w:pPr>
        <w:pStyle w:val="HChG"/>
      </w:pPr>
      <w:r>
        <w:tab/>
      </w:r>
      <w:r w:rsidR="002D1885">
        <w:t>I.</w:t>
      </w:r>
      <w:r w:rsidR="002D1885">
        <w:tab/>
      </w:r>
      <w:r w:rsidR="00900062">
        <w:t>Introduction</w:t>
      </w:r>
    </w:p>
    <w:p w14:paraId="079F33A8" w14:textId="77777777" w:rsidR="00FE2CCB" w:rsidRDefault="00D50260" w:rsidP="00FE2CCB">
      <w:pPr>
        <w:pStyle w:val="SingleTxtG"/>
        <w:numPr>
          <w:ilvl w:val="0"/>
          <w:numId w:val="3"/>
        </w:numPr>
        <w:tabs>
          <w:tab w:val="left" w:pos="1560"/>
        </w:tabs>
        <w:ind w:right="521"/>
      </w:pPr>
      <w:r>
        <w:t>The discussion on the use of the code UN 3082, HEAVY HEATING OIL has been ongoing for a c</w:t>
      </w:r>
      <w:r w:rsidR="00E20629">
        <w:t>ouple of years</w:t>
      </w:r>
      <w:r>
        <w:t xml:space="preserve"> in the Netherland</w:t>
      </w:r>
      <w:r w:rsidR="00583E5F">
        <w:t>s</w:t>
      </w:r>
      <w:r>
        <w:t xml:space="preserve">. During 2018, </w:t>
      </w:r>
      <w:r w:rsidR="00B21B7C">
        <w:t xml:space="preserve">the classification of Heavy Heating Oil as UN 1202 is being pursued, leading to discussions. </w:t>
      </w:r>
      <w:r>
        <w:t xml:space="preserve">Our industry </w:t>
      </w:r>
      <w:proofErr w:type="gramStart"/>
      <w:r>
        <w:t>is of the opinion that</w:t>
      </w:r>
      <w:proofErr w:type="gramEnd"/>
      <w:r>
        <w:t xml:space="preserve"> due to </w:t>
      </w:r>
      <w:r w:rsidR="00E20629">
        <w:t xml:space="preserve">the </w:t>
      </w:r>
      <w:r w:rsidR="003E64DA">
        <w:t xml:space="preserve">specific </w:t>
      </w:r>
      <w:r w:rsidR="00E20629">
        <w:t>entry in Table C</w:t>
      </w:r>
      <w:r>
        <w:t xml:space="preserve"> introduced by the Safety Committee in 2013</w:t>
      </w:r>
      <w:r w:rsidR="00E20629">
        <w:t xml:space="preserve"> HEAVY </w:t>
      </w:r>
      <w:r w:rsidR="003E64DA">
        <w:t>HEATING OIL</w:t>
      </w:r>
      <w:r>
        <w:t xml:space="preserve"> should be further handled as UN 3082. A practise used since many</w:t>
      </w:r>
      <w:r w:rsidR="00450510">
        <w:t xml:space="preserve"> </w:t>
      </w:r>
      <w:r>
        <w:t>years</w:t>
      </w:r>
      <w:r w:rsidR="00FE2CCB">
        <w:t xml:space="preserve">: HEAVY HEATING OIL as UN 3082 ENVIRONMENTALLY HAZARDOUS SUBSTANCE, LIQUID (HEAVY HEATING OIL), 9 + CMR, (N1, N2, F or S), III.  </w:t>
      </w:r>
    </w:p>
    <w:p w14:paraId="441A11A5" w14:textId="6FE10008" w:rsidR="00047325" w:rsidRDefault="0030086B">
      <w:pPr>
        <w:pStyle w:val="HChG"/>
      </w:pPr>
      <w:r>
        <w:lastRenderedPageBreak/>
        <w:tab/>
      </w:r>
      <w:r w:rsidR="002D1885">
        <w:t>II.</w:t>
      </w:r>
      <w:r w:rsidR="002D1885">
        <w:tab/>
      </w:r>
      <w:r w:rsidR="00583731">
        <w:t xml:space="preserve">Arguments </w:t>
      </w:r>
      <w:r w:rsidR="00FE2CCB">
        <w:t xml:space="preserve">to maintain </w:t>
      </w:r>
      <w:r w:rsidR="00583731">
        <w:t xml:space="preserve">the classification of HEAVY HEATING OIL </w:t>
      </w:r>
      <w:r w:rsidR="00331AC9">
        <w:t>as</w:t>
      </w:r>
      <w:r w:rsidR="00583731">
        <w:t xml:space="preserve"> UN </w:t>
      </w:r>
      <w:r w:rsidR="00FE2CCB">
        <w:t>3082</w:t>
      </w:r>
    </w:p>
    <w:p w14:paraId="3723C26E" w14:textId="77777777" w:rsidR="00047325" w:rsidRDefault="006518C9" w:rsidP="006A08FC">
      <w:pPr>
        <w:pStyle w:val="SingleTxtG"/>
        <w:numPr>
          <w:ilvl w:val="0"/>
          <w:numId w:val="3"/>
        </w:numPr>
        <w:tabs>
          <w:tab w:val="left" w:pos="1560"/>
        </w:tabs>
        <w:ind w:right="521"/>
      </w:pPr>
      <w:proofErr w:type="spellStart"/>
      <w:r>
        <w:t>FuelsEurope</w:t>
      </w:r>
      <w:proofErr w:type="spellEnd"/>
      <w:r w:rsidR="00FE2CCB">
        <w:t xml:space="preserve"> </w:t>
      </w:r>
      <w:proofErr w:type="gramStart"/>
      <w:r w:rsidR="00FE2CCB">
        <w:t>is of the opinion that</w:t>
      </w:r>
      <w:proofErr w:type="gramEnd"/>
      <w:r w:rsidR="00FE2CCB">
        <w:t xml:space="preserve"> the</w:t>
      </w:r>
      <w:r w:rsidR="00047325">
        <w:t xml:space="preserve"> history</w:t>
      </w:r>
      <w:r w:rsidR="00FE2CCB">
        <w:t xml:space="preserve"> leading to t</w:t>
      </w:r>
      <w:r w:rsidR="003E64DA">
        <w:t xml:space="preserve">he </w:t>
      </w:r>
      <w:r>
        <w:t xml:space="preserve">decision was reached to include a specific entry for </w:t>
      </w:r>
      <w:r w:rsidR="00047325">
        <w:t>HEAVY HEATING OIL</w:t>
      </w:r>
      <w:r w:rsidR="00FE2CCB">
        <w:t xml:space="preserve"> should be considered, meaning</w:t>
      </w:r>
      <w:r>
        <w:t>:</w:t>
      </w:r>
    </w:p>
    <w:p w14:paraId="71E6C77B" w14:textId="11F2D329" w:rsidR="006A08FC" w:rsidRPr="00450510" w:rsidRDefault="002D1885" w:rsidP="006B6769">
      <w:pPr>
        <w:pStyle w:val="SingleTxtG"/>
        <w:tabs>
          <w:tab w:val="left" w:pos="1560"/>
        </w:tabs>
        <w:ind w:right="521"/>
      </w:pPr>
      <w:r>
        <w:tab/>
      </w:r>
      <w:r w:rsidR="00440BF8">
        <w:tab/>
      </w:r>
      <w:r>
        <w:t>(a)</w:t>
      </w:r>
      <w:r>
        <w:tab/>
      </w:r>
      <w:r w:rsidR="006A08FC">
        <w:t>On June 10, 2011, the German delegation submit</w:t>
      </w:r>
      <w:r w:rsidR="00B21B7C">
        <w:t>t</w:t>
      </w:r>
      <w:r w:rsidR="00FE2CCB">
        <w:t>ed</w:t>
      </w:r>
      <w:r w:rsidR="006A08FC">
        <w:t xml:space="preserve"> a working document on heavy fuel oil, for discussion during the </w:t>
      </w:r>
      <w:r w:rsidR="00DB2F00" w:rsidRPr="006B6769">
        <w:t>nineteenth</w:t>
      </w:r>
      <w:r w:rsidR="006A08FC" w:rsidRPr="00DB2F00">
        <w:t xml:space="preserve"> </w:t>
      </w:r>
      <w:r w:rsidR="006A08FC">
        <w:t xml:space="preserve">session of the Joint Meeting of Experts. </w:t>
      </w:r>
      <w:r w:rsidR="00D05B9D" w:rsidRPr="00450510">
        <w:t>The document outlines the fundamental classification issues and t</w:t>
      </w:r>
      <w:r w:rsidR="0075078C" w:rsidRPr="00450510">
        <w:t xml:space="preserve">he outcome of these discussions, where emphasis was put on the </w:t>
      </w:r>
      <w:proofErr w:type="spellStart"/>
      <w:r w:rsidR="0075078C" w:rsidRPr="00450510">
        <w:t>aquatoxic</w:t>
      </w:r>
      <w:proofErr w:type="spellEnd"/>
      <w:r w:rsidR="0075078C" w:rsidRPr="00450510">
        <w:t xml:space="preserve"> properties of Heavy Heating Oil</w:t>
      </w:r>
      <w:r w:rsidR="00440BF8">
        <w:t>;</w:t>
      </w:r>
      <w:r w:rsidR="00D05B9D" w:rsidRPr="00450510">
        <w:rPr>
          <w:vertAlign w:val="superscript"/>
        </w:rPr>
        <w:t>1</w:t>
      </w:r>
    </w:p>
    <w:p w14:paraId="3D7FAB80" w14:textId="0BC8CF43" w:rsidR="006A08FC" w:rsidRDefault="002D1885" w:rsidP="006B6769">
      <w:pPr>
        <w:pStyle w:val="SingleTxtG"/>
        <w:tabs>
          <w:tab w:val="left" w:pos="1560"/>
        </w:tabs>
        <w:ind w:right="521"/>
      </w:pPr>
      <w:r>
        <w:tab/>
      </w:r>
      <w:r w:rsidR="00440BF8">
        <w:tab/>
      </w:r>
      <w:r>
        <w:t>(b)</w:t>
      </w:r>
      <w:r>
        <w:tab/>
      </w:r>
      <w:r w:rsidR="006A08FC">
        <w:t xml:space="preserve">During the August 22-25, 2011 session, working document 2011/39 is discussed. </w:t>
      </w:r>
      <w:r w:rsidR="00D05B9D">
        <w:t>It was noted that Heavy Fuel Oils are complex mixtures that me</w:t>
      </w:r>
      <w:r w:rsidR="00583E5F">
        <w:t>e</w:t>
      </w:r>
      <w:r w:rsidR="00D05B9D">
        <w:t xml:space="preserve">t the criteria for pollution in the aquatic environment and that they could be classified as N1, N2, or N3. </w:t>
      </w:r>
      <w:r w:rsidR="006A08FC">
        <w:t xml:space="preserve">The Informal Working Group Substances receives the mandate to investigate </w:t>
      </w:r>
      <w:r w:rsidR="0075078C">
        <w:t xml:space="preserve">further </w:t>
      </w:r>
      <w:r w:rsidR="006A08FC">
        <w:t xml:space="preserve">and </w:t>
      </w:r>
      <w:r w:rsidR="00583E5F">
        <w:t xml:space="preserve">to </w:t>
      </w:r>
      <w:r w:rsidR="006A08FC">
        <w:t>come up with a proposal</w:t>
      </w:r>
      <w:r w:rsidR="0075078C">
        <w:t xml:space="preserve"> under which conditions HFOs can be transported</w:t>
      </w:r>
      <w:r w:rsidR="00440BF8">
        <w:t>;</w:t>
      </w:r>
      <w:r w:rsidR="006A08FC" w:rsidRPr="00594A4A">
        <w:rPr>
          <w:vertAlign w:val="superscript"/>
        </w:rPr>
        <w:t>2</w:t>
      </w:r>
    </w:p>
    <w:p w14:paraId="65E3240A" w14:textId="49D28E69" w:rsidR="00EE60DB" w:rsidRPr="006B6769" w:rsidRDefault="002D1885" w:rsidP="006B6769">
      <w:pPr>
        <w:pStyle w:val="SingleTxtG"/>
        <w:tabs>
          <w:tab w:val="left" w:pos="1560"/>
        </w:tabs>
        <w:ind w:right="521"/>
      </w:pPr>
      <w:r>
        <w:tab/>
      </w:r>
      <w:r w:rsidR="00440BF8">
        <w:tab/>
      </w:r>
      <w:r>
        <w:t>(c)</w:t>
      </w:r>
      <w:r>
        <w:tab/>
      </w:r>
      <w:r w:rsidR="006518C9">
        <w:t xml:space="preserve">On </w:t>
      </w:r>
      <w:r w:rsidR="006A08FC">
        <w:t xml:space="preserve">October 13, 2011, </w:t>
      </w:r>
      <w:r w:rsidR="006518C9">
        <w:t>t</w:t>
      </w:r>
      <w:r w:rsidR="006A08FC">
        <w:t xml:space="preserve">he Informal Working Group Substances </w:t>
      </w:r>
      <w:r w:rsidR="0075078C">
        <w:t xml:space="preserve">discusses the conditions and </w:t>
      </w:r>
      <w:r w:rsidR="006A08FC">
        <w:t>agrees to propose a new entry for Heavy Fuel Oil</w:t>
      </w:r>
      <w:r w:rsidR="0075078C">
        <w:t xml:space="preserve"> under UN 3082, to be</w:t>
      </w:r>
      <w:r w:rsidR="006A08FC">
        <w:t xml:space="preserve"> discussed during the </w:t>
      </w:r>
      <w:r w:rsidR="00DB2F00" w:rsidRPr="00DB2F00">
        <w:t>twentieth</w:t>
      </w:r>
      <w:r w:rsidR="006A08FC">
        <w:t xml:space="preserve"> session of the Joint Meeting of Experts. 3) ILT is a participant of this IWG Substances meeting</w:t>
      </w:r>
      <w:r w:rsidR="00440BF8">
        <w:t>;</w:t>
      </w:r>
      <w:r w:rsidR="00594A4A" w:rsidRPr="00594A4A">
        <w:rPr>
          <w:vertAlign w:val="superscript"/>
        </w:rPr>
        <w:t>3</w:t>
      </w:r>
      <w:r w:rsidR="00FE2CCB" w:rsidRPr="00FE2CCB">
        <w:rPr>
          <w:color w:val="FF0000"/>
          <w:vertAlign w:val="superscript"/>
        </w:rPr>
        <w:t xml:space="preserve"> </w:t>
      </w:r>
    </w:p>
    <w:p w14:paraId="55EA8BF7" w14:textId="4AAA4858" w:rsidR="00DD396E" w:rsidRDefault="002D1885" w:rsidP="006B6769">
      <w:pPr>
        <w:pStyle w:val="SingleTxtG"/>
        <w:tabs>
          <w:tab w:val="left" w:pos="1560"/>
        </w:tabs>
        <w:ind w:right="521"/>
      </w:pPr>
      <w:r>
        <w:tab/>
      </w:r>
      <w:r w:rsidR="00440BF8">
        <w:tab/>
      </w:r>
      <w:r>
        <w:t>(d)</w:t>
      </w:r>
      <w:r>
        <w:tab/>
      </w:r>
      <w:r w:rsidR="006518C9">
        <w:t xml:space="preserve">During the </w:t>
      </w:r>
      <w:r w:rsidR="00DB2F00">
        <w:t xml:space="preserve">twentieth </w:t>
      </w:r>
      <w:r w:rsidR="006518C9">
        <w:t>session (</w:t>
      </w:r>
      <w:r w:rsidR="00EE60DB">
        <w:t>January 23-27, 2012</w:t>
      </w:r>
      <w:r w:rsidR="006518C9">
        <w:t>), the ADN Safety Committee agrees to adopt the p</w:t>
      </w:r>
      <w:r w:rsidR="00EE60DB">
        <w:t xml:space="preserve">roposals of the </w:t>
      </w:r>
      <w:r w:rsidR="007B7C84">
        <w:t>informal Working Group Substances</w:t>
      </w:r>
      <w:r w:rsidR="00EE60DB">
        <w:t xml:space="preserve"> </w:t>
      </w:r>
      <w:r w:rsidR="0075078C">
        <w:t xml:space="preserve">on HFO as UN 3082 </w:t>
      </w:r>
      <w:r w:rsidR="00EE60DB">
        <w:t xml:space="preserve">and </w:t>
      </w:r>
      <w:r w:rsidR="006518C9">
        <w:t xml:space="preserve">these </w:t>
      </w:r>
      <w:r w:rsidR="00EE60DB">
        <w:t>will come into force effective ADN 2013</w:t>
      </w:r>
      <w:r w:rsidR="00440BF8">
        <w:t>;</w:t>
      </w:r>
      <w:r w:rsidR="00594A4A" w:rsidRPr="00594A4A">
        <w:rPr>
          <w:vertAlign w:val="superscript"/>
        </w:rPr>
        <w:t>4</w:t>
      </w:r>
    </w:p>
    <w:p w14:paraId="220877FF" w14:textId="5D9D6707" w:rsidR="006518C9" w:rsidRDefault="002D1885" w:rsidP="006B6769">
      <w:pPr>
        <w:pStyle w:val="SingleTxtG"/>
        <w:tabs>
          <w:tab w:val="left" w:pos="1560"/>
        </w:tabs>
        <w:ind w:right="521"/>
      </w:pPr>
      <w:r>
        <w:tab/>
      </w:r>
      <w:r w:rsidR="00440BF8">
        <w:tab/>
      </w:r>
      <w:r>
        <w:t>(e)</w:t>
      </w:r>
      <w:r>
        <w:tab/>
      </w:r>
      <w:r w:rsidR="006518C9">
        <w:t>In AD</w:t>
      </w:r>
      <w:r w:rsidR="003E64DA">
        <w:t>N</w:t>
      </w:r>
      <w:r w:rsidR="006518C9">
        <w:t xml:space="preserve"> 2013, the following entry for HEAVY HEATING OIL appears in </w:t>
      </w:r>
      <w:r w:rsidR="003E64DA">
        <w:t xml:space="preserve">Ch. 3, </w:t>
      </w:r>
      <w:r w:rsidR="006518C9">
        <w:t xml:space="preserve">table C and is </w:t>
      </w:r>
      <w:r w:rsidR="003E64DA">
        <w:t>still in place today:</w:t>
      </w:r>
    </w:p>
    <w:p w14:paraId="39F02F61" w14:textId="77777777" w:rsidR="006518C9" w:rsidRDefault="003E64DA" w:rsidP="003E64DA">
      <w:pPr>
        <w:pStyle w:val="SingleTxtG"/>
        <w:tabs>
          <w:tab w:val="left" w:pos="1560"/>
        </w:tabs>
        <w:ind w:right="521"/>
      </w:pPr>
      <w:r>
        <w:rPr>
          <w:noProof/>
          <w:lang w:eastAsia="en-GB"/>
        </w:rPr>
        <w:drawing>
          <wp:inline distT="0" distB="0" distL="0" distR="0" wp14:anchorId="349A0D3E" wp14:editId="30428F22">
            <wp:extent cx="5791200" cy="488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A88F2" w14:textId="6083DBDA" w:rsidR="00EE60DB" w:rsidRDefault="00440BF8" w:rsidP="006B6769">
      <w:pPr>
        <w:pStyle w:val="HChG"/>
        <w:tabs>
          <w:tab w:val="left" w:pos="1134"/>
        </w:tabs>
        <w:ind w:left="567"/>
        <w:rPr>
          <w:szCs w:val="28"/>
        </w:rPr>
      </w:pPr>
      <w:r>
        <w:tab/>
      </w:r>
      <w:r>
        <w:tab/>
        <w:t>III.</w:t>
      </w:r>
      <w:r>
        <w:tab/>
      </w:r>
      <w:r w:rsidR="00713C22">
        <w:rPr>
          <w:szCs w:val="28"/>
        </w:rPr>
        <w:t xml:space="preserve">Request </w:t>
      </w:r>
      <w:r w:rsidR="00D81754">
        <w:rPr>
          <w:szCs w:val="28"/>
        </w:rPr>
        <w:t>to the AD</w:t>
      </w:r>
      <w:r w:rsidR="00882667">
        <w:rPr>
          <w:szCs w:val="28"/>
        </w:rPr>
        <w:t>N</w:t>
      </w:r>
      <w:r w:rsidR="00D81754">
        <w:rPr>
          <w:szCs w:val="28"/>
        </w:rPr>
        <w:t xml:space="preserve"> Safety Committee</w:t>
      </w:r>
    </w:p>
    <w:p w14:paraId="028487EE" w14:textId="77777777" w:rsidR="00FB63BD" w:rsidRDefault="00D81754" w:rsidP="006A08FC">
      <w:pPr>
        <w:pStyle w:val="SingleTxtG"/>
        <w:numPr>
          <w:ilvl w:val="0"/>
          <w:numId w:val="3"/>
        </w:numPr>
        <w:tabs>
          <w:tab w:val="left" w:pos="1560"/>
        </w:tabs>
        <w:ind w:right="521"/>
      </w:pPr>
      <w:proofErr w:type="spellStart"/>
      <w:r>
        <w:t>FuelsEurope</w:t>
      </w:r>
      <w:proofErr w:type="spellEnd"/>
      <w:r>
        <w:t xml:space="preserve"> invites the AD</w:t>
      </w:r>
      <w:r w:rsidR="00882667">
        <w:t>N</w:t>
      </w:r>
      <w:r>
        <w:t xml:space="preserve"> Safety Committee to </w:t>
      </w:r>
      <w:r w:rsidR="00FE2CCB">
        <w:t>take note of the different interpretations</w:t>
      </w:r>
      <w:r w:rsidR="00CD7DD4">
        <w:t xml:space="preserve"> which </w:t>
      </w:r>
      <w:r w:rsidR="00450510">
        <w:t>exist regarding</w:t>
      </w:r>
      <w:r>
        <w:t xml:space="preserve"> the classification of HEAVY HEATING OIL</w:t>
      </w:r>
      <w:r w:rsidR="00CD7DD4">
        <w:t xml:space="preserve"> and to clarify whether the existing entry under UN 3082 should be</w:t>
      </w:r>
      <w:r w:rsidR="00583E5F">
        <w:t xml:space="preserve"> continued to be</w:t>
      </w:r>
      <w:r w:rsidR="00CD7DD4">
        <w:t xml:space="preserve"> used, or </w:t>
      </w:r>
      <w:r w:rsidR="00583E5F">
        <w:t>that changes to are required (e.g. other classification code)</w:t>
      </w:r>
      <w:r w:rsidR="00CD7DD4">
        <w:t>.</w:t>
      </w:r>
    </w:p>
    <w:p w14:paraId="315F6B09" w14:textId="77777777" w:rsidR="00900062" w:rsidRDefault="00900062" w:rsidP="00900062">
      <w:pPr>
        <w:pStyle w:val="SingleTxtG"/>
        <w:widowControl/>
        <w:suppressAutoHyphens/>
        <w:spacing w:before="240" w:after="0" w:line="240" w:lineRule="atLeast"/>
        <w:ind w:firstLine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00062" w:rsidSect="006B6769">
      <w:headerReference w:type="even" r:id="rId9"/>
      <w:footerReference w:type="even" r:id="rId10"/>
      <w:pgSz w:w="11906" w:h="16838" w:code="9"/>
      <w:pgMar w:top="1701" w:right="1134" w:bottom="2268" w:left="1418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AF2F3" w14:textId="77777777" w:rsidR="007F2E9E" w:rsidRDefault="007F2E9E" w:rsidP="00AF3A8A">
      <w:r>
        <w:separator/>
      </w:r>
    </w:p>
  </w:endnote>
  <w:endnote w:type="continuationSeparator" w:id="0">
    <w:p w14:paraId="11846D3A" w14:textId="77777777" w:rsidR="007F2E9E" w:rsidRDefault="007F2E9E" w:rsidP="00AF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184312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56690B10" w14:textId="1344ED96" w:rsidR="002D1885" w:rsidRPr="006B6769" w:rsidRDefault="002D1885">
        <w:pPr>
          <w:pStyle w:val="Footer"/>
          <w:rPr>
            <w:b/>
            <w:bCs/>
          </w:rPr>
        </w:pPr>
        <w:r w:rsidRPr="006B6769">
          <w:rPr>
            <w:b/>
            <w:bCs/>
          </w:rPr>
          <w:fldChar w:fldCharType="begin"/>
        </w:r>
        <w:r w:rsidRPr="006B6769">
          <w:rPr>
            <w:b/>
            <w:bCs/>
          </w:rPr>
          <w:instrText xml:space="preserve"> PAGE   \* MERGEFORMAT </w:instrText>
        </w:r>
        <w:r w:rsidRPr="006B6769">
          <w:rPr>
            <w:b/>
            <w:bCs/>
          </w:rPr>
          <w:fldChar w:fldCharType="separate"/>
        </w:r>
        <w:r w:rsidRPr="006B6769">
          <w:rPr>
            <w:b/>
            <w:bCs/>
            <w:noProof/>
          </w:rPr>
          <w:t>2</w:t>
        </w:r>
        <w:r w:rsidRPr="006B6769">
          <w:rPr>
            <w:b/>
            <w:bCs/>
            <w:noProof/>
          </w:rPr>
          <w:fldChar w:fldCharType="end"/>
        </w:r>
      </w:p>
    </w:sdtContent>
  </w:sdt>
  <w:p w14:paraId="3D40A105" w14:textId="77777777" w:rsidR="002D1885" w:rsidRDefault="002D1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EA82B" w14:textId="77777777" w:rsidR="007F2E9E" w:rsidRDefault="007F2E9E" w:rsidP="00AF3A8A">
      <w:r>
        <w:separator/>
      </w:r>
    </w:p>
  </w:footnote>
  <w:footnote w:type="continuationSeparator" w:id="0">
    <w:p w14:paraId="453CB818" w14:textId="77777777" w:rsidR="007F2E9E" w:rsidRDefault="007F2E9E" w:rsidP="00AF3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E2E4B" w14:textId="295E5161" w:rsidR="007144CA" w:rsidRPr="006B6769" w:rsidRDefault="007144CA">
    <w:pPr>
      <w:pStyle w:val="Header"/>
      <w:rPr>
        <w:lang w:val="fr-CH"/>
      </w:rPr>
    </w:pPr>
    <w:r>
      <w:rPr>
        <w:lang w:val="fr-CH"/>
      </w:rPr>
      <w:t>INF.</w:t>
    </w:r>
    <w:r w:rsidR="002D1885">
      <w:rPr>
        <w:lang w:val="fr-CH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A18D2"/>
    <w:multiLevelType w:val="hybridMultilevel"/>
    <w:tmpl w:val="FC46A4C6"/>
    <w:lvl w:ilvl="0" w:tplc="753ABEFE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A8FEBB34">
      <w:start w:val="1"/>
      <w:numFmt w:val="lowerLetter"/>
      <w:lvlText w:val="%2."/>
      <w:lvlJc w:val="left"/>
      <w:pPr>
        <w:ind w:left="2214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01C6A3E"/>
    <w:multiLevelType w:val="hybridMultilevel"/>
    <w:tmpl w:val="1B6C6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5135B"/>
    <w:multiLevelType w:val="hybridMultilevel"/>
    <w:tmpl w:val="82A2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A3B82"/>
    <w:multiLevelType w:val="hybridMultilevel"/>
    <w:tmpl w:val="3C281A42"/>
    <w:lvl w:ilvl="0" w:tplc="947E3AC0">
      <w:start w:val="4"/>
      <w:numFmt w:val="lowerLetter"/>
      <w:lvlText w:val="(%1)"/>
      <w:lvlJc w:val="left"/>
      <w:pPr>
        <w:ind w:left="25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94" w:hanging="360"/>
      </w:pPr>
    </w:lvl>
    <w:lvl w:ilvl="2" w:tplc="0809001B" w:tentative="1">
      <w:start w:val="1"/>
      <w:numFmt w:val="lowerRoman"/>
      <w:lvlText w:val="%3."/>
      <w:lvlJc w:val="right"/>
      <w:pPr>
        <w:ind w:left="4014" w:hanging="180"/>
      </w:pPr>
    </w:lvl>
    <w:lvl w:ilvl="3" w:tplc="0809000F" w:tentative="1">
      <w:start w:val="1"/>
      <w:numFmt w:val="decimal"/>
      <w:lvlText w:val="%4."/>
      <w:lvlJc w:val="left"/>
      <w:pPr>
        <w:ind w:left="4734" w:hanging="360"/>
      </w:pPr>
    </w:lvl>
    <w:lvl w:ilvl="4" w:tplc="08090019" w:tentative="1">
      <w:start w:val="1"/>
      <w:numFmt w:val="lowerLetter"/>
      <w:lvlText w:val="%5."/>
      <w:lvlJc w:val="left"/>
      <w:pPr>
        <w:ind w:left="5454" w:hanging="360"/>
      </w:pPr>
    </w:lvl>
    <w:lvl w:ilvl="5" w:tplc="0809001B" w:tentative="1">
      <w:start w:val="1"/>
      <w:numFmt w:val="lowerRoman"/>
      <w:lvlText w:val="%6."/>
      <w:lvlJc w:val="right"/>
      <w:pPr>
        <w:ind w:left="6174" w:hanging="180"/>
      </w:pPr>
    </w:lvl>
    <w:lvl w:ilvl="6" w:tplc="0809000F" w:tentative="1">
      <w:start w:val="1"/>
      <w:numFmt w:val="decimal"/>
      <w:lvlText w:val="%7."/>
      <w:lvlJc w:val="left"/>
      <w:pPr>
        <w:ind w:left="6894" w:hanging="360"/>
      </w:pPr>
    </w:lvl>
    <w:lvl w:ilvl="7" w:tplc="08090019" w:tentative="1">
      <w:start w:val="1"/>
      <w:numFmt w:val="lowerLetter"/>
      <w:lvlText w:val="%8."/>
      <w:lvlJc w:val="left"/>
      <w:pPr>
        <w:ind w:left="7614" w:hanging="360"/>
      </w:pPr>
    </w:lvl>
    <w:lvl w:ilvl="8" w:tplc="0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" w15:restartNumberingAfterBreak="0">
    <w:nsid w:val="4AEF7624"/>
    <w:multiLevelType w:val="hybridMultilevel"/>
    <w:tmpl w:val="0772057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66A6AA8"/>
    <w:multiLevelType w:val="hybridMultilevel"/>
    <w:tmpl w:val="3F04D4DA"/>
    <w:lvl w:ilvl="0" w:tplc="A9A461F4">
      <w:start w:val="5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E24FB"/>
    <w:multiLevelType w:val="hybridMultilevel"/>
    <w:tmpl w:val="919A5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00436"/>
    <w:multiLevelType w:val="hybridMultilevel"/>
    <w:tmpl w:val="C478E6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62"/>
    <w:rsid w:val="00031C68"/>
    <w:rsid w:val="00044666"/>
    <w:rsid w:val="00047325"/>
    <w:rsid w:val="000F0043"/>
    <w:rsid w:val="002310BA"/>
    <w:rsid w:val="00246E4C"/>
    <w:rsid w:val="002D1885"/>
    <w:rsid w:val="002E008C"/>
    <w:rsid w:val="002E06F8"/>
    <w:rsid w:val="0030086B"/>
    <w:rsid w:val="00331AC9"/>
    <w:rsid w:val="00375FED"/>
    <w:rsid w:val="00385902"/>
    <w:rsid w:val="003C10B9"/>
    <w:rsid w:val="003E64DA"/>
    <w:rsid w:val="00440BF8"/>
    <w:rsid w:val="00450510"/>
    <w:rsid w:val="004A5906"/>
    <w:rsid w:val="004B5A77"/>
    <w:rsid w:val="004C651D"/>
    <w:rsid w:val="005409BD"/>
    <w:rsid w:val="00553259"/>
    <w:rsid w:val="00571DDC"/>
    <w:rsid w:val="00583731"/>
    <w:rsid w:val="00583E5F"/>
    <w:rsid w:val="00594A4A"/>
    <w:rsid w:val="005E4BB3"/>
    <w:rsid w:val="00611287"/>
    <w:rsid w:val="00632371"/>
    <w:rsid w:val="00637D3F"/>
    <w:rsid w:val="00644EE3"/>
    <w:rsid w:val="006518C9"/>
    <w:rsid w:val="006A08FC"/>
    <w:rsid w:val="006B6769"/>
    <w:rsid w:val="00713C22"/>
    <w:rsid w:val="007144CA"/>
    <w:rsid w:val="00737E70"/>
    <w:rsid w:val="0075078C"/>
    <w:rsid w:val="007713DA"/>
    <w:rsid w:val="007B7C84"/>
    <w:rsid w:val="007E4A52"/>
    <w:rsid w:val="007F2E9E"/>
    <w:rsid w:val="007F5205"/>
    <w:rsid w:val="00841848"/>
    <w:rsid w:val="00857E7C"/>
    <w:rsid w:val="00882667"/>
    <w:rsid w:val="008904A7"/>
    <w:rsid w:val="008A6B96"/>
    <w:rsid w:val="00900062"/>
    <w:rsid w:val="00930F93"/>
    <w:rsid w:val="00991587"/>
    <w:rsid w:val="00AF3A8A"/>
    <w:rsid w:val="00B11C14"/>
    <w:rsid w:val="00B21B7C"/>
    <w:rsid w:val="00B449B2"/>
    <w:rsid w:val="00B8063B"/>
    <w:rsid w:val="00B8583E"/>
    <w:rsid w:val="00C16959"/>
    <w:rsid w:val="00C51EF8"/>
    <w:rsid w:val="00C65283"/>
    <w:rsid w:val="00CD7DD4"/>
    <w:rsid w:val="00D05B9D"/>
    <w:rsid w:val="00D50260"/>
    <w:rsid w:val="00D81754"/>
    <w:rsid w:val="00D86529"/>
    <w:rsid w:val="00DA4298"/>
    <w:rsid w:val="00DB2F00"/>
    <w:rsid w:val="00DD396E"/>
    <w:rsid w:val="00DE256B"/>
    <w:rsid w:val="00E201C9"/>
    <w:rsid w:val="00E20629"/>
    <w:rsid w:val="00E275A7"/>
    <w:rsid w:val="00EE60DB"/>
    <w:rsid w:val="00F0382B"/>
    <w:rsid w:val="00F0687D"/>
    <w:rsid w:val="00F378CE"/>
    <w:rsid w:val="00F656A6"/>
    <w:rsid w:val="00FB5D78"/>
    <w:rsid w:val="00FB63BD"/>
    <w:rsid w:val="00FE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85EE884"/>
  <w15:chartTrackingRefBased/>
  <w15:docId w15:val="{C902F52A-5E54-46FE-BDE3-4A2DD311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062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rFonts w:eastAsia="Times New Roman"/>
      <w:lang w:eastAsia="fr-FR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right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30F93"/>
    <w:pPr>
      <w:keepNext/>
      <w:keepLines/>
      <w:tabs>
        <w:tab w:val="right" w:pos="851"/>
      </w:tabs>
      <w:spacing w:before="360" w:after="240" w:line="300" w:lineRule="exact"/>
      <w:ind w:right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right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right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right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right="1134"/>
    </w:pPr>
  </w:style>
  <w:style w:type="paragraph" w:customStyle="1" w:styleId="SingleTxtG">
    <w:name w:val="_ Single Txt_G"/>
    <w:basedOn w:val="Normal"/>
    <w:link w:val="SingleTxtGChar"/>
    <w:rsid w:val="00930F93"/>
    <w:pPr>
      <w:spacing w:after="120"/>
      <w:ind w:right="1134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right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30F93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rsid w:val="00930F93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paragraph" w:customStyle="1" w:styleId="Default">
    <w:name w:val="Default"/>
    <w:rsid w:val="0090006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table" w:styleId="TableGrid">
    <w:name w:val="Table Grid"/>
    <w:basedOn w:val="TableNormal"/>
    <w:uiPriority w:val="59"/>
    <w:rsid w:val="00300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1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C9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SingleTxtGChar">
    <w:name w:val="_ Single Txt_G Char"/>
    <w:basedOn w:val="DefaultParagraphFont"/>
    <w:link w:val="SingleTxtG"/>
    <w:rsid w:val="007144CA"/>
    <w:rPr>
      <w:rFonts w:eastAsia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122A9-9A5B-4E96-8EBD-C40F4238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630</Words>
  <Characters>3218</Characters>
  <Application>Microsoft Office Word</Application>
  <DocSecurity>0</DocSecurity>
  <Lines>64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Collet</dc:creator>
  <cp:keywords/>
  <dc:description/>
  <cp:lastModifiedBy>CRP.1/Add.2</cp:lastModifiedBy>
  <cp:revision>9</cp:revision>
  <cp:lastPrinted>2019-01-11T14:35:00Z</cp:lastPrinted>
  <dcterms:created xsi:type="dcterms:W3CDTF">2019-01-11T13:02:00Z</dcterms:created>
  <dcterms:modified xsi:type="dcterms:W3CDTF">2019-01-11T15:09:00Z</dcterms:modified>
</cp:coreProperties>
</file>