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77" w:tblpY="568"/>
        <w:tblOverlap w:val="never"/>
        <w:tblW w:w="9497" w:type="dxa"/>
        <w:tblLayout w:type="fixed"/>
        <w:tblCellMar>
          <w:left w:w="0" w:type="dxa"/>
          <w:right w:w="0" w:type="dxa"/>
        </w:tblCellMar>
        <w:tblLook w:val="01E0" w:firstRow="1" w:lastRow="1" w:firstColumn="1" w:lastColumn="1" w:noHBand="0" w:noVBand="0"/>
      </w:tblPr>
      <w:tblGrid>
        <w:gridCol w:w="1134"/>
        <w:gridCol w:w="5528"/>
        <w:gridCol w:w="2835"/>
      </w:tblGrid>
      <w:tr w:rsidR="00964620" w:rsidTr="00EC33F3">
        <w:trPr>
          <w:cantSplit/>
          <w:trHeight w:hRule="exact" w:val="851"/>
        </w:trPr>
        <w:tc>
          <w:tcPr>
            <w:tcW w:w="1134" w:type="dxa"/>
            <w:tcBorders>
              <w:bottom w:val="single" w:sz="4" w:space="0" w:color="auto"/>
            </w:tcBorders>
            <w:vAlign w:val="bottom"/>
          </w:tcPr>
          <w:p w:rsidR="00964620" w:rsidRDefault="00964620" w:rsidP="00EC33F3">
            <w:pPr>
              <w:pStyle w:val="Heading6"/>
            </w:pPr>
          </w:p>
        </w:tc>
        <w:tc>
          <w:tcPr>
            <w:tcW w:w="8363" w:type="dxa"/>
            <w:gridSpan w:val="2"/>
            <w:tcBorders>
              <w:bottom w:val="single" w:sz="4" w:space="0" w:color="auto"/>
            </w:tcBorders>
            <w:vAlign w:val="bottom"/>
          </w:tcPr>
          <w:p w:rsidR="00964620" w:rsidRPr="00D47EEA" w:rsidRDefault="00964620" w:rsidP="00EC33F3">
            <w:pPr>
              <w:jc w:val="right"/>
            </w:pPr>
            <w:r>
              <w:rPr>
                <w:b/>
                <w:sz w:val="40"/>
                <w:szCs w:val="40"/>
              </w:rPr>
              <w:t>INF.22</w:t>
            </w:r>
          </w:p>
        </w:tc>
      </w:tr>
      <w:tr w:rsidR="00964620" w:rsidTr="00622850">
        <w:trPr>
          <w:cantSplit/>
          <w:trHeight w:hRule="exact" w:val="3980"/>
        </w:trPr>
        <w:tc>
          <w:tcPr>
            <w:tcW w:w="6662" w:type="dxa"/>
            <w:gridSpan w:val="2"/>
            <w:tcBorders>
              <w:top w:val="single" w:sz="4" w:space="0" w:color="auto"/>
              <w:bottom w:val="single" w:sz="12" w:space="0" w:color="auto"/>
            </w:tcBorders>
          </w:tcPr>
          <w:p w:rsidR="00964620" w:rsidRDefault="00964620" w:rsidP="00EC33F3">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964620" w:rsidRDefault="00964620" w:rsidP="00EC33F3">
            <w:pPr>
              <w:spacing w:before="120"/>
              <w:rPr>
                <w:sz w:val="28"/>
                <w:szCs w:val="28"/>
              </w:rPr>
            </w:pPr>
            <w:r>
              <w:rPr>
                <w:sz w:val="28"/>
                <w:szCs w:val="28"/>
              </w:rPr>
              <w:t>Inland Transport Committee</w:t>
            </w:r>
          </w:p>
          <w:p w:rsidR="00964620" w:rsidRPr="00D530E5" w:rsidRDefault="00964620" w:rsidP="00EC33F3">
            <w:pPr>
              <w:spacing w:before="120"/>
              <w:rPr>
                <w:b/>
                <w:sz w:val="24"/>
                <w:szCs w:val="24"/>
              </w:rPr>
            </w:pPr>
            <w:r w:rsidRPr="00D530E5">
              <w:rPr>
                <w:b/>
                <w:sz w:val="24"/>
                <w:szCs w:val="24"/>
              </w:rPr>
              <w:t>Working Party on the Transport of Dangerous Goods</w:t>
            </w:r>
          </w:p>
          <w:p w:rsidR="00964620" w:rsidRDefault="00964620" w:rsidP="00EC33F3">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964620" w:rsidRDefault="00964620" w:rsidP="00EC33F3">
            <w:pPr>
              <w:spacing w:before="120"/>
              <w:rPr>
                <w:b/>
              </w:rPr>
            </w:pPr>
            <w:r>
              <w:rPr>
                <w:b/>
              </w:rPr>
              <w:t>Thirty-fifth session</w:t>
            </w:r>
          </w:p>
          <w:p w:rsidR="00964620" w:rsidRPr="00D530E5" w:rsidRDefault="00964620" w:rsidP="00EC33F3">
            <w:pPr>
              <w:rPr>
                <w:bCs/>
              </w:rPr>
            </w:pPr>
            <w:r w:rsidRPr="00D530E5">
              <w:rPr>
                <w:bCs/>
              </w:rPr>
              <w:t xml:space="preserve">Geneva, </w:t>
            </w:r>
            <w:r>
              <w:rPr>
                <w:bCs/>
              </w:rPr>
              <w:t>26-30 August 2019</w:t>
            </w:r>
          </w:p>
          <w:p w:rsidR="00964620" w:rsidRPr="00622850" w:rsidRDefault="00964620" w:rsidP="00EC33F3">
            <w:pPr>
              <w:rPr>
                <w:b/>
                <w:bCs/>
              </w:rPr>
            </w:pPr>
            <w:r w:rsidRPr="00D530E5">
              <w:rPr>
                <w:bCs/>
              </w:rPr>
              <w:t xml:space="preserve">Item </w:t>
            </w:r>
            <w:r w:rsidR="002C502B">
              <w:rPr>
                <w:bCs/>
              </w:rPr>
              <w:t>3</w:t>
            </w:r>
            <w:r w:rsidR="00584C1B">
              <w:rPr>
                <w:bCs/>
              </w:rPr>
              <w:t xml:space="preserve"> (</w:t>
            </w:r>
            <w:r w:rsidR="002C502B">
              <w:rPr>
                <w:bCs/>
              </w:rPr>
              <w:t>e</w:t>
            </w:r>
            <w:r w:rsidR="00584C1B">
              <w:rPr>
                <w:bCs/>
              </w:rPr>
              <w:t xml:space="preserve">) </w:t>
            </w:r>
            <w:r w:rsidRPr="00D530E5">
              <w:rPr>
                <w:bCs/>
              </w:rPr>
              <w:t>of the provisional agenda</w:t>
            </w:r>
            <w:r>
              <w:br/>
            </w:r>
            <w:r w:rsidR="00622850" w:rsidRPr="00622850">
              <w:rPr>
                <w:b/>
                <w:bCs/>
              </w:rPr>
              <w:t>Implementation of the European Agreement concerning the International Carriage of Dangerous Goods by Inland Waterways (ADN):</w:t>
            </w:r>
          </w:p>
          <w:p w:rsidR="00584C1B" w:rsidRPr="00D773DF" w:rsidRDefault="00622850" w:rsidP="00EC33F3">
            <w:r w:rsidRPr="00622850">
              <w:rPr>
                <w:b/>
                <w:bCs/>
              </w:rPr>
              <w:t>matters related to classification societies</w:t>
            </w:r>
          </w:p>
        </w:tc>
        <w:tc>
          <w:tcPr>
            <w:tcW w:w="2835" w:type="dxa"/>
            <w:tcBorders>
              <w:top w:val="single" w:sz="4" w:space="0" w:color="auto"/>
              <w:bottom w:val="single" w:sz="12" w:space="0" w:color="auto"/>
            </w:tcBorders>
          </w:tcPr>
          <w:p w:rsidR="00964620" w:rsidRDefault="00964620" w:rsidP="00EC33F3">
            <w:pPr>
              <w:tabs>
                <w:tab w:val="right" w:pos="2835"/>
              </w:tabs>
              <w:spacing w:before="120"/>
            </w:pPr>
            <w:r>
              <w:tab/>
            </w:r>
          </w:p>
          <w:p w:rsidR="00964620" w:rsidRDefault="00964620" w:rsidP="00EC33F3">
            <w:pPr>
              <w:spacing w:before="120"/>
            </w:pPr>
            <w:r>
              <w:t>2</w:t>
            </w:r>
            <w:r w:rsidR="00622850">
              <w:t>9</w:t>
            </w:r>
            <w:r>
              <w:t xml:space="preserve"> July 2019</w:t>
            </w:r>
            <w:r>
              <w:br/>
              <w:t>English</w:t>
            </w:r>
          </w:p>
        </w:tc>
      </w:tr>
    </w:tbl>
    <w:p w:rsidR="00584C1B" w:rsidRPr="00622850" w:rsidRDefault="00584C1B" w:rsidP="00584C1B">
      <w:pPr>
        <w:pStyle w:val="HChG"/>
        <w:rPr>
          <w:lang w:val="en-GB"/>
        </w:rPr>
      </w:pPr>
      <w:r w:rsidRPr="00622850">
        <w:rPr>
          <w:lang w:val="en-GB"/>
        </w:rPr>
        <w:tab/>
      </w:r>
      <w:r w:rsidRPr="00622850">
        <w:rPr>
          <w:lang w:val="en-GB"/>
        </w:rPr>
        <w:tab/>
      </w:r>
      <w:bookmarkStart w:id="0" w:name="_GoBack"/>
      <w:r w:rsidRPr="00622850">
        <w:rPr>
          <w:lang w:val="en-GB"/>
        </w:rPr>
        <w:t xml:space="preserve">About </w:t>
      </w:r>
      <w:r w:rsidR="00622850" w:rsidRPr="00622850">
        <w:rPr>
          <w:lang w:val="en-GB"/>
        </w:rPr>
        <w:t xml:space="preserve">item 4.u of informal document </w:t>
      </w:r>
      <w:r w:rsidRPr="00622850">
        <w:rPr>
          <w:lang w:val="en-GB"/>
        </w:rPr>
        <w:t>INF.11</w:t>
      </w:r>
      <w:r w:rsidR="00EC33F3" w:rsidRPr="00622850">
        <w:rPr>
          <w:lang w:val="en-GB"/>
        </w:rPr>
        <w:t xml:space="preserve"> </w:t>
      </w:r>
      <w:r w:rsidR="00622850">
        <w:rPr>
          <w:lang w:val="en-GB"/>
        </w:rPr>
        <w:t>of the thirty-fifth session</w:t>
      </w:r>
      <w:bookmarkEnd w:id="0"/>
    </w:p>
    <w:p w:rsidR="00584C1B" w:rsidRPr="00622850" w:rsidRDefault="00584C1B" w:rsidP="00584C1B">
      <w:pPr>
        <w:pStyle w:val="SingleTxtG"/>
        <w:rPr>
          <w:color w:val="000000"/>
          <w:lang w:val="en-GB"/>
        </w:rPr>
      </w:pPr>
      <w:r w:rsidRPr="00622850">
        <w:rPr>
          <w:color w:val="000000" w:themeColor="text1"/>
          <w:lang w:val="en-GB"/>
        </w:rPr>
        <w:t>1.</w:t>
      </w:r>
      <w:r w:rsidRPr="00622850">
        <w:rPr>
          <w:color w:val="000000" w:themeColor="text1"/>
          <w:lang w:val="en-GB"/>
        </w:rPr>
        <w:tab/>
        <w:t xml:space="preserve">In </w:t>
      </w:r>
      <w:r w:rsidR="00622850">
        <w:rPr>
          <w:color w:val="000000" w:themeColor="text1"/>
          <w:lang w:val="en-GB"/>
        </w:rPr>
        <w:t>informal document</w:t>
      </w:r>
      <w:r w:rsidRPr="00622850">
        <w:rPr>
          <w:color w:val="000000" w:themeColor="text1"/>
          <w:lang w:val="en-GB"/>
        </w:rPr>
        <w:t xml:space="preserve"> INF.11 ("</w:t>
      </w:r>
      <w:r w:rsidRPr="00622850">
        <w:rPr>
          <w:lang w:val="en-GB"/>
        </w:rPr>
        <w:t>Minutes of the seventeenth meeting of the informal working group of Recommended ADN Classification Societies</w:t>
      </w:r>
      <w:r w:rsidRPr="00622850">
        <w:rPr>
          <w:color w:val="000000" w:themeColor="text1"/>
          <w:lang w:val="en-GB"/>
        </w:rPr>
        <w:t>"</w:t>
      </w:r>
      <w:r w:rsidRPr="00622850">
        <w:rPr>
          <w:lang w:val="en-GB"/>
        </w:rPr>
        <w:t xml:space="preserve">) it is indicated at item 4.u: </w:t>
      </w:r>
    </w:p>
    <w:p w:rsidR="00584C1B" w:rsidRPr="00622850" w:rsidRDefault="00584C1B" w:rsidP="00622850">
      <w:pPr>
        <w:pStyle w:val="SingleTxtG"/>
        <w:ind w:left="1418"/>
        <w:rPr>
          <w:lang w:val="en-GB"/>
        </w:rPr>
      </w:pPr>
      <w:r w:rsidRPr="00622850">
        <w:rPr>
          <w:color w:val="000000" w:themeColor="text1"/>
          <w:lang w:val="en-GB"/>
        </w:rPr>
        <w:t>"</w:t>
      </w:r>
      <w:r w:rsidRPr="00622850">
        <w:rPr>
          <w:lang w:val="en-GB"/>
        </w:rPr>
        <w:t xml:space="preserve">Deflagration, detonation and steady burning (BV) – </w:t>
      </w:r>
      <w:r w:rsidRPr="00622850">
        <w:rPr>
          <w:i/>
          <w:iCs/>
          <w:lang w:val="en-GB"/>
        </w:rPr>
        <w:t xml:space="preserve">doc 17 IG 04u </w:t>
      </w:r>
    </w:p>
    <w:p w:rsidR="00446FE5" w:rsidRPr="00622850" w:rsidRDefault="00584C1B" w:rsidP="00622850">
      <w:pPr>
        <w:pStyle w:val="SingleTxtG"/>
        <w:ind w:left="1418"/>
        <w:rPr>
          <w:color w:val="000000" w:themeColor="text1"/>
          <w:lang w:val="en-GB"/>
        </w:rPr>
      </w:pPr>
      <w:r w:rsidRPr="00622850">
        <w:rPr>
          <w:lang w:val="en-GB"/>
        </w:rPr>
        <w:t>Paper was discussed and it was decided that BV will send this paper for further discussion to the Safety Committee.</w:t>
      </w:r>
      <w:r w:rsidRPr="00622850">
        <w:rPr>
          <w:color w:val="000000" w:themeColor="text1"/>
          <w:lang w:val="en-GB"/>
        </w:rPr>
        <w:t>"</w:t>
      </w:r>
    </w:p>
    <w:p w:rsidR="00584C1B" w:rsidRDefault="00584C1B" w:rsidP="00584C1B">
      <w:pPr>
        <w:pStyle w:val="SingleTxtG"/>
        <w:rPr>
          <w:color w:val="000000" w:themeColor="text1"/>
          <w:lang w:val="en-US"/>
        </w:rPr>
      </w:pPr>
      <w:r w:rsidRPr="00622850">
        <w:rPr>
          <w:lang w:val="en-GB"/>
        </w:rPr>
        <w:t>2.</w:t>
      </w:r>
      <w:r w:rsidRPr="00622850">
        <w:rPr>
          <w:lang w:val="en-GB"/>
        </w:rPr>
        <w:tab/>
      </w:r>
      <w:r>
        <w:rPr>
          <w:color w:val="000000" w:themeColor="text1"/>
          <w:lang w:val="en-US"/>
        </w:rPr>
        <w:t>T</w:t>
      </w:r>
      <w:r w:rsidRPr="00AE34A4">
        <w:rPr>
          <w:color w:val="000000" w:themeColor="text1"/>
          <w:lang w:val="en-US"/>
        </w:rPr>
        <w:t>he content of the doc 17 IG 04u of the IWG of Recommended A</w:t>
      </w:r>
      <w:r>
        <w:rPr>
          <w:color w:val="000000" w:themeColor="text1"/>
          <w:lang w:val="en-US"/>
        </w:rPr>
        <w:t>D</w:t>
      </w:r>
      <w:r w:rsidRPr="00AE34A4">
        <w:rPr>
          <w:color w:val="000000" w:themeColor="text1"/>
          <w:lang w:val="en-US"/>
        </w:rPr>
        <w:t xml:space="preserve">N </w:t>
      </w:r>
      <w:r>
        <w:rPr>
          <w:color w:val="000000" w:themeColor="text1"/>
          <w:lang w:val="en-US"/>
        </w:rPr>
        <w:t>Classification Societies is copied hereafter.</w:t>
      </w:r>
    </w:p>
    <w:p w:rsidR="00584C1B" w:rsidRPr="00622850" w:rsidRDefault="000012A9" w:rsidP="000012A9">
      <w:pPr>
        <w:pStyle w:val="H23G"/>
        <w:rPr>
          <w:lang w:val="en-GB"/>
        </w:rPr>
      </w:pPr>
      <w:r w:rsidRPr="00622850">
        <w:rPr>
          <w:lang w:val="en-GB"/>
        </w:rPr>
        <w:tab/>
      </w:r>
      <w:r w:rsidR="00622850">
        <w:rPr>
          <w:lang w:val="en-GB"/>
        </w:rPr>
        <w:t>“</w:t>
      </w:r>
      <w:r w:rsidR="00584C1B" w:rsidRPr="00622850">
        <w:rPr>
          <w:lang w:val="en-GB"/>
        </w:rPr>
        <w:t>3.</w:t>
      </w:r>
      <w:r w:rsidRPr="00622850">
        <w:rPr>
          <w:lang w:val="en-GB"/>
        </w:rPr>
        <w:tab/>
      </w:r>
      <w:r w:rsidR="00584C1B" w:rsidRPr="00622850">
        <w:rPr>
          <w:lang w:val="en-GB"/>
        </w:rPr>
        <w:tab/>
        <w:t>Reminder:</w:t>
      </w:r>
      <w:r w:rsidR="006427FC" w:rsidRPr="00622850">
        <w:rPr>
          <w:lang w:val="en-GB"/>
        </w:rPr>
        <w:t xml:space="preserve"> </w:t>
      </w:r>
      <w:r w:rsidR="00584C1B" w:rsidRPr="00622850">
        <w:rPr>
          <w:lang w:val="en-GB"/>
        </w:rPr>
        <w:t>some definitions (1.2.1)</w:t>
      </w:r>
    </w:p>
    <w:p w:rsidR="006427FC" w:rsidRPr="0016629A" w:rsidRDefault="006427FC" w:rsidP="006427FC">
      <w:pPr>
        <w:pStyle w:val="ListParagraph"/>
        <w:rPr>
          <w:rFonts w:ascii="Times New Roman" w:hAnsi="Times New Roman" w:cs="Times New Roman"/>
          <w:sz w:val="20"/>
          <w:szCs w:val="20"/>
          <w:lang w:val="en-US"/>
        </w:rPr>
      </w:pPr>
      <w:r w:rsidRPr="006427FC">
        <w:rPr>
          <w:rFonts w:ascii="Times New Roman" w:hAnsi="Times New Roman" w:cs="Times New Roman"/>
          <w:i/>
          <w:iCs/>
          <w:sz w:val="20"/>
          <w:szCs w:val="20"/>
        </w:rPr>
        <w:tab/>
      </w:r>
      <w:r>
        <w:rPr>
          <w:color w:val="000000" w:themeColor="text1"/>
        </w:rPr>
        <w:t>"</w:t>
      </w:r>
      <w:r w:rsidRPr="0016629A">
        <w:rPr>
          <w:rFonts w:ascii="Times New Roman" w:hAnsi="Times New Roman" w:cs="Times New Roman"/>
          <w:i/>
          <w:iCs/>
          <w:sz w:val="20"/>
          <w:szCs w:val="20"/>
          <w:u w:val="single"/>
        </w:rPr>
        <w:t>Deflagration</w:t>
      </w:r>
      <w:r w:rsidRPr="0016629A">
        <w:rPr>
          <w:rFonts w:ascii="Times New Roman" w:hAnsi="Times New Roman" w:cs="Times New Roman"/>
          <w:sz w:val="20"/>
          <w:szCs w:val="20"/>
        </w:rPr>
        <w:t xml:space="preserve">: </w:t>
      </w:r>
      <w:proofErr w:type="spellStart"/>
      <w:r w:rsidRPr="0016629A">
        <w:rPr>
          <w:rFonts w:ascii="Times New Roman" w:hAnsi="Times New Roman" w:cs="Times New Roman"/>
          <w:sz w:val="20"/>
          <w:szCs w:val="20"/>
        </w:rPr>
        <w:t>means</w:t>
      </w:r>
      <w:proofErr w:type="spellEnd"/>
      <w:r w:rsidRPr="0016629A">
        <w:rPr>
          <w:rFonts w:ascii="Times New Roman" w:hAnsi="Times New Roman" w:cs="Times New Roman"/>
          <w:sz w:val="20"/>
          <w:szCs w:val="20"/>
        </w:rPr>
        <w:t xml:space="preserve"> an </w:t>
      </w:r>
      <w:proofErr w:type="spellStart"/>
      <w:r w:rsidRPr="0016629A">
        <w:rPr>
          <w:rFonts w:ascii="Times New Roman" w:hAnsi="Times New Roman" w:cs="Times New Roman"/>
          <w:sz w:val="20"/>
          <w:szCs w:val="20"/>
        </w:rPr>
        <w:t>explosion</w:t>
      </w:r>
      <w:proofErr w:type="spellEnd"/>
      <w:r w:rsidRPr="0016629A">
        <w:rPr>
          <w:rFonts w:ascii="Times New Roman" w:hAnsi="Times New Roman" w:cs="Times New Roman"/>
          <w:sz w:val="20"/>
          <w:szCs w:val="20"/>
        </w:rPr>
        <w:t xml:space="preserve"> </w:t>
      </w:r>
      <w:proofErr w:type="spellStart"/>
      <w:r w:rsidRPr="0016629A">
        <w:rPr>
          <w:rFonts w:ascii="Times New Roman" w:hAnsi="Times New Roman" w:cs="Times New Roman"/>
          <w:sz w:val="20"/>
          <w:szCs w:val="20"/>
        </w:rPr>
        <w:t>which</w:t>
      </w:r>
      <w:proofErr w:type="spellEnd"/>
      <w:r w:rsidRPr="0016629A">
        <w:rPr>
          <w:rFonts w:ascii="Times New Roman" w:hAnsi="Times New Roman" w:cs="Times New Roman"/>
          <w:sz w:val="20"/>
          <w:szCs w:val="20"/>
        </w:rPr>
        <w:t xml:space="preserve"> </w:t>
      </w:r>
      <w:proofErr w:type="spellStart"/>
      <w:r w:rsidRPr="0016629A">
        <w:rPr>
          <w:rFonts w:ascii="Times New Roman" w:hAnsi="Times New Roman" w:cs="Times New Roman"/>
          <w:sz w:val="20"/>
          <w:szCs w:val="20"/>
        </w:rPr>
        <w:t>propagates</w:t>
      </w:r>
      <w:proofErr w:type="spellEnd"/>
      <w:r w:rsidRPr="0016629A">
        <w:rPr>
          <w:rFonts w:ascii="Times New Roman" w:hAnsi="Times New Roman" w:cs="Times New Roman"/>
          <w:sz w:val="20"/>
          <w:szCs w:val="20"/>
        </w:rPr>
        <w:t xml:space="preserve"> at </w:t>
      </w:r>
      <w:proofErr w:type="spellStart"/>
      <w:r w:rsidRPr="0016629A">
        <w:rPr>
          <w:rFonts w:ascii="Times New Roman" w:hAnsi="Times New Roman" w:cs="Times New Roman"/>
          <w:sz w:val="20"/>
          <w:szCs w:val="20"/>
          <w:u w:val="single"/>
        </w:rPr>
        <w:t>subsonic</w:t>
      </w:r>
      <w:proofErr w:type="spellEnd"/>
      <w:r w:rsidRPr="0016629A">
        <w:rPr>
          <w:rFonts w:ascii="Times New Roman" w:hAnsi="Times New Roman" w:cs="Times New Roman"/>
          <w:sz w:val="20"/>
          <w:szCs w:val="20"/>
        </w:rPr>
        <w:t xml:space="preserve"> </w:t>
      </w:r>
      <w:proofErr w:type="spellStart"/>
      <w:r w:rsidRPr="0016629A">
        <w:rPr>
          <w:rFonts w:ascii="Times New Roman" w:hAnsi="Times New Roman" w:cs="Times New Roman"/>
          <w:sz w:val="20"/>
          <w:szCs w:val="20"/>
        </w:rPr>
        <w:t>speed</w:t>
      </w:r>
      <w:proofErr w:type="spellEnd"/>
      <w:r w:rsidRPr="0016629A">
        <w:rPr>
          <w:rFonts w:ascii="Times New Roman" w:hAnsi="Times New Roman" w:cs="Times New Roman"/>
          <w:sz w:val="20"/>
          <w:szCs w:val="20"/>
        </w:rPr>
        <w:t xml:space="preserve"> (</w:t>
      </w:r>
      <w:proofErr w:type="spellStart"/>
      <w:r w:rsidRPr="0016629A">
        <w:rPr>
          <w:rFonts w:ascii="Times New Roman" w:hAnsi="Times New Roman" w:cs="Times New Roman"/>
          <w:sz w:val="20"/>
          <w:szCs w:val="20"/>
        </w:rPr>
        <w:t>see</w:t>
      </w:r>
      <w:proofErr w:type="spellEnd"/>
      <w:r w:rsidRPr="0016629A">
        <w:rPr>
          <w:rFonts w:ascii="Times New Roman" w:hAnsi="Times New Roman" w:cs="Times New Roman"/>
          <w:sz w:val="20"/>
          <w:szCs w:val="20"/>
        </w:rPr>
        <w:t xml:space="preserve"> EN 13237:2011);</w:t>
      </w:r>
      <w:r>
        <w:rPr>
          <w:color w:val="000000" w:themeColor="text1"/>
        </w:rPr>
        <w:t>"</w:t>
      </w:r>
    </w:p>
    <w:p w:rsidR="006427FC" w:rsidRPr="00622850" w:rsidRDefault="006427FC" w:rsidP="006015AB">
      <w:pPr>
        <w:pStyle w:val="SingleTxtG"/>
        <w:tabs>
          <w:tab w:val="left" w:pos="2552"/>
        </w:tabs>
        <w:ind w:left="2127" w:hanging="426"/>
        <w:rPr>
          <w:lang w:val="en-GB"/>
        </w:rPr>
      </w:pPr>
      <w:r w:rsidRPr="006427FC">
        <w:rPr>
          <w:i/>
          <w:iCs/>
          <w:lang w:val="en-US"/>
        </w:rPr>
        <w:t>Note</w:t>
      </w:r>
      <w:r w:rsidRPr="0016629A">
        <w:rPr>
          <w:lang w:val="en-US"/>
        </w:rPr>
        <w:t xml:space="preserve"> </w:t>
      </w:r>
      <w:r w:rsidRPr="0016629A">
        <w:sym w:font="Wingdings" w:char="F0E0"/>
      </w:r>
      <w:r w:rsidRPr="00622850">
        <w:rPr>
          <w:lang w:val="en-GB"/>
        </w:rPr>
        <w:tab/>
        <w:t xml:space="preserve">Deflagration arresters do NOT provide safety against detonations and </w:t>
      </w:r>
      <w:r w:rsidR="006015AB" w:rsidRPr="00622850">
        <w:rPr>
          <w:lang w:val="en-GB"/>
        </w:rPr>
        <w:tab/>
      </w:r>
      <w:r w:rsidR="006015AB" w:rsidRPr="00622850">
        <w:rPr>
          <w:lang w:val="en-GB"/>
        </w:rPr>
        <w:tab/>
      </w:r>
      <w:r w:rsidRPr="00622850">
        <w:rPr>
          <w:lang w:val="en-GB"/>
        </w:rPr>
        <w:t xml:space="preserve">NOT against endurance burning. </w:t>
      </w:r>
    </w:p>
    <w:p w:rsidR="006427FC" w:rsidRPr="0016629A" w:rsidRDefault="006427FC" w:rsidP="006015AB">
      <w:pPr>
        <w:pStyle w:val="SingleTxtG"/>
        <w:tabs>
          <w:tab w:val="left" w:pos="2552"/>
        </w:tabs>
        <w:ind w:left="2127" w:hanging="426"/>
        <w:rPr>
          <w:lang w:val="en-US"/>
        </w:rPr>
      </w:pPr>
      <w:r>
        <w:rPr>
          <w:i/>
          <w:iCs/>
          <w:lang w:val="en-US"/>
        </w:rPr>
        <w:tab/>
      </w:r>
      <w:r w:rsidR="006015AB">
        <w:rPr>
          <w:i/>
          <w:iCs/>
          <w:lang w:val="en-US"/>
        </w:rPr>
        <w:tab/>
      </w:r>
      <w:r w:rsidRPr="00622850">
        <w:rPr>
          <w:i/>
          <w:iCs/>
          <w:u w:val="single"/>
          <w:lang w:val="en-GB"/>
        </w:rPr>
        <w:t>Detonation</w:t>
      </w:r>
      <w:r w:rsidRPr="00622850">
        <w:rPr>
          <w:lang w:val="en-GB"/>
        </w:rPr>
        <w:t xml:space="preserve">: means an explosion which propagates at </w:t>
      </w:r>
      <w:r w:rsidRPr="00622850">
        <w:rPr>
          <w:u w:val="single"/>
          <w:lang w:val="en-GB"/>
        </w:rPr>
        <w:t>supersonic</w:t>
      </w:r>
      <w:r w:rsidRPr="00622850">
        <w:rPr>
          <w:lang w:val="en-GB"/>
        </w:rPr>
        <w:t xml:space="preserve"> speed and </w:t>
      </w:r>
      <w:r w:rsidR="006015AB" w:rsidRPr="00622850">
        <w:rPr>
          <w:lang w:val="en-GB"/>
        </w:rPr>
        <w:tab/>
      </w:r>
      <w:r w:rsidRPr="00622850">
        <w:rPr>
          <w:lang w:val="en-GB"/>
        </w:rPr>
        <w:t>is characterized by a shock wave (see EN 13237:2011);</w:t>
      </w:r>
      <w:r w:rsidRPr="00622850">
        <w:rPr>
          <w:color w:val="000000" w:themeColor="text1"/>
          <w:lang w:val="en-GB"/>
        </w:rPr>
        <w:t>"</w:t>
      </w:r>
    </w:p>
    <w:p w:rsidR="00584C1B" w:rsidRPr="00622850" w:rsidRDefault="006427FC" w:rsidP="006015AB">
      <w:pPr>
        <w:pStyle w:val="SingleTxtG"/>
        <w:tabs>
          <w:tab w:val="left" w:pos="2552"/>
        </w:tabs>
        <w:ind w:left="2127" w:hanging="426"/>
        <w:rPr>
          <w:lang w:val="en-GB"/>
        </w:rPr>
      </w:pPr>
      <w:r w:rsidRPr="006427FC">
        <w:rPr>
          <w:i/>
          <w:iCs/>
          <w:lang w:val="en-US"/>
        </w:rPr>
        <w:t>Note</w:t>
      </w:r>
      <w:r w:rsidRPr="0016629A">
        <w:rPr>
          <w:lang w:val="en-US"/>
        </w:rPr>
        <w:t xml:space="preserve"> </w:t>
      </w:r>
      <w:r w:rsidRPr="0016629A">
        <w:sym w:font="Wingdings" w:char="F0E0"/>
      </w:r>
      <w:r w:rsidRPr="00622850">
        <w:rPr>
          <w:lang w:val="en-GB"/>
        </w:rPr>
        <w:tab/>
        <w:t xml:space="preserve">Detonation arresters provide safety for deflagration and detonation; they </w:t>
      </w:r>
      <w:r w:rsidR="006015AB" w:rsidRPr="00622850">
        <w:rPr>
          <w:lang w:val="en-GB"/>
        </w:rPr>
        <w:tab/>
      </w:r>
      <w:r w:rsidRPr="00622850">
        <w:rPr>
          <w:lang w:val="en-GB"/>
        </w:rPr>
        <w:t>are NOT safe for endurance burning.</w:t>
      </w:r>
    </w:p>
    <w:p w:rsidR="00257872" w:rsidRPr="00622850" w:rsidRDefault="00257872" w:rsidP="006015AB">
      <w:pPr>
        <w:pStyle w:val="SingleTxtG"/>
        <w:tabs>
          <w:tab w:val="left" w:pos="2552"/>
        </w:tabs>
        <w:ind w:left="2127" w:hanging="426"/>
        <w:rPr>
          <w:lang w:val="en-GB"/>
        </w:rPr>
      </w:pPr>
      <w:r w:rsidRPr="00622850">
        <w:rPr>
          <w:color w:val="000000" w:themeColor="text1"/>
          <w:lang w:val="en-GB"/>
        </w:rPr>
        <w:tab/>
      </w:r>
      <w:r w:rsidR="006015AB" w:rsidRPr="00622850">
        <w:rPr>
          <w:color w:val="000000" w:themeColor="text1"/>
          <w:lang w:val="en-GB"/>
        </w:rPr>
        <w:tab/>
      </w:r>
      <w:r w:rsidRPr="00622850">
        <w:rPr>
          <w:lang w:val="en-GB"/>
        </w:rPr>
        <w:t xml:space="preserve">"Steady burning: Steady burning means combustion stabilized for an </w:t>
      </w:r>
      <w:r w:rsidR="003B5338" w:rsidRPr="00622850">
        <w:rPr>
          <w:lang w:val="en-GB"/>
        </w:rPr>
        <w:tab/>
      </w:r>
      <w:r w:rsidRPr="00622850">
        <w:rPr>
          <w:lang w:val="en-GB"/>
        </w:rPr>
        <w:t>indeterminate period (see ISO 16852:2016);</w:t>
      </w:r>
      <w:r w:rsidRPr="00622850">
        <w:rPr>
          <w:color w:val="000000" w:themeColor="text1"/>
          <w:lang w:val="en-GB"/>
        </w:rPr>
        <w:t>"</w:t>
      </w:r>
    </w:p>
    <w:p w:rsidR="00257872" w:rsidRPr="00622850" w:rsidRDefault="00257872" w:rsidP="006015AB">
      <w:pPr>
        <w:pStyle w:val="SingleTxtG"/>
        <w:tabs>
          <w:tab w:val="left" w:pos="2552"/>
        </w:tabs>
        <w:ind w:left="2127" w:hanging="426"/>
        <w:rPr>
          <w:color w:val="000000" w:themeColor="text1"/>
          <w:lang w:val="en-GB"/>
        </w:rPr>
      </w:pPr>
      <w:r w:rsidRPr="00622850">
        <w:rPr>
          <w:i/>
          <w:iCs/>
          <w:lang w:val="en-GB"/>
        </w:rPr>
        <w:t>Note</w:t>
      </w:r>
      <w:r w:rsidRPr="00622850">
        <w:rPr>
          <w:lang w:val="en-GB"/>
        </w:rPr>
        <w:t xml:space="preserve"> </w:t>
      </w:r>
      <w:r w:rsidRPr="0016629A">
        <w:sym w:font="Wingdings" w:char="F0E0"/>
      </w:r>
      <w:r w:rsidRPr="00622850">
        <w:rPr>
          <w:lang w:val="en-GB"/>
        </w:rPr>
        <w:tab/>
      </w:r>
      <w:r w:rsidRPr="00622850">
        <w:rPr>
          <w:i/>
          <w:iCs/>
          <w:lang w:val="en-GB"/>
        </w:rPr>
        <w:t>(</w:t>
      </w:r>
      <w:proofErr w:type="spellStart"/>
      <w:r w:rsidRPr="00622850">
        <w:rPr>
          <w:i/>
          <w:iCs/>
          <w:lang w:val="en-GB"/>
        </w:rPr>
        <w:t>Protego</w:t>
      </w:r>
      <w:proofErr w:type="spellEnd"/>
      <w:r w:rsidRPr="00622850">
        <w:rPr>
          <w:i/>
          <w:iCs/>
          <w:lang w:val="en-GB"/>
        </w:rPr>
        <w:t xml:space="preserve"> uses the wording </w:t>
      </w:r>
      <w:r w:rsidR="002005B8" w:rsidRPr="00622850">
        <w:rPr>
          <w:color w:val="000000" w:themeColor="text1"/>
          <w:lang w:val="en-GB"/>
        </w:rPr>
        <w:t>"</w:t>
      </w:r>
      <w:r w:rsidRPr="00622850">
        <w:rPr>
          <w:i/>
          <w:iCs/>
          <w:u w:val="single"/>
          <w:lang w:val="en-GB"/>
        </w:rPr>
        <w:t>Endurance burning</w:t>
      </w:r>
      <w:r w:rsidR="002005B8" w:rsidRPr="00622850">
        <w:rPr>
          <w:color w:val="000000" w:themeColor="text1"/>
          <w:lang w:val="en-GB"/>
        </w:rPr>
        <w:t>"</w:t>
      </w:r>
      <w:r w:rsidRPr="00622850">
        <w:rPr>
          <w:i/>
          <w:iCs/>
          <w:u w:val="single"/>
          <w:lang w:val="en-GB"/>
        </w:rPr>
        <w:t>)</w:t>
      </w:r>
      <w:r w:rsidRPr="00622850">
        <w:rPr>
          <w:lang w:val="en-GB"/>
        </w:rPr>
        <w:t>;</w:t>
      </w:r>
      <w:r w:rsidR="002005B8" w:rsidRPr="00622850">
        <w:rPr>
          <w:color w:val="000000" w:themeColor="text1"/>
          <w:lang w:val="en-GB"/>
        </w:rPr>
        <w:t>"</w:t>
      </w:r>
    </w:p>
    <w:p w:rsidR="000012A9" w:rsidRPr="00622850" w:rsidRDefault="003E3387" w:rsidP="000012A9">
      <w:pPr>
        <w:pStyle w:val="SingleTxtG"/>
        <w:rPr>
          <w:lang w:val="en-GB"/>
        </w:rPr>
      </w:pPr>
      <w:r w:rsidRPr="00622850">
        <w:rPr>
          <w:b/>
          <w:bCs/>
          <w:color w:val="000000" w:themeColor="text1"/>
          <w:lang w:val="en-GB"/>
        </w:rPr>
        <w:t>3.1.</w:t>
      </w:r>
      <w:r w:rsidRPr="00622850">
        <w:rPr>
          <w:color w:val="000000" w:themeColor="text1"/>
          <w:lang w:val="en-GB"/>
        </w:rPr>
        <w:tab/>
      </w:r>
      <w:r w:rsidR="003B5338" w:rsidRPr="00622850">
        <w:rPr>
          <w:color w:val="000000" w:themeColor="text1"/>
          <w:lang w:val="en-GB"/>
        </w:rPr>
        <w:t>"</w:t>
      </w:r>
      <w:r w:rsidR="000012A9" w:rsidRPr="00622850">
        <w:rPr>
          <w:i/>
          <w:iCs/>
          <w:lang w:val="en-GB"/>
        </w:rPr>
        <w:t xml:space="preserve">Device for the safe depressurization of cargo tanks </w:t>
      </w:r>
      <w:r w:rsidR="000012A9" w:rsidRPr="00622850">
        <w:rPr>
          <w:lang w:val="en-GB"/>
        </w:rPr>
        <w:t xml:space="preserve">means a manually operated or remote-operated device which is mounted in such a way as to allow the cargo tanks to be depressurized in safety. When the list of substances on the vessel according to 1.16.1.2.5 contains substances for which explosion protection is required in column (17) of Table C of Chapter 3.2, the device shall be </w:t>
      </w:r>
      <w:r w:rsidR="000012A9" w:rsidRPr="00622850">
        <w:rPr>
          <w:b/>
          <w:u w:val="single"/>
          <w:lang w:val="en-GB"/>
        </w:rPr>
        <w:t>deflagration safe</w:t>
      </w:r>
      <w:r w:rsidR="000012A9" w:rsidRPr="00622850">
        <w:rPr>
          <w:lang w:val="en-GB"/>
        </w:rPr>
        <w:t xml:space="preserve"> and </w:t>
      </w:r>
      <w:r w:rsidR="000012A9" w:rsidRPr="00622850">
        <w:rPr>
          <w:b/>
          <w:u w:val="single"/>
          <w:lang w:val="en-GB"/>
        </w:rPr>
        <w:t>capable of withstanding steady burning</w:t>
      </w:r>
      <w:r w:rsidR="000012A9" w:rsidRPr="00622850">
        <w:rPr>
          <w:lang w:val="en-GB"/>
        </w:rPr>
        <w:t xml:space="preserve"> for the most critical substance in the vessel substance list. The deflagration safety shall be tested according to international standard ISO 16852:2016</w:t>
      </w:r>
      <w:r w:rsidR="000012A9" w:rsidRPr="00622850">
        <w:rPr>
          <w:sz w:val="12"/>
          <w:szCs w:val="12"/>
          <w:lang w:val="en-GB"/>
        </w:rPr>
        <w:t xml:space="preserve"> </w:t>
      </w:r>
      <w:r w:rsidR="000012A9" w:rsidRPr="00622850">
        <w:rPr>
          <w:lang w:val="en-GB"/>
        </w:rPr>
        <w:t>and evidence of compliance with the applicable requirements (e.g., conformity assessment procedure according to Directive 2014/34/EU,</w:t>
      </w:r>
      <w:r w:rsidR="000012A9" w:rsidRPr="00622850">
        <w:rPr>
          <w:sz w:val="12"/>
          <w:szCs w:val="12"/>
          <w:lang w:val="en-GB"/>
        </w:rPr>
        <w:t xml:space="preserve"> </w:t>
      </w:r>
      <w:r w:rsidR="000012A9" w:rsidRPr="00622850">
        <w:rPr>
          <w:lang w:val="en-GB"/>
        </w:rPr>
        <w:t>ECE/TRADE/391</w:t>
      </w:r>
      <w:r w:rsidR="000012A9" w:rsidRPr="00622850">
        <w:rPr>
          <w:sz w:val="12"/>
          <w:szCs w:val="12"/>
          <w:lang w:val="en-GB"/>
        </w:rPr>
        <w:t xml:space="preserve"> </w:t>
      </w:r>
      <w:r w:rsidR="000012A9" w:rsidRPr="00622850">
        <w:rPr>
          <w:lang w:val="en-GB"/>
        </w:rPr>
        <w:t>or at least equivalent) shall be supplied.</w:t>
      </w:r>
    </w:p>
    <w:p w:rsidR="000012A9" w:rsidRPr="00622850" w:rsidRDefault="003E3387" w:rsidP="000012A9">
      <w:pPr>
        <w:pStyle w:val="SingleTxtG"/>
        <w:rPr>
          <w:lang w:val="en-GB"/>
        </w:rPr>
      </w:pPr>
      <w:r w:rsidRPr="00622850">
        <w:rPr>
          <w:b/>
          <w:bCs/>
          <w:lang w:val="en-GB"/>
        </w:rPr>
        <w:lastRenderedPageBreak/>
        <w:t>3.2.</w:t>
      </w:r>
      <w:r w:rsidRPr="00622850">
        <w:rPr>
          <w:lang w:val="en-GB"/>
        </w:rPr>
        <w:tab/>
      </w:r>
      <w:r w:rsidR="000012A9" w:rsidRPr="00622850">
        <w:rPr>
          <w:lang w:val="en-GB"/>
        </w:rPr>
        <w:t xml:space="preserve">The </w:t>
      </w:r>
      <w:r w:rsidR="000012A9" w:rsidRPr="00622850">
        <w:rPr>
          <w:u w:val="single"/>
          <w:lang w:val="en-GB"/>
        </w:rPr>
        <w:t>deflagration safety</w:t>
      </w:r>
      <w:r w:rsidR="000012A9" w:rsidRPr="00622850">
        <w:rPr>
          <w:lang w:val="en-GB"/>
        </w:rPr>
        <w:t xml:space="preserve"> may be ensured by an integrated flame arrester plate stack </w:t>
      </w:r>
      <w:r w:rsidR="000012A9" w:rsidRPr="00622850">
        <w:rPr>
          <w:b/>
          <w:u w:val="single"/>
          <w:lang w:val="en-GB"/>
        </w:rPr>
        <w:t>capable of withstanding steady burning</w:t>
      </w:r>
      <w:r w:rsidR="000012A9" w:rsidRPr="00622850">
        <w:rPr>
          <w:lang w:val="en-GB"/>
        </w:rPr>
        <w:t xml:space="preserve"> or a flame arrester </w:t>
      </w:r>
      <w:r w:rsidR="000012A9" w:rsidRPr="00622850">
        <w:rPr>
          <w:b/>
          <w:u w:val="single"/>
          <w:lang w:val="en-GB"/>
        </w:rPr>
        <w:t>capable of withstanding steady burning</w:t>
      </w:r>
      <w:r w:rsidR="000012A9" w:rsidRPr="00622850">
        <w:rPr>
          <w:lang w:val="en-GB"/>
        </w:rPr>
        <w:t xml:space="preserve"> (protection against deflagrations);</w:t>
      </w:r>
      <w:r w:rsidR="003B5338" w:rsidRPr="00622850">
        <w:rPr>
          <w:color w:val="000000" w:themeColor="text1"/>
          <w:lang w:val="en-GB"/>
        </w:rPr>
        <w:t>"</w:t>
      </w:r>
    </w:p>
    <w:p w:rsidR="000012A9" w:rsidRPr="00622850" w:rsidRDefault="003E3387" w:rsidP="003B5338">
      <w:pPr>
        <w:pStyle w:val="SingleTxtG"/>
        <w:rPr>
          <w:lang w:val="en-GB"/>
        </w:rPr>
      </w:pPr>
      <w:r w:rsidRPr="00622850">
        <w:rPr>
          <w:b/>
          <w:bCs/>
          <w:color w:val="000000" w:themeColor="text1"/>
          <w:lang w:val="en-GB"/>
        </w:rPr>
        <w:t>3.3.</w:t>
      </w:r>
      <w:r w:rsidRPr="00622850">
        <w:rPr>
          <w:color w:val="000000" w:themeColor="text1"/>
          <w:lang w:val="en-GB"/>
        </w:rPr>
        <w:tab/>
      </w:r>
      <w:r w:rsidR="003B5338" w:rsidRPr="00622850">
        <w:rPr>
          <w:color w:val="000000" w:themeColor="text1"/>
          <w:lang w:val="en-GB"/>
        </w:rPr>
        <w:t>"</w:t>
      </w:r>
      <w:r w:rsidR="000012A9" w:rsidRPr="00622850">
        <w:rPr>
          <w:i/>
          <w:iCs/>
          <w:lang w:val="en-GB"/>
        </w:rPr>
        <w:t xml:space="preserve">Vacuum valve </w:t>
      </w:r>
      <w:r w:rsidR="000012A9" w:rsidRPr="00622850">
        <w:rPr>
          <w:lang w:val="en-GB"/>
        </w:rPr>
        <w:t xml:space="preserve">means an automatically activated safety valve the purpose of which is to protect the cargo tank against unacceptable negative internal pressure. When the list of substances on the vessel according to 1.16.1.2.5 contains substances for which explosion protection is required in column (17) of Table C of Chapter 3.2, it shall be </w:t>
      </w:r>
      <w:r w:rsidR="000012A9" w:rsidRPr="00622850">
        <w:rPr>
          <w:b/>
          <w:u w:val="single"/>
          <w:lang w:val="en-GB"/>
        </w:rPr>
        <w:t>deflagration safe</w:t>
      </w:r>
      <w:r w:rsidR="000012A9" w:rsidRPr="00622850">
        <w:rPr>
          <w:lang w:val="en-GB"/>
        </w:rPr>
        <w:t xml:space="preserve"> against atmospheric explosions of the most critical substance in the list of substances. The deflagration safety shall be tested according to international standard ISO 16852:2016</w:t>
      </w:r>
      <w:r w:rsidR="000012A9" w:rsidRPr="00622850">
        <w:rPr>
          <w:sz w:val="12"/>
          <w:szCs w:val="12"/>
          <w:lang w:val="en-GB"/>
        </w:rPr>
        <w:t xml:space="preserve">1 </w:t>
      </w:r>
      <w:r w:rsidR="000012A9" w:rsidRPr="00622850">
        <w:rPr>
          <w:lang w:val="en-GB"/>
        </w:rPr>
        <w:t>and evidence of compliance with the applicable requirements (e.g., conformity assessment procedure according to Directive 2014/34/EU,</w:t>
      </w:r>
      <w:r w:rsidR="000012A9" w:rsidRPr="00622850">
        <w:rPr>
          <w:sz w:val="12"/>
          <w:szCs w:val="12"/>
          <w:lang w:val="en-GB"/>
        </w:rPr>
        <w:t xml:space="preserve"> </w:t>
      </w:r>
      <w:r w:rsidR="000012A9" w:rsidRPr="00622850">
        <w:rPr>
          <w:lang w:val="en-GB"/>
        </w:rPr>
        <w:t>ECE/TRADE/391</w:t>
      </w:r>
      <w:r w:rsidR="000012A9" w:rsidRPr="00622850">
        <w:rPr>
          <w:sz w:val="12"/>
          <w:szCs w:val="12"/>
          <w:lang w:val="en-GB"/>
        </w:rPr>
        <w:t xml:space="preserve"> </w:t>
      </w:r>
      <w:r w:rsidR="000012A9" w:rsidRPr="00622850">
        <w:rPr>
          <w:lang w:val="en-GB"/>
        </w:rPr>
        <w:t>or at least equivalent) shall be supplied.</w:t>
      </w:r>
    </w:p>
    <w:p w:rsidR="000012A9" w:rsidRPr="00622850" w:rsidRDefault="003E3387" w:rsidP="003B5338">
      <w:pPr>
        <w:pStyle w:val="SingleTxtG"/>
        <w:rPr>
          <w:lang w:val="en-GB"/>
        </w:rPr>
      </w:pPr>
      <w:r w:rsidRPr="00622850">
        <w:rPr>
          <w:b/>
          <w:bCs/>
          <w:u w:val="single"/>
          <w:lang w:val="en-GB"/>
        </w:rPr>
        <w:t>3.4</w:t>
      </w:r>
      <w:r w:rsidRPr="00622850">
        <w:rPr>
          <w:u w:val="single"/>
          <w:lang w:val="en-GB"/>
        </w:rPr>
        <w:t>.</w:t>
      </w:r>
      <w:r w:rsidRPr="00622850">
        <w:rPr>
          <w:u w:val="single"/>
          <w:lang w:val="en-GB"/>
        </w:rPr>
        <w:tab/>
      </w:r>
      <w:r w:rsidR="000012A9" w:rsidRPr="00622850">
        <w:rPr>
          <w:u w:val="single"/>
          <w:lang w:val="en-GB"/>
        </w:rPr>
        <w:t>The deflagration safety may be ensured by an integrated flame arrester plate stack or a flame arrester (</w:t>
      </w:r>
      <w:r w:rsidR="000012A9" w:rsidRPr="00622850">
        <w:rPr>
          <w:b/>
          <w:u w:val="single"/>
          <w:lang w:val="en-GB"/>
        </w:rPr>
        <w:t>protection against deflagrations</w:t>
      </w:r>
      <w:r w:rsidR="000012A9" w:rsidRPr="00622850">
        <w:rPr>
          <w:u w:val="single"/>
          <w:lang w:val="en-GB"/>
        </w:rPr>
        <w:t>);</w:t>
      </w:r>
      <w:r w:rsidR="003B5338" w:rsidRPr="00622850">
        <w:rPr>
          <w:color w:val="000000" w:themeColor="text1"/>
          <w:lang w:val="en-GB"/>
        </w:rPr>
        <w:t>"</w:t>
      </w:r>
    </w:p>
    <w:p w:rsidR="000012A9" w:rsidRPr="00622850" w:rsidRDefault="003E3387" w:rsidP="003B5338">
      <w:pPr>
        <w:pStyle w:val="SingleTxtG"/>
        <w:rPr>
          <w:lang w:val="en-GB"/>
        </w:rPr>
      </w:pPr>
      <w:r w:rsidRPr="00622850">
        <w:rPr>
          <w:b/>
          <w:bCs/>
          <w:color w:val="000000" w:themeColor="text1"/>
          <w:lang w:val="en-GB"/>
        </w:rPr>
        <w:t>3.5.</w:t>
      </w:r>
      <w:r w:rsidRPr="00622850">
        <w:rPr>
          <w:color w:val="000000" w:themeColor="text1"/>
          <w:lang w:val="en-GB"/>
        </w:rPr>
        <w:tab/>
      </w:r>
      <w:r w:rsidR="003B5338" w:rsidRPr="00622850">
        <w:rPr>
          <w:color w:val="000000" w:themeColor="text1"/>
          <w:lang w:val="en-GB"/>
        </w:rPr>
        <w:t>"</w:t>
      </w:r>
      <w:r w:rsidR="000012A9" w:rsidRPr="00622850">
        <w:rPr>
          <w:rStyle w:val="SingleTxtGChar"/>
          <w:lang w:val="en-GB"/>
        </w:rPr>
        <w:t>Self-contained protection systems means all devices which are intended to halt incipient explosions immediately and/or to limit the effective range of an explosion and which are separately made available on the market for use as self-contained systems. This includes flame arresters, high velocity vent valves, deflagration safe vacuum valves and devices for the safe depressurization of cargo tanks capable of withstanding a deflagration (see also Flame arrester, High velocity vent valve, Vacuum valve, Devices for the safe depressurization of cargo tanks and Deflagration);</w:t>
      </w:r>
      <w:r w:rsidR="003B5338" w:rsidRPr="00622850">
        <w:rPr>
          <w:color w:val="000000" w:themeColor="text1"/>
          <w:lang w:val="en-GB"/>
        </w:rPr>
        <w:t>"</w:t>
      </w:r>
      <w:r w:rsidR="000012A9" w:rsidRPr="00622850">
        <w:rPr>
          <w:lang w:val="en-GB"/>
        </w:rPr>
        <w:t>.</w:t>
      </w:r>
    </w:p>
    <w:p w:rsidR="003B5338" w:rsidRPr="00622850" w:rsidRDefault="003B5338" w:rsidP="003B5338">
      <w:pPr>
        <w:pStyle w:val="H23G"/>
        <w:rPr>
          <w:lang w:val="en-GB"/>
        </w:rPr>
      </w:pPr>
      <w:r w:rsidRPr="00622850">
        <w:rPr>
          <w:lang w:val="en-GB"/>
        </w:rPr>
        <w:tab/>
        <w:t>4.</w:t>
      </w:r>
      <w:r w:rsidRPr="00622850">
        <w:rPr>
          <w:lang w:val="en-GB"/>
        </w:rPr>
        <w:tab/>
      </w:r>
      <w:r w:rsidRPr="00622850">
        <w:rPr>
          <w:lang w:val="en-GB"/>
        </w:rPr>
        <w:tab/>
        <w:t>Contradiction between 1.2.1 and 9.3.2.22.4 (b):</w:t>
      </w:r>
    </w:p>
    <w:p w:rsidR="003B5338" w:rsidRPr="00622850" w:rsidRDefault="003E3387" w:rsidP="003B5338">
      <w:pPr>
        <w:pStyle w:val="SingleTxtG"/>
        <w:rPr>
          <w:lang w:val="en-GB"/>
        </w:rPr>
      </w:pPr>
      <w:r w:rsidRPr="00622850">
        <w:rPr>
          <w:b/>
          <w:bCs/>
          <w:lang w:val="en-GB"/>
        </w:rPr>
        <w:t>4.1.</w:t>
      </w:r>
      <w:r w:rsidRPr="00622850">
        <w:rPr>
          <w:lang w:val="en-GB"/>
        </w:rPr>
        <w:tab/>
      </w:r>
      <w:r w:rsidR="003B5338" w:rsidRPr="00622850">
        <w:rPr>
          <w:lang w:val="en-GB"/>
        </w:rPr>
        <w:t xml:space="preserve">In 9.3.2.22.4 (b) we read: </w:t>
      </w:r>
    </w:p>
    <w:p w:rsidR="003B5338" w:rsidRDefault="003B5338" w:rsidP="003B5338">
      <w:pPr>
        <w:spacing w:after="120"/>
        <w:ind w:left="1134" w:right="1133"/>
        <w:rPr>
          <w:color w:val="000000" w:themeColor="text1"/>
        </w:rPr>
      </w:pPr>
      <w:r>
        <w:tab/>
      </w:r>
      <w:r>
        <w:rPr>
          <w:color w:val="000000" w:themeColor="text1"/>
        </w:rPr>
        <w:t>"</w:t>
      </w:r>
      <w:r w:rsidRPr="00A94A91">
        <w:rPr>
          <w:u w:val="single"/>
        </w:rPr>
        <w:t>If the list of substances on the vessel according to 1.16.1.2.5 is going to include substances that require explosion protection in accordance with column (17) of Table C of Chapter 3.2</w:t>
      </w:r>
      <w:r>
        <w:t xml:space="preserve">, then at the connection to each cargo tank, the venting piping and the </w:t>
      </w:r>
      <w:r w:rsidRPr="00A94A91">
        <w:rPr>
          <w:b/>
          <w:u w:val="single"/>
        </w:rPr>
        <w:t>vacuum valve</w:t>
      </w:r>
      <w:r>
        <w:t xml:space="preserve"> shall be equipped with a flame arrester </w:t>
      </w:r>
      <w:r w:rsidRPr="00A94A91">
        <w:rPr>
          <w:b/>
          <w:u w:val="single"/>
        </w:rPr>
        <w:t>capable of</w:t>
      </w:r>
      <w:r>
        <w:t xml:space="preserve"> </w:t>
      </w:r>
      <w:r w:rsidRPr="00A94A91">
        <w:rPr>
          <w:b/>
          <w:u w:val="single"/>
        </w:rPr>
        <w:t>withstanding a detonation</w:t>
      </w:r>
      <w:r>
        <w:t>;</w:t>
      </w:r>
      <w:r>
        <w:rPr>
          <w:color w:val="000000" w:themeColor="text1"/>
        </w:rPr>
        <w:t>"</w:t>
      </w:r>
    </w:p>
    <w:p w:rsidR="003B5338" w:rsidRPr="00622850" w:rsidRDefault="003B5338" w:rsidP="003B5338">
      <w:pPr>
        <w:pStyle w:val="SingleTxtG"/>
        <w:rPr>
          <w:lang w:val="en-GB"/>
        </w:rPr>
      </w:pPr>
      <w:r w:rsidRPr="00622850">
        <w:rPr>
          <w:lang w:val="en-GB"/>
        </w:rPr>
        <w:t xml:space="preserve">But in 1.2.1 (Definition) we read that when explosion protection is required the vacuum valve </w:t>
      </w:r>
      <w:proofErr w:type="gramStart"/>
      <w:r w:rsidRPr="00622850">
        <w:rPr>
          <w:lang w:val="en-GB"/>
        </w:rPr>
        <w:t>has to</w:t>
      </w:r>
      <w:proofErr w:type="gramEnd"/>
      <w:r w:rsidRPr="00622850">
        <w:rPr>
          <w:lang w:val="en-GB"/>
        </w:rPr>
        <w:t xml:space="preserve"> be just “deflagration safe”: </w:t>
      </w:r>
    </w:p>
    <w:p w:rsidR="003B5338" w:rsidRDefault="003E3387" w:rsidP="006015AB">
      <w:pPr>
        <w:spacing w:after="120"/>
        <w:ind w:left="1134" w:right="1133"/>
        <w:jc w:val="both"/>
        <w:rPr>
          <w:color w:val="000000" w:themeColor="text1"/>
        </w:rPr>
      </w:pPr>
      <w:r>
        <w:rPr>
          <w:b/>
        </w:rPr>
        <w:t>4.2.</w:t>
      </w:r>
      <w:r>
        <w:rPr>
          <w:b/>
        </w:rPr>
        <w:tab/>
      </w:r>
      <w:r w:rsidR="003B5338">
        <w:rPr>
          <w:color w:val="000000" w:themeColor="text1"/>
        </w:rPr>
        <w:t>"</w:t>
      </w:r>
      <w:r w:rsidR="003B5338" w:rsidRPr="00A94A91">
        <w:rPr>
          <w:b/>
          <w:i/>
          <w:iCs/>
          <w:u w:val="single"/>
        </w:rPr>
        <w:t>Vacuum valve</w:t>
      </w:r>
      <w:r w:rsidR="003B5338">
        <w:rPr>
          <w:i/>
          <w:iCs/>
        </w:rPr>
        <w:t xml:space="preserve"> </w:t>
      </w:r>
      <w:r w:rsidR="003B5338">
        <w:t xml:space="preserve">means an automatically activated safety valve the purpose of which is to protect the cargo tank against unacceptable negative internal pressure. </w:t>
      </w:r>
      <w:r w:rsidR="003B5338" w:rsidRPr="00A94A91">
        <w:rPr>
          <w:u w:val="single"/>
        </w:rPr>
        <w:t>When the list of substances on the vessel according to 1.16.1.2.5 contains substances for which explosion protection is required in column (17) of Table C of Chapter 3.2</w:t>
      </w:r>
      <w:r w:rsidR="003B5338">
        <w:t xml:space="preserve">, it shall be </w:t>
      </w:r>
      <w:r w:rsidR="003B5338" w:rsidRPr="007832B7">
        <w:rPr>
          <w:b/>
          <w:u w:val="single"/>
        </w:rPr>
        <w:t>deflagration safe</w:t>
      </w:r>
      <w:r w:rsidR="003B5338">
        <w:t xml:space="preserve"> against atmospheric explosions of the most critical substance in the list of substances. The deflagration safety shall be tested according to international standard ISO 16852:2016</w:t>
      </w:r>
      <w:r w:rsidR="003B5338">
        <w:rPr>
          <w:sz w:val="12"/>
          <w:szCs w:val="12"/>
        </w:rPr>
        <w:t xml:space="preserve">1 </w:t>
      </w:r>
      <w:r w:rsidR="003B5338">
        <w:t>and evidence of compliance with the applicable requirements (e.g., conformity assessment procedure according to Directive 2014/34/EU,</w:t>
      </w:r>
      <w:r w:rsidR="003B5338">
        <w:rPr>
          <w:sz w:val="12"/>
          <w:szCs w:val="12"/>
        </w:rPr>
        <w:t xml:space="preserve"> </w:t>
      </w:r>
      <w:r w:rsidR="003B5338">
        <w:t>ECE/TRADE/391</w:t>
      </w:r>
      <w:r w:rsidR="003B5338">
        <w:rPr>
          <w:sz w:val="12"/>
          <w:szCs w:val="12"/>
        </w:rPr>
        <w:t xml:space="preserve"> </w:t>
      </w:r>
      <w:r w:rsidR="003B5338">
        <w:t xml:space="preserve">or at least equivalent) shall be supplied. </w:t>
      </w:r>
      <w:r w:rsidR="003B5338" w:rsidRPr="007832B7">
        <w:rPr>
          <w:u w:val="single"/>
        </w:rPr>
        <w:t>The deflagration safety may be ensured by an integrated flame arrester plate stack or a flame arrester (</w:t>
      </w:r>
      <w:r w:rsidR="003B5338" w:rsidRPr="00A94A91">
        <w:rPr>
          <w:b/>
          <w:u w:val="single"/>
        </w:rPr>
        <w:t>protection against deflagrations</w:t>
      </w:r>
      <w:r w:rsidR="003B5338">
        <w:rPr>
          <w:u w:val="single"/>
        </w:rPr>
        <w:t>);</w:t>
      </w:r>
      <w:r w:rsidR="003B5338">
        <w:rPr>
          <w:color w:val="000000" w:themeColor="text1"/>
        </w:rPr>
        <w:t>"</w:t>
      </w:r>
    </w:p>
    <w:p w:rsidR="006015AB" w:rsidRPr="00622850" w:rsidRDefault="003E3387" w:rsidP="006015AB">
      <w:pPr>
        <w:pStyle w:val="SingleTxtG"/>
        <w:rPr>
          <w:lang w:val="en-GB"/>
        </w:rPr>
      </w:pPr>
      <w:r w:rsidRPr="00622850">
        <w:rPr>
          <w:b/>
          <w:bCs/>
          <w:lang w:val="en-GB"/>
        </w:rPr>
        <w:t>4.3.</w:t>
      </w:r>
      <w:r w:rsidRPr="00622850">
        <w:rPr>
          <w:lang w:val="en-GB"/>
        </w:rPr>
        <w:tab/>
      </w:r>
      <w:r w:rsidR="006015AB" w:rsidRPr="00622850">
        <w:rPr>
          <w:lang w:val="en-GB"/>
        </w:rPr>
        <w:t xml:space="preserve">It seems that there is a contradiction between the definition and the prescription; when the 1.2.1 (definition) requires a flame arrester capable of withstanding a deflagration the 9.3.2.22.4 (b) requires a flame arrester capable of withstanding a detonation. Deflagration arresters do not provide safety against detonations. </w:t>
      </w:r>
    </w:p>
    <w:p w:rsidR="006015AB" w:rsidRPr="00622850" w:rsidRDefault="003E3387" w:rsidP="006015AB">
      <w:pPr>
        <w:pStyle w:val="SingleTxtG"/>
        <w:rPr>
          <w:lang w:val="en-GB"/>
        </w:rPr>
      </w:pPr>
      <w:r w:rsidRPr="00622850">
        <w:rPr>
          <w:b/>
          <w:bCs/>
          <w:lang w:val="en-GB"/>
        </w:rPr>
        <w:t>4.4.</w:t>
      </w:r>
      <w:r w:rsidRPr="00622850">
        <w:rPr>
          <w:lang w:val="en-GB"/>
        </w:rPr>
        <w:tab/>
      </w:r>
      <w:r w:rsidR="006015AB" w:rsidRPr="00622850">
        <w:rPr>
          <w:lang w:val="en-GB"/>
        </w:rPr>
        <w:t>The IWG of Recommended ADN Classification Societies likes to ask the ADN Safety Committee to consider this contradiction and to decide about the necessary action.</w:t>
      </w:r>
    </w:p>
    <w:p w:rsidR="006015AB" w:rsidRPr="00622850" w:rsidRDefault="006015AB" w:rsidP="006015AB">
      <w:pPr>
        <w:pStyle w:val="H23G"/>
        <w:rPr>
          <w:lang w:val="en-GB"/>
        </w:rPr>
      </w:pPr>
      <w:r w:rsidRPr="00622850">
        <w:rPr>
          <w:lang w:val="en-GB"/>
        </w:rPr>
        <w:tab/>
        <w:t>5.</w:t>
      </w:r>
      <w:r w:rsidRPr="00622850">
        <w:rPr>
          <w:lang w:val="en-GB"/>
        </w:rPr>
        <w:tab/>
      </w:r>
      <w:r w:rsidRPr="00622850">
        <w:rPr>
          <w:lang w:val="en-GB"/>
        </w:rPr>
        <w:tab/>
        <w:t xml:space="preserve">Definition of </w:t>
      </w:r>
      <w:r w:rsidRPr="00622850">
        <w:rPr>
          <w:color w:val="000000" w:themeColor="text1"/>
          <w:lang w:val="en-GB"/>
        </w:rPr>
        <w:t>"</w:t>
      </w:r>
      <w:r w:rsidRPr="00622850">
        <w:rPr>
          <w:lang w:val="en-GB"/>
        </w:rPr>
        <w:t>Self-contained protection systems</w:t>
      </w:r>
      <w:r w:rsidRPr="00622850">
        <w:rPr>
          <w:color w:val="000000" w:themeColor="text1"/>
          <w:lang w:val="en-GB"/>
        </w:rPr>
        <w:t>"</w:t>
      </w:r>
      <w:r w:rsidRPr="00622850">
        <w:rPr>
          <w:lang w:val="en-GB"/>
        </w:rPr>
        <w:t>:</w:t>
      </w:r>
    </w:p>
    <w:p w:rsidR="006015AB" w:rsidRPr="00622850" w:rsidRDefault="006015AB" w:rsidP="006015AB">
      <w:pPr>
        <w:pStyle w:val="SingleTxtG"/>
        <w:rPr>
          <w:lang w:val="en-GB"/>
        </w:rPr>
      </w:pPr>
      <w:r w:rsidRPr="00622850">
        <w:rPr>
          <w:b/>
          <w:bCs/>
          <w:lang w:val="en-GB"/>
        </w:rPr>
        <w:t>5.1</w:t>
      </w:r>
      <w:r w:rsidRPr="00622850">
        <w:rPr>
          <w:lang w:val="en-GB"/>
        </w:rPr>
        <w:t>.</w:t>
      </w:r>
      <w:r w:rsidRPr="00622850">
        <w:rPr>
          <w:lang w:val="en-GB"/>
        </w:rPr>
        <w:tab/>
        <w:t>In 1.2.1 Definitions we read that:</w:t>
      </w:r>
    </w:p>
    <w:p w:rsidR="006015AB" w:rsidRPr="009F5C2A" w:rsidRDefault="003E3387" w:rsidP="003E3387">
      <w:pPr>
        <w:pStyle w:val="ListParagraph"/>
        <w:tabs>
          <w:tab w:val="left" w:pos="8505"/>
        </w:tabs>
        <w:spacing w:after="120"/>
        <w:ind w:left="1134" w:right="1133"/>
        <w:rPr>
          <w:rFonts w:ascii="Times New Roman" w:hAnsi="Times New Roman" w:cs="Times New Roman"/>
          <w:sz w:val="20"/>
          <w:szCs w:val="20"/>
        </w:rPr>
      </w:pPr>
      <w:r>
        <w:rPr>
          <w:color w:val="000000" w:themeColor="text1"/>
        </w:rPr>
        <w:t>"</w:t>
      </w:r>
      <w:r w:rsidR="006015AB" w:rsidRPr="009F5C2A">
        <w:rPr>
          <w:rFonts w:ascii="Times New Roman" w:hAnsi="Times New Roman" w:cs="Times New Roman"/>
          <w:iCs/>
          <w:sz w:val="20"/>
          <w:szCs w:val="20"/>
        </w:rPr>
        <w:t>Self-</w:t>
      </w:r>
      <w:proofErr w:type="spellStart"/>
      <w:r w:rsidR="006015AB" w:rsidRPr="009F5C2A">
        <w:rPr>
          <w:rFonts w:ascii="Times New Roman" w:hAnsi="Times New Roman" w:cs="Times New Roman"/>
          <w:iCs/>
          <w:sz w:val="20"/>
          <w:szCs w:val="20"/>
        </w:rPr>
        <w:t>contained</w:t>
      </w:r>
      <w:proofErr w:type="spellEnd"/>
      <w:r w:rsidR="006015AB" w:rsidRPr="009F5C2A">
        <w:rPr>
          <w:rFonts w:ascii="Times New Roman" w:hAnsi="Times New Roman" w:cs="Times New Roman"/>
          <w:iCs/>
          <w:sz w:val="20"/>
          <w:szCs w:val="20"/>
        </w:rPr>
        <w:t xml:space="preserve"> </w:t>
      </w:r>
      <w:proofErr w:type="spellStart"/>
      <w:r w:rsidR="006015AB" w:rsidRPr="009F5C2A">
        <w:rPr>
          <w:rFonts w:ascii="Times New Roman" w:hAnsi="Times New Roman" w:cs="Times New Roman"/>
          <w:iCs/>
          <w:sz w:val="20"/>
          <w:szCs w:val="20"/>
        </w:rPr>
        <w:t>protection</w:t>
      </w:r>
      <w:proofErr w:type="spellEnd"/>
      <w:r w:rsidR="006015AB" w:rsidRPr="009F5C2A">
        <w:rPr>
          <w:rFonts w:ascii="Times New Roman" w:hAnsi="Times New Roman" w:cs="Times New Roman"/>
          <w:iCs/>
          <w:sz w:val="20"/>
          <w:szCs w:val="20"/>
        </w:rPr>
        <w:t xml:space="preserve"> </w:t>
      </w:r>
      <w:proofErr w:type="spellStart"/>
      <w:r w:rsidR="006015AB" w:rsidRPr="009F5C2A">
        <w:rPr>
          <w:rFonts w:ascii="Times New Roman" w:hAnsi="Times New Roman" w:cs="Times New Roman"/>
          <w:iCs/>
          <w:sz w:val="20"/>
          <w:szCs w:val="20"/>
        </w:rPr>
        <w:t>systems</w:t>
      </w:r>
      <w:proofErr w:type="spellEnd"/>
      <w:r w:rsidR="006015AB" w:rsidRPr="009F5C2A">
        <w:rPr>
          <w:rFonts w:ascii="Times New Roman" w:hAnsi="Times New Roman" w:cs="Times New Roman"/>
          <w:iCs/>
          <w:sz w:val="20"/>
          <w:szCs w:val="20"/>
        </w:rPr>
        <w:t xml:space="preserve"> </w:t>
      </w:r>
      <w:proofErr w:type="spellStart"/>
      <w:r w:rsidR="006015AB" w:rsidRPr="009F5C2A">
        <w:rPr>
          <w:rFonts w:ascii="Times New Roman" w:hAnsi="Times New Roman" w:cs="Times New Roman"/>
          <w:sz w:val="20"/>
          <w:szCs w:val="20"/>
        </w:rPr>
        <w:t>means</w:t>
      </w:r>
      <w:proofErr w:type="spellEnd"/>
      <w:r w:rsidR="006015AB" w:rsidRPr="009F5C2A">
        <w:rPr>
          <w:rFonts w:ascii="Times New Roman" w:hAnsi="Times New Roman" w:cs="Times New Roman"/>
          <w:sz w:val="20"/>
          <w:szCs w:val="20"/>
        </w:rPr>
        <w:t xml:space="preserve"> all </w:t>
      </w:r>
      <w:proofErr w:type="spellStart"/>
      <w:r w:rsidR="006015AB" w:rsidRPr="009F5C2A">
        <w:rPr>
          <w:rFonts w:ascii="Times New Roman" w:hAnsi="Times New Roman" w:cs="Times New Roman"/>
          <w:sz w:val="20"/>
          <w:szCs w:val="20"/>
        </w:rPr>
        <w:t>devices</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which</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are</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intended</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to</w:t>
      </w:r>
      <w:proofErr w:type="spellEnd"/>
      <w:r w:rsidR="006015AB" w:rsidRPr="009F5C2A">
        <w:rPr>
          <w:rFonts w:ascii="Times New Roman" w:hAnsi="Times New Roman" w:cs="Times New Roman"/>
          <w:sz w:val="20"/>
          <w:szCs w:val="20"/>
        </w:rPr>
        <w:t xml:space="preserve"> halt </w:t>
      </w:r>
      <w:proofErr w:type="spellStart"/>
      <w:r w:rsidR="006015AB" w:rsidRPr="009F5C2A">
        <w:rPr>
          <w:rFonts w:ascii="Times New Roman" w:hAnsi="Times New Roman" w:cs="Times New Roman"/>
          <w:sz w:val="20"/>
          <w:szCs w:val="20"/>
        </w:rPr>
        <w:t>incipient</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explosions</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immediately</w:t>
      </w:r>
      <w:proofErr w:type="spellEnd"/>
      <w:r w:rsidR="006015AB" w:rsidRPr="009F5C2A">
        <w:rPr>
          <w:rFonts w:ascii="Times New Roman" w:hAnsi="Times New Roman" w:cs="Times New Roman"/>
          <w:sz w:val="20"/>
          <w:szCs w:val="20"/>
        </w:rPr>
        <w:t xml:space="preserve"> and/</w:t>
      </w:r>
      <w:proofErr w:type="spellStart"/>
      <w:r w:rsidR="006015AB" w:rsidRPr="009F5C2A">
        <w:rPr>
          <w:rFonts w:ascii="Times New Roman" w:hAnsi="Times New Roman" w:cs="Times New Roman"/>
          <w:sz w:val="20"/>
          <w:szCs w:val="20"/>
        </w:rPr>
        <w:t>or</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to</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limit</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the</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effective</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range</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of</w:t>
      </w:r>
      <w:proofErr w:type="spellEnd"/>
      <w:r w:rsidR="006015AB" w:rsidRPr="009F5C2A">
        <w:rPr>
          <w:rFonts w:ascii="Times New Roman" w:hAnsi="Times New Roman" w:cs="Times New Roman"/>
          <w:sz w:val="20"/>
          <w:szCs w:val="20"/>
        </w:rPr>
        <w:t xml:space="preserve"> an </w:t>
      </w:r>
      <w:proofErr w:type="spellStart"/>
      <w:r w:rsidR="006015AB" w:rsidRPr="009F5C2A">
        <w:rPr>
          <w:rFonts w:ascii="Times New Roman" w:hAnsi="Times New Roman" w:cs="Times New Roman"/>
          <w:sz w:val="20"/>
          <w:szCs w:val="20"/>
        </w:rPr>
        <w:t>explosion</w:t>
      </w:r>
      <w:proofErr w:type="spellEnd"/>
      <w:r w:rsidR="006015AB" w:rsidRPr="009F5C2A">
        <w:rPr>
          <w:rFonts w:ascii="Times New Roman" w:hAnsi="Times New Roman" w:cs="Times New Roman"/>
          <w:sz w:val="20"/>
          <w:szCs w:val="20"/>
        </w:rPr>
        <w:t xml:space="preserve"> and </w:t>
      </w:r>
      <w:proofErr w:type="spellStart"/>
      <w:r w:rsidR="006015AB" w:rsidRPr="009F5C2A">
        <w:rPr>
          <w:rFonts w:ascii="Times New Roman" w:hAnsi="Times New Roman" w:cs="Times New Roman"/>
          <w:sz w:val="20"/>
          <w:szCs w:val="20"/>
        </w:rPr>
        <w:t>which</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are</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separately</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made</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available</w:t>
      </w:r>
      <w:proofErr w:type="spellEnd"/>
      <w:r w:rsidR="006015AB" w:rsidRPr="009F5C2A">
        <w:rPr>
          <w:rFonts w:ascii="Times New Roman" w:hAnsi="Times New Roman" w:cs="Times New Roman"/>
          <w:sz w:val="20"/>
          <w:szCs w:val="20"/>
        </w:rPr>
        <w:t xml:space="preserve"> on </w:t>
      </w:r>
      <w:proofErr w:type="spellStart"/>
      <w:r w:rsidR="006015AB" w:rsidRPr="009F5C2A">
        <w:rPr>
          <w:rFonts w:ascii="Times New Roman" w:hAnsi="Times New Roman" w:cs="Times New Roman"/>
          <w:sz w:val="20"/>
          <w:szCs w:val="20"/>
        </w:rPr>
        <w:t>the</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market</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for</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use</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as</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self-contained</w:t>
      </w:r>
      <w:proofErr w:type="spellEnd"/>
      <w:r w:rsidR="006015AB" w:rsidRPr="009F5C2A">
        <w:rPr>
          <w:rFonts w:ascii="Times New Roman" w:hAnsi="Times New Roman" w:cs="Times New Roman"/>
          <w:sz w:val="20"/>
          <w:szCs w:val="20"/>
        </w:rPr>
        <w:t xml:space="preserve"> </w:t>
      </w:r>
      <w:proofErr w:type="spellStart"/>
      <w:r w:rsidR="006015AB" w:rsidRPr="009F5C2A">
        <w:rPr>
          <w:rFonts w:ascii="Times New Roman" w:hAnsi="Times New Roman" w:cs="Times New Roman"/>
          <w:sz w:val="20"/>
          <w:szCs w:val="20"/>
        </w:rPr>
        <w:t>systems</w:t>
      </w:r>
      <w:proofErr w:type="spellEnd"/>
      <w:r w:rsidR="006015AB" w:rsidRPr="009F5C2A">
        <w:rPr>
          <w:rFonts w:ascii="Times New Roman" w:hAnsi="Times New Roman" w:cs="Times New Roman"/>
          <w:sz w:val="20"/>
          <w:szCs w:val="20"/>
        </w:rPr>
        <w:t xml:space="preserve">. </w:t>
      </w:r>
    </w:p>
    <w:p w:rsidR="003E3387" w:rsidRDefault="003E3387" w:rsidP="003E3387">
      <w:pPr>
        <w:pStyle w:val="ListParagraph"/>
        <w:spacing w:before="120" w:after="120"/>
        <w:ind w:left="1134"/>
        <w:rPr>
          <w:rFonts w:ascii="Times New Roman" w:hAnsi="Times New Roman" w:cs="Times New Roman"/>
          <w:sz w:val="20"/>
          <w:szCs w:val="20"/>
        </w:rPr>
      </w:pPr>
    </w:p>
    <w:p w:rsidR="006015AB" w:rsidRPr="009F5C2A" w:rsidRDefault="006015AB" w:rsidP="003E3387">
      <w:pPr>
        <w:pStyle w:val="ListParagraph"/>
        <w:keepNext/>
        <w:keepLines/>
        <w:spacing w:before="120" w:after="120"/>
        <w:ind w:left="1134"/>
        <w:rPr>
          <w:rFonts w:ascii="Times New Roman" w:hAnsi="Times New Roman" w:cs="Times New Roman"/>
          <w:sz w:val="20"/>
          <w:szCs w:val="20"/>
        </w:rPr>
      </w:pPr>
      <w:r w:rsidRPr="009F5C2A">
        <w:rPr>
          <w:rFonts w:ascii="Times New Roman" w:hAnsi="Times New Roman" w:cs="Times New Roman"/>
          <w:sz w:val="20"/>
          <w:szCs w:val="20"/>
        </w:rPr>
        <w:lastRenderedPageBreak/>
        <w:t xml:space="preserve">This </w:t>
      </w:r>
      <w:proofErr w:type="spellStart"/>
      <w:r w:rsidRPr="009F5C2A">
        <w:rPr>
          <w:rFonts w:ascii="Times New Roman" w:hAnsi="Times New Roman" w:cs="Times New Roman"/>
          <w:sz w:val="20"/>
          <w:szCs w:val="20"/>
        </w:rPr>
        <w:t>includes</w:t>
      </w:r>
      <w:proofErr w:type="spellEnd"/>
      <w:r>
        <w:rPr>
          <w:rFonts w:ascii="Times New Roman" w:hAnsi="Times New Roman" w:cs="Times New Roman"/>
          <w:sz w:val="20"/>
          <w:szCs w:val="20"/>
        </w:rPr>
        <w:t>:</w:t>
      </w:r>
    </w:p>
    <w:p w:rsidR="006015AB" w:rsidRPr="009F5C2A" w:rsidRDefault="006015AB" w:rsidP="003E3387">
      <w:pPr>
        <w:pStyle w:val="Bullet1G"/>
        <w:keepNext/>
        <w:keepLines/>
        <w:spacing w:after="0"/>
      </w:pPr>
      <w:r w:rsidRPr="006015AB">
        <w:rPr>
          <w:u w:val="single"/>
        </w:rPr>
        <w:t xml:space="preserve">Flame </w:t>
      </w:r>
      <w:proofErr w:type="spellStart"/>
      <w:r w:rsidRPr="006015AB">
        <w:rPr>
          <w:u w:val="single"/>
        </w:rPr>
        <w:t>arresters</w:t>
      </w:r>
      <w:proofErr w:type="spellEnd"/>
      <w:r w:rsidRPr="009F5C2A">
        <w:t xml:space="preserve">, </w:t>
      </w:r>
    </w:p>
    <w:p w:rsidR="006015AB" w:rsidRPr="009F5C2A" w:rsidRDefault="006015AB" w:rsidP="003E3387">
      <w:pPr>
        <w:pStyle w:val="Bullet1G"/>
        <w:keepNext/>
        <w:keepLines/>
        <w:spacing w:after="0"/>
      </w:pPr>
      <w:r>
        <w:t>H</w:t>
      </w:r>
      <w:r w:rsidRPr="009F5C2A">
        <w:t xml:space="preserve">igh </w:t>
      </w:r>
      <w:proofErr w:type="spellStart"/>
      <w:r w:rsidRPr="009F5C2A">
        <w:t>velocity</w:t>
      </w:r>
      <w:proofErr w:type="spellEnd"/>
      <w:r w:rsidRPr="009F5C2A">
        <w:t xml:space="preserve"> vent valves, </w:t>
      </w:r>
    </w:p>
    <w:p w:rsidR="006015AB" w:rsidRPr="009F5C2A" w:rsidRDefault="006015AB" w:rsidP="003E3387">
      <w:pPr>
        <w:pStyle w:val="Bullet1G"/>
        <w:keepNext/>
        <w:keepLines/>
        <w:spacing w:after="0"/>
      </w:pPr>
      <w:proofErr w:type="spellStart"/>
      <w:r>
        <w:t>D</w:t>
      </w:r>
      <w:r w:rsidRPr="009F5C2A">
        <w:t>eflagration</w:t>
      </w:r>
      <w:proofErr w:type="spellEnd"/>
      <w:r w:rsidRPr="009F5C2A">
        <w:t xml:space="preserve"> </w:t>
      </w:r>
      <w:proofErr w:type="spellStart"/>
      <w:r w:rsidRPr="009F5C2A">
        <w:t>safe</w:t>
      </w:r>
      <w:proofErr w:type="spellEnd"/>
      <w:r w:rsidRPr="009F5C2A">
        <w:t xml:space="preserve"> vacuum valves </w:t>
      </w:r>
    </w:p>
    <w:p w:rsidR="006015AB" w:rsidRPr="009F5C2A" w:rsidRDefault="003E3387" w:rsidP="003E3387">
      <w:pPr>
        <w:pStyle w:val="Bullet1G"/>
        <w:keepNext/>
        <w:keepLines/>
        <w:rPr>
          <w:lang w:val="en-US"/>
        </w:rPr>
      </w:pPr>
      <w:r w:rsidRPr="00622850">
        <w:rPr>
          <w:lang w:val="en-GB"/>
        </w:rPr>
        <w:t>A</w:t>
      </w:r>
      <w:r w:rsidR="006015AB" w:rsidRPr="00622850">
        <w:rPr>
          <w:lang w:val="en-GB"/>
        </w:rPr>
        <w:t xml:space="preserve">nd devices for the safe depressurization of cargo tanks capable of withstanding </w:t>
      </w:r>
      <w:r w:rsidR="00AD0108" w:rsidRPr="00622850">
        <w:rPr>
          <w:lang w:val="en-GB"/>
        </w:rPr>
        <w:br/>
      </w:r>
      <w:r w:rsidR="006015AB" w:rsidRPr="00622850">
        <w:rPr>
          <w:lang w:val="en-GB"/>
        </w:rPr>
        <w:t>a deflagration (…);</w:t>
      </w:r>
      <w:r w:rsidRPr="00622850">
        <w:rPr>
          <w:color w:val="000000" w:themeColor="text1"/>
          <w:lang w:val="en-GB"/>
        </w:rPr>
        <w:t>"</w:t>
      </w:r>
    </w:p>
    <w:p w:rsidR="003E3387" w:rsidRPr="00622850" w:rsidRDefault="003E3387" w:rsidP="003E3387">
      <w:pPr>
        <w:pStyle w:val="H23G"/>
        <w:rPr>
          <w:lang w:val="en-GB"/>
        </w:rPr>
      </w:pPr>
      <w:r w:rsidRPr="00622850">
        <w:rPr>
          <w:lang w:val="en-GB"/>
        </w:rPr>
        <w:tab/>
      </w:r>
      <w:r w:rsidRPr="00622850">
        <w:rPr>
          <w:lang w:val="en-GB"/>
        </w:rPr>
        <w:tab/>
        <w:t>5.2.</w:t>
      </w:r>
      <w:r w:rsidRPr="00622850">
        <w:rPr>
          <w:lang w:val="en-GB"/>
        </w:rPr>
        <w:tab/>
        <w:t>In 3.2.3.1 Explanations concerning Table C we note:</w:t>
      </w:r>
    </w:p>
    <w:p w:rsidR="003E3387" w:rsidRPr="009F5C2A" w:rsidRDefault="003E3387" w:rsidP="003E3387">
      <w:pPr>
        <w:pStyle w:val="Bullet1G"/>
      </w:pPr>
      <w:proofErr w:type="spellStart"/>
      <w:r w:rsidRPr="009F5C2A">
        <w:t>Column</w:t>
      </w:r>
      <w:proofErr w:type="spellEnd"/>
      <w:r w:rsidRPr="009F5C2A">
        <w:t xml:space="preserve"> (16) </w:t>
      </w:r>
      <w:r w:rsidR="007C7DAD">
        <w:rPr>
          <w:color w:val="000000" w:themeColor="text1"/>
        </w:rPr>
        <w:t>"</w:t>
      </w:r>
      <w:r w:rsidRPr="009F5C2A">
        <w:t>Explosion group</w:t>
      </w:r>
      <w:r w:rsidR="007C7DAD">
        <w:rPr>
          <w:color w:val="000000" w:themeColor="text1"/>
        </w:rPr>
        <w:t>"</w:t>
      </w:r>
    </w:p>
    <w:p w:rsidR="003E3387" w:rsidRPr="009F5C2A" w:rsidRDefault="003E3387" w:rsidP="00756AFF">
      <w:pPr>
        <w:ind w:left="1701"/>
        <w:jc w:val="both"/>
        <w:rPr>
          <w:rFonts w:eastAsiaTheme="minorEastAsia"/>
          <w:lang w:val="en-US" w:eastAsia="zh-CN"/>
        </w:rPr>
      </w:pPr>
      <w:r>
        <w:rPr>
          <w:rFonts w:eastAsiaTheme="minorEastAsia"/>
          <w:lang w:val="en-US" w:eastAsia="zh-CN"/>
        </w:rPr>
        <w:tab/>
      </w:r>
      <w:r w:rsidRPr="009F5C2A">
        <w:rPr>
          <w:rFonts w:eastAsiaTheme="minorEastAsia"/>
          <w:lang w:val="en-US" w:eastAsia="zh-CN"/>
        </w:rPr>
        <w:t>Contains the explosion group of the substance.</w:t>
      </w:r>
    </w:p>
    <w:p w:rsidR="003E3387" w:rsidRPr="009F5C2A" w:rsidRDefault="003E3387" w:rsidP="00756AFF">
      <w:pPr>
        <w:ind w:left="1701" w:right="1133"/>
        <w:jc w:val="both"/>
        <w:rPr>
          <w:rFonts w:eastAsiaTheme="minorEastAsia"/>
          <w:lang w:val="en-US" w:eastAsia="zh-CN"/>
        </w:rPr>
      </w:pPr>
      <w:r>
        <w:rPr>
          <w:rFonts w:eastAsiaTheme="minorEastAsia"/>
          <w:lang w:val="en-US" w:eastAsia="zh-CN"/>
        </w:rPr>
        <w:tab/>
      </w:r>
      <w:r w:rsidRPr="009F5C2A">
        <w:rPr>
          <w:rFonts w:eastAsiaTheme="minorEastAsia"/>
          <w:lang w:val="en-US" w:eastAsia="zh-CN"/>
        </w:rPr>
        <w:t xml:space="preserve">Values between square brackets indicate the explosion group II B subgroups to be used in selecting the relevant self-contained protection systems </w:t>
      </w:r>
    </w:p>
    <w:p w:rsidR="003E3387" w:rsidRPr="009F5C2A" w:rsidRDefault="007C7DAD" w:rsidP="00756AFF">
      <w:pPr>
        <w:ind w:left="720" w:firstLine="981"/>
        <w:jc w:val="both"/>
      </w:pPr>
      <w:r>
        <w:rPr>
          <w:u w:val="single"/>
        </w:rPr>
        <w:t>(</w:t>
      </w:r>
      <w:r w:rsidR="003E3387" w:rsidRPr="009F5C2A">
        <w:rPr>
          <w:u w:val="single"/>
        </w:rPr>
        <w:t>flame arresters</w:t>
      </w:r>
      <w:r w:rsidR="003E3387" w:rsidRPr="009F5C2A">
        <w:t xml:space="preserve">, </w:t>
      </w:r>
    </w:p>
    <w:p w:rsidR="003E3387" w:rsidRPr="009F5C2A" w:rsidRDefault="003E3387" w:rsidP="00756AFF">
      <w:pPr>
        <w:ind w:left="720" w:firstLine="981"/>
        <w:jc w:val="both"/>
      </w:pPr>
      <w:r w:rsidRPr="009F5C2A">
        <w:t xml:space="preserve">vacuum relief valves, </w:t>
      </w:r>
    </w:p>
    <w:p w:rsidR="003E3387" w:rsidRPr="009F5C2A" w:rsidRDefault="003E3387" w:rsidP="00756AFF">
      <w:pPr>
        <w:ind w:left="720" w:firstLine="981"/>
        <w:jc w:val="both"/>
      </w:pPr>
      <w:r w:rsidRPr="009F5C2A">
        <w:t xml:space="preserve">pressure relief valves/high velocity vent valves </w:t>
      </w:r>
    </w:p>
    <w:p w:rsidR="003E3387" w:rsidRPr="009F5C2A" w:rsidRDefault="003E3387" w:rsidP="00756AFF">
      <w:pPr>
        <w:ind w:left="720" w:right="1133" w:firstLine="981"/>
        <w:jc w:val="both"/>
        <w:rPr>
          <w:rFonts w:eastAsiaTheme="minorEastAsia"/>
          <w:lang w:val="en-US" w:eastAsia="zh-CN"/>
        </w:rPr>
      </w:pPr>
      <w:r w:rsidRPr="009F5C2A">
        <w:t xml:space="preserve">and devices for safe pressure relief of cargo tanks with integrated flame arrester </w:t>
      </w:r>
      <w:r w:rsidR="00756AFF">
        <w:t>plate</w:t>
      </w:r>
      <w:r w:rsidRPr="009F5C2A">
        <w:t xml:space="preserve"> </w:t>
      </w:r>
      <w:r w:rsidR="00756AFF">
        <w:tab/>
      </w:r>
      <w:r w:rsidR="00756AFF">
        <w:tab/>
      </w:r>
      <w:r w:rsidRPr="009F5C2A">
        <w:t>stack</w:t>
      </w:r>
      <w:r w:rsidRPr="009F5C2A">
        <w:rPr>
          <w:rFonts w:eastAsiaTheme="minorEastAsia"/>
          <w:lang w:val="en-US" w:eastAsia="zh-CN"/>
        </w:rPr>
        <w:t>).</w:t>
      </w:r>
    </w:p>
    <w:p w:rsidR="003E3387" w:rsidRPr="00622850" w:rsidRDefault="007C7DAD" w:rsidP="00756AFF">
      <w:pPr>
        <w:pStyle w:val="H23G"/>
        <w:jc w:val="both"/>
        <w:rPr>
          <w:lang w:val="en-GB"/>
        </w:rPr>
      </w:pPr>
      <w:r w:rsidRPr="007C7DAD">
        <w:rPr>
          <w:lang w:val="en-US"/>
        </w:rPr>
        <w:tab/>
      </w:r>
      <w:r w:rsidRPr="007C7DAD">
        <w:rPr>
          <w:lang w:val="en-US"/>
        </w:rPr>
        <w:tab/>
        <w:t>5.3.</w:t>
      </w:r>
      <w:r w:rsidRPr="007C7DAD">
        <w:rPr>
          <w:lang w:val="en-US"/>
        </w:rPr>
        <w:tab/>
      </w:r>
      <w:r w:rsidR="003E3387" w:rsidRPr="007C7DAD">
        <w:rPr>
          <w:b w:val="0"/>
          <w:bCs/>
          <w:u w:val="single"/>
          <w:lang w:val="en-US"/>
        </w:rPr>
        <w:t>In 1.2.1</w:t>
      </w:r>
      <w:r w:rsidR="003E3387" w:rsidRPr="007C7DAD">
        <w:rPr>
          <w:lang w:val="en-US"/>
        </w:rPr>
        <w:t xml:space="preserve"> </w:t>
      </w:r>
      <w:r w:rsidR="003E3387" w:rsidRPr="007C7DAD">
        <w:rPr>
          <w:b w:val="0"/>
          <w:bCs/>
          <w:lang w:val="en-US"/>
        </w:rPr>
        <w:t xml:space="preserve">the list of </w:t>
      </w:r>
      <w:r w:rsidR="003E3387" w:rsidRPr="00622850">
        <w:rPr>
          <w:b w:val="0"/>
          <w:bCs/>
          <w:lang w:val="en-GB"/>
        </w:rPr>
        <w:t xml:space="preserve">Self-contained protection systems is </w:t>
      </w:r>
      <w:r w:rsidR="003E3387" w:rsidRPr="00622850">
        <w:rPr>
          <w:b w:val="0"/>
          <w:bCs/>
          <w:u w:val="single"/>
          <w:lang w:val="en-GB"/>
        </w:rPr>
        <w:t>not exhaustive</w:t>
      </w:r>
      <w:r w:rsidR="003E3387" w:rsidRPr="00622850">
        <w:rPr>
          <w:b w:val="0"/>
          <w:bCs/>
          <w:lang w:val="en-GB"/>
        </w:rPr>
        <w:t xml:space="preserve"> (</w:t>
      </w:r>
      <w:r w:rsidRPr="00622850">
        <w:rPr>
          <w:b w:val="0"/>
          <w:bCs/>
          <w:color w:val="000000" w:themeColor="text1"/>
          <w:lang w:val="en-GB"/>
        </w:rPr>
        <w:t>"</w:t>
      </w:r>
      <w:r w:rsidR="003E3387" w:rsidRPr="00622850">
        <w:rPr>
          <w:b w:val="0"/>
          <w:bCs/>
          <w:lang w:val="en-GB"/>
        </w:rPr>
        <w:t xml:space="preserve">this </w:t>
      </w:r>
      <w:r w:rsidRPr="00622850">
        <w:rPr>
          <w:b w:val="0"/>
          <w:bCs/>
          <w:lang w:val="en-GB"/>
        </w:rPr>
        <w:tab/>
      </w:r>
      <w:r w:rsidR="003E3387" w:rsidRPr="00622850">
        <w:rPr>
          <w:b w:val="0"/>
          <w:bCs/>
          <w:lang w:val="en-GB"/>
        </w:rPr>
        <w:t>includes …</w:t>
      </w:r>
      <w:r w:rsidRPr="00622850">
        <w:rPr>
          <w:b w:val="0"/>
          <w:bCs/>
          <w:color w:val="000000" w:themeColor="text1"/>
          <w:lang w:val="en-GB"/>
        </w:rPr>
        <w:t>"</w:t>
      </w:r>
      <w:r w:rsidR="003E3387" w:rsidRPr="00622850">
        <w:rPr>
          <w:b w:val="0"/>
          <w:bCs/>
          <w:lang w:val="en-GB"/>
        </w:rPr>
        <w:t>);</w:t>
      </w:r>
      <w:r w:rsidR="003E3387" w:rsidRPr="00622850">
        <w:rPr>
          <w:lang w:val="en-GB"/>
        </w:rPr>
        <w:t xml:space="preserve"> </w:t>
      </w:r>
    </w:p>
    <w:p w:rsidR="006015AB" w:rsidRDefault="003E3387" w:rsidP="007C7DAD">
      <w:pPr>
        <w:spacing w:after="120"/>
        <w:ind w:left="1701"/>
        <w:rPr>
          <w:iCs/>
        </w:rPr>
      </w:pPr>
      <w:r w:rsidRPr="009F5C2A">
        <w:rPr>
          <w:iCs/>
        </w:rPr>
        <w:t xml:space="preserve">but </w:t>
      </w:r>
      <w:r w:rsidRPr="009F5C2A">
        <w:rPr>
          <w:iCs/>
          <w:u w:val="single"/>
        </w:rPr>
        <w:t>in 3.2.3.1</w:t>
      </w:r>
      <w:r w:rsidRPr="009F5C2A">
        <w:rPr>
          <w:iCs/>
        </w:rPr>
        <w:t xml:space="preserve">. it is a list </w:t>
      </w:r>
      <w:r w:rsidRPr="009F5C2A">
        <w:rPr>
          <w:iCs/>
          <w:u w:val="single"/>
        </w:rPr>
        <w:t>limited</w:t>
      </w:r>
      <w:r w:rsidRPr="009F5C2A">
        <w:rPr>
          <w:iCs/>
        </w:rPr>
        <w:t xml:space="preserve"> to five devices.</w:t>
      </w:r>
    </w:p>
    <w:p w:rsidR="007C7DAD" w:rsidRPr="009F5C2A" w:rsidRDefault="007C7DAD" w:rsidP="007C7DAD">
      <w:pPr>
        <w:pStyle w:val="SingleTxtG"/>
      </w:pPr>
      <w:r w:rsidRPr="00622850">
        <w:rPr>
          <w:lang w:val="en-GB"/>
        </w:rPr>
        <w:tab/>
      </w:r>
      <w:r w:rsidRPr="00622850">
        <w:rPr>
          <w:lang w:val="en-GB"/>
        </w:rPr>
        <w:tab/>
      </w:r>
      <w:r w:rsidRPr="009F5C2A">
        <w:t xml:space="preserve">It </w:t>
      </w:r>
      <w:proofErr w:type="spellStart"/>
      <w:r w:rsidRPr="009F5C2A">
        <w:t>would</w:t>
      </w:r>
      <w:proofErr w:type="spellEnd"/>
      <w:r w:rsidRPr="009F5C2A">
        <w:t xml:space="preserve"> </w:t>
      </w:r>
      <w:proofErr w:type="spellStart"/>
      <w:r w:rsidRPr="009F5C2A">
        <w:t>be</w:t>
      </w:r>
      <w:proofErr w:type="spellEnd"/>
      <w:r w:rsidRPr="009F5C2A">
        <w:t xml:space="preserve"> </w:t>
      </w:r>
      <w:proofErr w:type="spellStart"/>
      <w:proofErr w:type="gramStart"/>
      <w:r w:rsidRPr="009F5C2A">
        <w:t>better</w:t>
      </w:r>
      <w:proofErr w:type="spellEnd"/>
      <w:r w:rsidRPr="009F5C2A">
        <w:t>:</w:t>
      </w:r>
      <w:proofErr w:type="gramEnd"/>
    </w:p>
    <w:p w:rsidR="007C7DAD" w:rsidRPr="00622850" w:rsidRDefault="007C7DAD" w:rsidP="007C7DAD">
      <w:pPr>
        <w:pStyle w:val="Bullet1G"/>
        <w:rPr>
          <w:lang w:val="en-GB"/>
        </w:rPr>
      </w:pPr>
      <w:r w:rsidRPr="00622850">
        <w:rPr>
          <w:lang w:val="en-GB"/>
        </w:rPr>
        <w:t xml:space="preserve">To have an exhaustive list of all the devices mentioned in the text of the ADN Regulations that must be considered as Self-contained protection </w:t>
      </w:r>
      <w:proofErr w:type="gramStart"/>
      <w:r w:rsidRPr="00622850">
        <w:rPr>
          <w:lang w:val="en-GB"/>
        </w:rPr>
        <w:t>systems ;</w:t>
      </w:r>
      <w:proofErr w:type="gramEnd"/>
    </w:p>
    <w:p w:rsidR="007C7DAD" w:rsidRPr="00622850" w:rsidRDefault="007C7DAD" w:rsidP="007C7DAD">
      <w:pPr>
        <w:pStyle w:val="Bullet1G"/>
        <w:rPr>
          <w:lang w:val="en-GB"/>
        </w:rPr>
      </w:pPr>
      <w:r w:rsidRPr="00622850">
        <w:rPr>
          <w:lang w:val="en-GB"/>
        </w:rPr>
        <w:t>To have this list only in 1.2.1.</w:t>
      </w:r>
    </w:p>
    <w:p w:rsidR="007C7DAD" w:rsidRPr="00622850" w:rsidRDefault="007C7DAD" w:rsidP="007C7DAD">
      <w:pPr>
        <w:pStyle w:val="SingleTxtG"/>
        <w:ind w:left="1701" w:hanging="567"/>
        <w:rPr>
          <w:iCs/>
          <w:lang w:val="en-GB"/>
        </w:rPr>
      </w:pPr>
      <w:r w:rsidRPr="00622850">
        <w:rPr>
          <w:b/>
          <w:bCs/>
          <w:iCs/>
          <w:lang w:val="en-GB"/>
        </w:rPr>
        <w:t>5.4</w:t>
      </w:r>
      <w:r w:rsidR="007060D6" w:rsidRPr="00622850">
        <w:rPr>
          <w:b/>
          <w:bCs/>
          <w:iCs/>
          <w:lang w:val="en-GB"/>
        </w:rPr>
        <w:t>.</w:t>
      </w:r>
      <w:r w:rsidRPr="00622850">
        <w:rPr>
          <w:iCs/>
          <w:lang w:val="en-GB"/>
        </w:rPr>
        <w:tab/>
      </w:r>
      <w:r w:rsidRPr="00622850">
        <w:rPr>
          <w:lang w:val="en-GB"/>
        </w:rPr>
        <w:t xml:space="preserve">In 1.2.1 it is indicated </w:t>
      </w:r>
      <w:r w:rsidRPr="00622850">
        <w:rPr>
          <w:color w:val="000000" w:themeColor="text1"/>
          <w:lang w:val="en-GB"/>
        </w:rPr>
        <w:t>"</w:t>
      </w:r>
      <w:r w:rsidRPr="00622850">
        <w:rPr>
          <w:lang w:val="en-GB"/>
        </w:rPr>
        <w:t>deflagration safe vacuum valves</w:t>
      </w:r>
      <w:r w:rsidRPr="00622850">
        <w:rPr>
          <w:color w:val="000000" w:themeColor="text1"/>
          <w:lang w:val="en-GB"/>
        </w:rPr>
        <w:t>"</w:t>
      </w:r>
      <w:r w:rsidRPr="00622850">
        <w:rPr>
          <w:lang w:val="en-GB"/>
        </w:rPr>
        <w:t xml:space="preserve"> but in 3.2.3.1 it is indicated the </w:t>
      </w:r>
      <w:r w:rsidRPr="00622850">
        <w:rPr>
          <w:color w:val="000000" w:themeColor="text1"/>
          <w:lang w:val="en-GB"/>
        </w:rPr>
        <w:t>"</w:t>
      </w:r>
      <w:r w:rsidRPr="00622850">
        <w:rPr>
          <w:lang w:val="en-GB"/>
        </w:rPr>
        <w:t>vacuum relief valves</w:t>
      </w:r>
      <w:r w:rsidRPr="00622850">
        <w:rPr>
          <w:color w:val="000000" w:themeColor="text1"/>
          <w:lang w:val="en-GB"/>
        </w:rPr>
        <w:t>"</w:t>
      </w:r>
      <w:r w:rsidRPr="00622850">
        <w:rPr>
          <w:lang w:val="en-GB"/>
        </w:rPr>
        <w:t xml:space="preserve"> (we could assume that both </w:t>
      </w:r>
      <w:r w:rsidRPr="00622850">
        <w:rPr>
          <w:color w:val="000000" w:themeColor="text1"/>
          <w:lang w:val="en-GB"/>
        </w:rPr>
        <w:t>"</w:t>
      </w:r>
      <w:r w:rsidRPr="00622850">
        <w:rPr>
          <w:lang w:val="en-GB"/>
        </w:rPr>
        <w:t>deflagration</w:t>
      </w:r>
      <w:r w:rsidRPr="00622850">
        <w:rPr>
          <w:color w:val="000000" w:themeColor="text1"/>
          <w:lang w:val="en-GB"/>
        </w:rPr>
        <w:t>"</w:t>
      </w:r>
      <w:r w:rsidRPr="00622850">
        <w:rPr>
          <w:lang w:val="en-GB"/>
        </w:rPr>
        <w:t xml:space="preserve"> and </w:t>
      </w:r>
      <w:r w:rsidRPr="00622850">
        <w:rPr>
          <w:color w:val="000000" w:themeColor="text1"/>
          <w:lang w:val="en-GB"/>
        </w:rPr>
        <w:t>"</w:t>
      </w:r>
      <w:r w:rsidRPr="00622850">
        <w:rPr>
          <w:lang w:val="en-GB"/>
        </w:rPr>
        <w:t>detonation</w:t>
      </w:r>
      <w:r w:rsidRPr="00622850">
        <w:rPr>
          <w:color w:val="000000" w:themeColor="text1"/>
          <w:lang w:val="en-GB"/>
        </w:rPr>
        <w:t>"</w:t>
      </w:r>
      <w:r w:rsidRPr="00622850">
        <w:rPr>
          <w:lang w:val="en-GB"/>
        </w:rPr>
        <w:t xml:space="preserve"> are considered here).</w:t>
      </w:r>
    </w:p>
    <w:p w:rsidR="007C7DAD" w:rsidRPr="00622850" w:rsidRDefault="007C7DAD" w:rsidP="007C7DAD">
      <w:pPr>
        <w:pStyle w:val="SingleTxtG"/>
        <w:rPr>
          <w:iCs/>
          <w:lang w:val="en-GB"/>
        </w:rPr>
      </w:pPr>
      <w:r w:rsidRPr="00622850">
        <w:rPr>
          <w:iCs/>
          <w:lang w:val="en-GB"/>
        </w:rPr>
        <w:tab/>
      </w:r>
      <w:r w:rsidRPr="00622850">
        <w:rPr>
          <w:iCs/>
          <w:lang w:val="en-GB"/>
        </w:rPr>
        <w:tab/>
        <w:t>In 1.2.1</w:t>
      </w:r>
      <w:r w:rsidRPr="00622850">
        <w:rPr>
          <w:color w:val="000000" w:themeColor="text1"/>
          <w:lang w:val="en-GB"/>
        </w:rPr>
        <w:t>"</w:t>
      </w:r>
      <w:r w:rsidRPr="00622850">
        <w:rPr>
          <w:iCs/>
          <w:lang w:val="en-GB"/>
        </w:rPr>
        <w:t>the pressure relief valves</w:t>
      </w:r>
      <w:r w:rsidRPr="00622850">
        <w:rPr>
          <w:color w:val="000000" w:themeColor="text1"/>
          <w:lang w:val="en-GB"/>
        </w:rPr>
        <w:t>"</w:t>
      </w:r>
      <w:r w:rsidRPr="00622850">
        <w:rPr>
          <w:iCs/>
          <w:lang w:val="en-GB"/>
        </w:rPr>
        <w:t xml:space="preserve"> are not included.</w:t>
      </w:r>
    </w:p>
    <w:p w:rsidR="007C7DAD" w:rsidRPr="00622850" w:rsidRDefault="007C7DAD" w:rsidP="003248C0">
      <w:pPr>
        <w:pStyle w:val="SingleTxtG"/>
        <w:ind w:left="1560"/>
        <w:rPr>
          <w:lang w:val="en-GB"/>
        </w:rPr>
      </w:pPr>
      <w:r w:rsidRPr="00622850">
        <w:rPr>
          <w:iCs/>
          <w:lang w:val="en-GB"/>
        </w:rPr>
        <w:tab/>
        <w:t xml:space="preserve">In 3.2.3.1 we would read </w:t>
      </w:r>
      <w:r w:rsidRPr="00622850">
        <w:rPr>
          <w:color w:val="000000" w:themeColor="text1"/>
          <w:lang w:val="en-GB"/>
        </w:rPr>
        <w:t>"</w:t>
      </w:r>
      <w:r w:rsidRPr="00622850">
        <w:rPr>
          <w:lang w:val="en-GB"/>
        </w:rPr>
        <w:t>devices for the safe depressurization of cargo tanks …</w:t>
      </w:r>
      <w:r w:rsidRPr="00622850">
        <w:rPr>
          <w:color w:val="000000" w:themeColor="text1"/>
          <w:lang w:val="en-GB"/>
        </w:rPr>
        <w:t>"</w:t>
      </w:r>
      <w:r w:rsidRPr="00622850">
        <w:rPr>
          <w:lang w:val="en-GB"/>
        </w:rPr>
        <w:tab/>
      </w:r>
      <w:r w:rsidRPr="00622850">
        <w:rPr>
          <w:iCs/>
          <w:lang w:val="en-GB"/>
        </w:rPr>
        <w:t xml:space="preserve">instead of </w:t>
      </w:r>
      <w:r w:rsidRPr="00622850">
        <w:rPr>
          <w:color w:val="000000" w:themeColor="text1"/>
          <w:lang w:val="en-GB"/>
        </w:rPr>
        <w:t>"</w:t>
      </w:r>
      <w:r w:rsidRPr="00622850">
        <w:rPr>
          <w:lang w:val="en-GB"/>
        </w:rPr>
        <w:t>devices for safe pressure relief of cargo tanks …</w:t>
      </w:r>
      <w:r w:rsidRPr="00622850">
        <w:rPr>
          <w:color w:val="000000" w:themeColor="text1"/>
          <w:lang w:val="en-GB"/>
        </w:rPr>
        <w:t>"</w:t>
      </w:r>
      <w:r w:rsidRPr="00622850">
        <w:rPr>
          <w:lang w:val="en-GB"/>
        </w:rPr>
        <w:t>.</w:t>
      </w:r>
    </w:p>
    <w:p w:rsidR="003248C0" w:rsidRPr="003248C0" w:rsidRDefault="003248C0" w:rsidP="003248C0">
      <w:pPr>
        <w:spacing w:before="240"/>
        <w:jc w:val="center"/>
        <w:rPr>
          <w:u w:val="single"/>
        </w:rPr>
      </w:pPr>
      <w:r>
        <w:rPr>
          <w:u w:val="single"/>
        </w:rPr>
        <w:tab/>
      </w:r>
      <w:r>
        <w:rPr>
          <w:u w:val="single"/>
        </w:rPr>
        <w:tab/>
      </w:r>
      <w:r>
        <w:rPr>
          <w:u w:val="single"/>
        </w:rPr>
        <w:tab/>
      </w:r>
    </w:p>
    <w:sectPr w:rsidR="003248C0" w:rsidRPr="003248C0" w:rsidSect="006015AB">
      <w:headerReference w:type="even" r:id="rId8"/>
      <w:headerReference w:type="default" r:id="rId9"/>
      <w:footerReference w:type="even" r:id="rId10"/>
      <w:footerReference w:type="default" r:id="rId1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620" w:rsidRDefault="00964620" w:rsidP="00F95C08">
      <w:pPr>
        <w:spacing w:line="240" w:lineRule="auto"/>
      </w:pPr>
    </w:p>
  </w:endnote>
  <w:endnote w:type="continuationSeparator" w:id="0">
    <w:p w:rsidR="00964620" w:rsidRPr="00AC3823" w:rsidRDefault="00964620" w:rsidP="00AC3823">
      <w:pPr>
        <w:pStyle w:val="Footer"/>
      </w:pPr>
    </w:p>
  </w:endnote>
  <w:endnote w:type="continuationNotice" w:id="1">
    <w:p w:rsidR="00964620" w:rsidRDefault="009646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91328"/>
      <w:docPartObj>
        <w:docPartGallery w:val="Page Numbers (Bottom of Page)"/>
        <w:docPartUnique/>
      </w:docPartObj>
    </w:sdtPr>
    <w:sdtEndPr>
      <w:rPr>
        <w:noProof/>
      </w:rPr>
    </w:sdtEndPr>
    <w:sdtContent>
      <w:p w:rsidR="007464E1" w:rsidRDefault="007464E1">
        <w:pPr>
          <w:pStyle w:val="Footer"/>
        </w:pPr>
        <w:r w:rsidRPr="007464E1">
          <w:rPr>
            <w:b/>
            <w:bCs/>
          </w:rPr>
          <w:fldChar w:fldCharType="begin"/>
        </w:r>
        <w:r w:rsidRPr="007464E1">
          <w:rPr>
            <w:b/>
            <w:bCs/>
          </w:rPr>
          <w:instrText xml:space="preserve"> PAGE   \* MERGEFORMAT </w:instrText>
        </w:r>
        <w:r w:rsidRPr="007464E1">
          <w:rPr>
            <w:b/>
            <w:bCs/>
          </w:rPr>
          <w:fldChar w:fldCharType="separate"/>
        </w:r>
        <w:r w:rsidRPr="007464E1">
          <w:rPr>
            <w:b/>
            <w:bCs/>
            <w:noProof/>
          </w:rPr>
          <w:t>2</w:t>
        </w:r>
        <w:r w:rsidRPr="007464E1">
          <w:rPr>
            <w:b/>
            <w:bCs/>
            <w:noProof/>
          </w:rPr>
          <w:fldChar w:fldCharType="end"/>
        </w:r>
      </w:p>
    </w:sdtContent>
  </w:sdt>
  <w:p w:rsidR="007464E1" w:rsidRDefault="00746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357457"/>
      <w:docPartObj>
        <w:docPartGallery w:val="Page Numbers (Bottom of Page)"/>
        <w:docPartUnique/>
      </w:docPartObj>
    </w:sdtPr>
    <w:sdtEndPr>
      <w:rPr>
        <w:b/>
        <w:bCs/>
        <w:noProof/>
      </w:rPr>
    </w:sdtEndPr>
    <w:sdtContent>
      <w:p w:rsidR="007464E1" w:rsidRPr="007464E1" w:rsidRDefault="007464E1">
        <w:pPr>
          <w:pStyle w:val="Footer"/>
          <w:jc w:val="right"/>
          <w:rPr>
            <w:b/>
            <w:bCs/>
          </w:rPr>
        </w:pPr>
        <w:r w:rsidRPr="007464E1">
          <w:rPr>
            <w:b/>
            <w:bCs/>
          </w:rPr>
          <w:fldChar w:fldCharType="begin"/>
        </w:r>
        <w:r w:rsidRPr="007464E1">
          <w:rPr>
            <w:b/>
            <w:bCs/>
          </w:rPr>
          <w:instrText xml:space="preserve"> PAGE   \* MERGEFORMAT </w:instrText>
        </w:r>
        <w:r w:rsidRPr="007464E1">
          <w:rPr>
            <w:b/>
            <w:bCs/>
          </w:rPr>
          <w:fldChar w:fldCharType="separate"/>
        </w:r>
        <w:r w:rsidRPr="007464E1">
          <w:rPr>
            <w:b/>
            <w:bCs/>
            <w:noProof/>
          </w:rPr>
          <w:t>2</w:t>
        </w:r>
        <w:r w:rsidRPr="007464E1">
          <w:rPr>
            <w:b/>
            <w:bCs/>
            <w:noProof/>
          </w:rPr>
          <w:fldChar w:fldCharType="end"/>
        </w:r>
      </w:p>
    </w:sdtContent>
  </w:sdt>
  <w:p w:rsidR="007464E1" w:rsidRDefault="007464E1" w:rsidP="007464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620" w:rsidRPr="00AC3823" w:rsidRDefault="00964620" w:rsidP="00AC3823">
      <w:pPr>
        <w:pStyle w:val="Footer"/>
        <w:tabs>
          <w:tab w:val="right" w:pos="2155"/>
        </w:tabs>
        <w:spacing w:after="80" w:line="240" w:lineRule="atLeast"/>
        <w:ind w:left="680"/>
        <w:rPr>
          <w:u w:val="single"/>
        </w:rPr>
      </w:pPr>
      <w:r>
        <w:rPr>
          <w:u w:val="single"/>
        </w:rPr>
        <w:tab/>
      </w:r>
    </w:p>
  </w:footnote>
  <w:footnote w:type="continuationSeparator" w:id="0">
    <w:p w:rsidR="00964620" w:rsidRPr="00AC3823" w:rsidRDefault="00964620" w:rsidP="00AC3823">
      <w:pPr>
        <w:pStyle w:val="Footer"/>
        <w:tabs>
          <w:tab w:val="right" w:pos="2155"/>
        </w:tabs>
        <w:spacing w:after="80" w:line="240" w:lineRule="atLeast"/>
        <w:ind w:left="680"/>
        <w:rPr>
          <w:u w:val="single"/>
        </w:rPr>
      </w:pPr>
      <w:r>
        <w:rPr>
          <w:u w:val="single"/>
        </w:rPr>
        <w:tab/>
      </w:r>
    </w:p>
  </w:footnote>
  <w:footnote w:type="continuationNotice" w:id="1">
    <w:p w:rsidR="00964620" w:rsidRPr="00AC3823" w:rsidRDefault="0096462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AB" w:rsidRDefault="006015AB">
    <w:pPr>
      <w:pStyle w:val="Header"/>
    </w:pPr>
    <w:r>
      <w:t>INF.22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AB" w:rsidRDefault="006015AB" w:rsidP="006015AB">
    <w:pPr>
      <w:pStyle w:val="Header"/>
      <w:jc w:val="right"/>
    </w:pPr>
    <w:r>
      <w:t>INF.22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67E0187"/>
    <w:multiLevelType w:val="multilevel"/>
    <w:tmpl w:val="8482E44E"/>
    <w:lvl w:ilvl="0">
      <w:start w:val="5"/>
      <w:numFmt w:val="decimal"/>
      <w:lvlText w:val="%1"/>
      <w:lvlJc w:val="left"/>
      <w:pPr>
        <w:ind w:left="360" w:hanging="360"/>
      </w:pPr>
      <w:rPr>
        <w:rFonts w:eastAsiaTheme="minorEastAsia" w:hint="default"/>
        <w:b/>
      </w:rPr>
    </w:lvl>
    <w:lvl w:ilvl="1">
      <w:start w:val="1"/>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720" w:hanging="720"/>
      </w:pPr>
      <w:rPr>
        <w:rFonts w:eastAsiaTheme="minorEastAsia" w:hint="default"/>
        <w:b/>
      </w:rPr>
    </w:lvl>
    <w:lvl w:ilvl="4">
      <w:start w:val="1"/>
      <w:numFmt w:val="decimal"/>
      <w:lvlText w:val="%1.%2.%3.%4.%5"/>
      <w:lvlJc w:val="left"/>
      <w:pPr>
        <w:ind w:left="720" w:hanging="720"/>
      </w:pPr>
      <w:rPr>
        <w:rFonts w:eastAsiaTheme="minorEastAsia" w:hint="default"/>
        <w:b/>
      </w:rPr>
    </w:lvl>
    <w:lvl w:ilvl="5">
      <w:start w:val="1"/>
      <w:numFmt w:val="decimal"/>
      <w:lvlText w:val="%1.%2.%3.%4.%5.%6"/>
      <w:lvlJc w:val="left"/>
      <w:pPr>
        <w:ind w:left="1080" w:hanging="1080"/>
      </w:pPr>
      <w:rPr>
        <w:rFonts w:eastAsiaTheme="minorEastAsia" w:hint="default"/>
        <w:b/>
      </w:rPr>
    </w:lvl>
    <w:lvl w:ilvl="6">
      <w:start w:val="1"/>
      <w:numFmt w:val="decimal"/>
      <w:lvlText w:val="%1.%2.%3.%4.%5.%6.%7"/>
      <w:lvlJc w:val="left"/>
      <w:pPr>
        <w:ind w:left="1080" w:hanging="1080"/>
      </w:pPr>
      <w:rPr>
        <w:rFonts w:eastAsiaTheme="minorEastAsia" w:hint="default"/>
        <w:b/>
      </w:rPr>
    </w:lvl>
    <w:lvl w:ilvl="7">
      <w:start w:val="1"/>
      <w:numFmt w:val="decimal"/>
      <w:lvlText w:val="%1.%2.%3.%4.%5.%6.%7.%8"/>
      <w:lvlJc w:val="left"/>
      <w:pPr>
        <w:ind w:left="1440" w:hanging="1440"/>
      </w:pPr>
      <w:rPr>
        <w:rFonts w:eastAsiaTheme="minorEastAsia" w:hint="default"/>
        <w:b/>
      </w:rPr>
    </w:lvl>
    <w:lvl w:ilvl="8">
      <w:start w:val="1"/>
      <w:numFmt w:val="decimal"/>
      <w:lvlText w:val="%1.%2.%3.%4.%5.%6.%7.%8.%9"/>
      <w:lvlJc w:val="left"/>
      <w:pPr>
        <w:ind w:left="1440" w:hanging="1440"/>
      </w:pPr>
      <w:rPr>
        <w:rFonts w:eastAsiaTheme="minorEastAsia" w:hint="default"/>
        <w:b/>
      </w:rPr>
    </w:lvl>
  </w:abstractNum>
  <w:abstractNum w:abstractNumId="13" w15:restartNumberingAfterBreak="0">
    <w:nsid w:val="4D284456"/>
    <w:multiLevelType w:val="hybridMultilevel"/>
    <w:tmpl w:val="0492B08A"/>
    <w:lvl w:ilvl="0" w:tplc="C03691BA">
      <w:start w:val="4"/>
      <w:numFmt w:val="bullet"/>
      <w:lvlText w:val="-"/>
      <w:lvlJc w:val="left"/>
      <w:pPr>
        <w:ind w:left="1800" w:hanging="360"/>
      </w:pPr>
      <w:rPr>
        <w:rFonts w:ascii="Times New Roman" w:eastAsiaTheme="minorEastAsia"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09C15CC"/>
    <w:multiLevelType w:val="multilevel"/>
    <w:tmpl w:val="BEE039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eastAsia="Times New Roman" w:hAnsi="Times New Roman" w:cs="Times New Roman" w:hint="default"/>
        <w:color w:val="000000" w:themeColor="text1"/>
        <w:sz w:val="20"/>
      </w:rPr>
    </w:lvl>
    <w:lvl w:ilvl="2">
      <w:start w:val="1"/>
      <w:numFmt w:val="decimal"/>
      <w:isLgl/>
      <w:lvlText w:val="%1.%2.%3."/>
      <w:lvlJc w:val="left"/>
      <w:pPr>
        <w:ind w:left="720" w:hanging="720"/>
      </w:pPr>
      <w:rPr>
        <w:rFonts w:ascii="Times New Roman" w:eastAsia="Times New Roman" w:hAnsi="Times New Roman" w:cs="Times New Roman" w:hint="default"/>
        <w:color w:val="000000" w:themeColor="text1"/>
        <w:sz w:val="20"/>
      </w:rPr>
    </w:lvl>
    <w:lvl w:ilvl="3">
      <w:start w:val="1"/>
      <w:numFmt w:val="decimal"/>
      <w:isLgl/>
      <w:lvlText w:val="%1.%2.%3.%4."/>
      <w:lvlJc w:val="left"/>
      <w:pPr>
        <w:ind w:left="720" w:hanging="720"/>
      </w:pPr>
      <w:rPr>
        <w:rFonts w:ascii="Times New Roman" w:eastAsia="Times New Roman" w:hAnsi="Times New Roman" w:cs="Times New Roman" w:hint="default"/>
        <w:color w:val="000000" w:themeColor="text1"/>
        <w:sz w:val="20"/>
      </w:rPr>
    </w:lvl>
    <w:lvl w:ilvl="4">
      <w:start w:val="1"/>
      <w:numFmt w:val="decimal"/>
      <w:isLgl/>
      <w:lvlText w:val="%1.%2.%3.%4.%5."/>
      <w:lvlJc w:val="left"/>
      <w:pPr>
        <w:ind w:left="1080" w:hanging="1080"/>
      </w:pPr>
      <w:rPr>
        <w:rFonts w:ascii="Times New Roman" w:eastAsia="Times New Roman" w:hAnsi="Times New Roman" w:cs="Times New Roman" w:hint="default"/>
        <w:color w:val="000000" w:themeColor="text1"/>
        <w:sz w:val="20"/>
      </w:rPr>
    </w:lvl>
    <w:lvl w:ilvl="5">
      <w:start w:val="1"/>
      <w:numFmt w:val="decimal"/>
      <w:isLgl/>
      <w:lvlText w:val="%1.%2.%3.%4.%5.%6."/>
      <w:lvlJc w:val="left"/>
      <w:pPr>
        <w:ind w:left="1080" w:hanging="1080"/>
      </w:pPr>
      <w:rPr>
        <w:rFonts w:ascii="Times New Roman" w:eastAsia="Times New Roman" w:hAnsi="Times New Roman" w:cs="Times New Roman" w:hint="default"/>
        <w:color w:val="000000" w:themeColor="text1"/>
        <w:sz w:val="20"/>
      </w:rPr>
    </w:lvl>
    <w:lvl w:ilvl="6">
      <w:start w:val="1"/>
      <w:numFmt w:val="decimal"/>
      <w:isLgl/>
      <w:lvlText w:val="%1.%2.%3.%4.%5.%6.%7."/>
      <w:lvlJc w:val="left"/>
      <w:pPr>
        <w:ind w:left="1440" w:hanging="1440"/>
      </w:pPr>
      <w:rPr>
        <w:rFonts w:ascii="Times New Roman" w:eastAsia="Times New Roman" w:hAnsi="Times New Roman" w:cs="Times New Roman" w:hint="default"/>
        <w:color w:val="000000" w:themeColor="text1"/>
        <w:sz w:val="20"/>
      </w:rPr>
    </w:lvl>
    <w:lvl w:ilvl="7">
      <w:start w:val="1"/>
      <w:numFmt w:val="decimal"/>
      <w:isLgl/>
      <w:lvlText w:val="%1.%2.%3.%4.%5.%6.%7.%8."/>
      <w:lvlJc w:val="left"/>
      <w:pPr>
        <w:ind w:left="1440" w:hanging="1440"/>
      </w:pPr>
      <w:rPr>
        <w:rFonts w:ascii="Times New Roman" w:eastAsia="Times New Roman" w:hAnsi="Times New Roman" w:cs="Times New Roman" w:hint="default"/>
        <w:color w:val="000000" w:themeColor="text1"/>
        <w:sz w:val="20"/>
      </w:rPr>
    </w:lvl>
    <w:lvl w:ilvl="8">
      <w:start w:val="1"/>
      <w:numFmt w:val="decimal"/>
      <w:isLgl/>
      <w:lvlText w:val="%1.%2.%3.%4.%5.%6.%7.%8.%9."/>
      <w:lvlJc w:val="left"/>
      <w:pPr>
        <w:ind w:left="1800" w:hanging="1800"/>
      </w:pPr>
      <w:rPr>
        <w:rFonts w:ascii="Times New Roman" w:eastAsia="Times New Roman" w:hAnsi="Times New Roman" w:cs="Times New Roman" w:hint="default"/>
        <w:color w:val="000000" w:themeColor="text1"/>
        <w:sz w:val="20"/>
      </w:r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20"/>
    <w:rsid w:val="000012A9"/>
    <w:rsid w:val="00017F94"/>
    <w:rsid w:val="00023842"/>
    <w:rsid w:val="000334F9"/>
    <w:rsid w:val="0007796D"/>
    <w:rsid w:val="000B7790"/>
    <w:rsid w:val="000C390E"/>
    <w:rsid w:val="00103267"/>
    <w:rsid w:val="00111F2F"/>
    <w:rsid w:val="0014365E"/>
    <w:rsid w:val="0014660A"/>
    <w:rsid w:val="00150DB2"/>
    <w:rsid w:val="00176178"/>
    <w:rsid w:val="001F525A"/>
    <w:rsid w:val="002005B8"/>
    <w:rsid w:val="00223272"/>
    <w:rsid w:val="0024779E"/>
    <w:rsid w:val="00257872"/>
    <w:rsid w:val="00291F1D"/>
    <w:rsid w:val="0029407C"/>
    <w:rsid w:val="002C502B"/>
    <w:rsid w:val="002D71CA"/>
    <w:rsid w:val="003248C0"/>
    <w:rsid w:val="00350987"/>
    <w:rsid w:val="00353ED5"/>
    <w:rsid w:val="00382A1F"/>
    <w:rsid w:val="00390178"/>
    <w:rsid w:val="003B5338"/>
    <w:rsid w:val="003D1AD0"/>
    <w:rsid w:val="003E3387"/>
    <w:rsid w:val="00446FE5"/>
    <w:rsid w:val="00452396"/>
    <w:rsid w:val="004D1CEB"/>
    <w:rsid w:val="004E57EF"/>
    <w:rsid w:val="005505B7"/>
    <w:rsid w:val="00573BE5"/>
    <w:rsid w:val="00584C1B"/>
    <w:rsid w:val="00586ED3"/>
    <w:rsid w:val="00596AA9"/>
    <w:rsid w:val="006015AB"/>
    <w:rsid w:val="006122C4"/>
    <w:rsid w:val="00622850"/>
    <w:rsid w:val="006427FC"/>
    <w:rsid w:val="006E2C9B"/>
    <w:rsid w:val="007060D6"/>
    <w:rsid w:val="0071601D"/>
    <w:rsid w:val="007464E1"/>
    <w:rsid w:val="00756AFF"/>
    <w:rsid w:val="0076624F"/>
    <w:rsid w:val="00766CEC"/>
    <w:rsid w:val="0079527C"/>
    <w:rsid w:val="007A62E6"/>
    <w:rsid w:val="007C7DAD"/>
    <w:rsid w:val="007D0A06"/>
    <w:rsid w:val="0080684C"/>
    <w:rsid w:val="00815502"/>
    <w:rsid w:val="00871C75"/>
    <w:rsid w:val="008776DC"/>
    <w:rsid w:val="008F2A1D"/>
    <w:rsid w:val="0093050C"/>
    <w:rsid w:val="00957790"/>
    <w:rsid w:val="00964620"/>
    <w:rsid w:val="009705C8"/>
    <w:rsid w:val="00A12AB5"/>
    <w:rsid w:val="00AC3823"/>
    <w:rsid w:val="00AD0108"/>
    <w:rsid w:val="00AD3959"/>
    <w:rsid w:val="00AE323C"/>
    <w:rsid w:val="00AE7D9F"/>
    <w:rsid w:val="00B00181"/>
    <w:rsid w:val="00B43C66"/>
    <w:rsid w:val="00B765F7"/>
    <w:rsid w:val="00BA0CA9"/>
    <w:rsid w:val="00BB3E59"/>
    <w:rsid w:val="00BE1F4C"/>
    <w:rsid w:val="00BE4745"/>
    <w:rsid w:val="00BF3C2C"/>
    <w:rsid w:val="00C02897"/>
    <w:rsid w:val="00C94FD2"/>
    <w:rsid w:val="00CF3AE1"/>
    <w:rsid w:val="00D3439C"/>
    <w:rsid w:val="00D40AEB"/>
    <w:rsid w:val="00DA22F4"/>
    <w:rsid w:val="00DB1831"/>
    <w:rsid w:val="00DD3BFD"/>
    <w:rsid w:val="00DF6678"/>
    <w:rsid w:val="00E22CF2"/>
    <w:rsid w:val="00E33F14"/>
    <w:rsid w:val="00E52D9F"/>
    <w:rsid w:val="00EC33F3"/>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3131BFC1"/>
  <w15:chartTrackingRefBased/>
  <w15:docId w15:val="{FBB3D210-150C-4409-818E-CE11FAC8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620"/>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kinsoku w:val="0"/>
      <w:overflowPunct w:val="0"/>
      <w:autoSpaceDE w:val="0"/>
      <w:autoSpaceDN w:val="0"/>
      <w:adjustRightInd w:val="0"/>
      <w:snapToGrid w:val="0"/>
      <w:outlineLvl w:val="1"/>
    </w:pPr>
    <w:rPr>
      <w:rFonts w:eastAsiaTheme="minorEastAsia"/>
      <w:lang w:val="fr-CH" w:eastAsia="zh-CN"/>
    </w:rPr>
  </w:style>
  <w:style w:type="paragraph" w:styleId="Heading3">
    <w:name w:val="heading 3"/>
    <w:basedOn w:val="Normal"/>
    <w:next w:val="Normal"/>
    <w:link w:val="Heading3Char"/>
    <w:semiHidden/>
    <w:qFormat/>
    <w:rsid w:val="00023842"/>
    <w:pPr>
      <w:kinsoku w:val="0"/>
      <w:overflowPunct w:val="0"/>
      <w:autoSpaceDE w:val="0"/>
      <w:autoSpaceDN w:val="0"/>
      <w:adjustRightInd w:val="0"/>
      <w:snapToGrid w:val="0"/>
      <w:outlineLvl w:val="2"/>
    </w:pPr>
    <w:rPr>
      <w:rFonts w:eastAsiaTheme="minorEastAsia"/>
      <w:lang w:val="fr-CH" w:eastAsia="zh-CN"/>
    </w:rPr>
  </w:style>
  <w:style w:type="paragraph" w:styleId="Heading4">
    <w:name w:val="heading 4"/>
    <w:basedOn w:val="Normal"/>
    <w:next w:val="Normal"/>
    <w:link w:val="Heading4Char"/>
    <w:semiHidden/>
    <w:qFormat/>
    <w:rsid w:val="00023842"/>
    <w:pPr>
      <w:kinsoku w:val="0"/>
      <w:overflowPunct w:val="0"/>
      <w:autoSpaceDE w:val="0"/>
      <w:autoSpaceDN w:val="0"/>
      <w:adjustRightInd w:val="0"/>
      <w:snapToGrid w:val="0"/>
      <w:outlineLvl w:val="3"/>
    </w:pPr>
    <w:rPr>
      <w:rFonts w:eastAsiaTheme="minorEastAsia"/>
      <w:lang w:val="fr-CH" w:eastAsia="zh-CN"/>
    </w:rPr>
  </w:style>
  <w:style w:type="paragraph" w:styleId="Heading5">
    <w:name w:val="heading 5"/>
    <w:basedOn w:val="Normal"/>
    <w:next w:val="Normal"/>
    <w:link w:val="Heading5Char"/>
    <w:semiHidden/>
    <w:qFormat/>
    <w:rsid w:val="00023842"/>
    <w:pPr>
      <w:kinsoku w:val="0"/>
      <w:overflowPunct w:val="0"/>
      <w:autoSpaceDE w:val="0"/>
      <w:autoSpaceDN w:val="0"/>
      <w:adjustRightInd w:val="0"/>
      <w:snapToGrid w:val="0"/>
      <w:outlineLvl w:val="4"/>
    </w:pPr>
    <w:rPr>
      <w:rFonts w:eastAsiaTheme="minorEastAsia"/>
      <w:lang w:val="fr-CH" w:eastAsia="zh-CN"/>
    </w:rPr>
  </w:style>
  <w:style w:type="paragraph" w:styleId="Heading6">
    <w:name w:val="heading 6"/>
    <w:basedOn w:val="Normal"/>
    <w:next w:val="Normal"/>
    <w:link w:val="Heading6Char"/>
    <w:qFormat/>
    <w:rsid w:val="00023842"/>
    <w:pPr>
      <w:kinsoku w:val="0"/>
      <w:overflowPunct w:val="0"/>
      <w:autoSpaceDE w:val="0"/>
      <w:autoSpaceDN w:val="0"/>
      <w:adjustRightInd w:val="0"/>
      <w:snapToGrid w:val="0"/>
      <w:outlineLvl w:val="5"/>
    </w:pPr>
    <w:rPr>
      <w:rFonts w:eastAsiaTheme="minorEastAsia"/>
      <w:lang w:val="fr-CH" w:eastAsia="zh-CN"/>
    </w:rPr>
  </w:style>
  <w:style w:type="paragraph" w:styleId="Heading7">
    <w:name w:val="heading 7"/>
    <w:basedOn w:val="Normal"/>
    <w:next w:val="Normal"/>
    <w:link w:val="Heading7Char"/>
    <w:semiHidden/>
    <w:qFormat/>
    <w:rsid w:val="00023842"/>
    <w:pPr>
      <w:kinsoku w:val="0"/>
      <w:overflowPunct w:val="0"/>
      <w:autoSpaceDE w:val="0"/>
      <w:autoSpaceDN w:val="0"/>
      <w:adjustRightInd w:val="0"/>
      <w:snapToGrid w:val="0"/>
      <w:outlineLvl w:val="6"/>
    </w:pPr>
    <w:rPr>
      <w:rFonts w:eastAsiaTheme="minorEastAsia"/>
      <w:lang w:val="fr-CH" w:eastAsia="zh-CN"/>
    </w:rPr>
  </w:style>
  <w:style w:type="paragraph" w:styleId="Heading8">
    <w:name w:val="heading 8"/>
    <w:basedOn w:val="Normal"/>
    <w:next w:val="Normal"/>
    <w:link w:val="Heading8Char"/>
    <w:semiHidden/>
    <w:qFormat/>
    <w:rsid w:val="00023842"/>
    <w:pPr>
      <w:kinsoku w:val="0"/>
      <w:overflowPunct w:val="0"/>
      <w:autoSpaceDE w:val="0"/>
      <w:autoSpaceDN w:val="0"/>
      <w:adjustRightInd w:val="0"/>
      <w:snapToGrid w:val="0"/>
      <w:outlineLvl w:val="7"/>
    </w:pPr>
    <w:rPr>
      <w:rFonts w:eastAsiaTheme="minorEastAsia"/>
      <w:lang w:val="fr-CH" w:eastAsia="zh-CN"/>
    </w:rPr>
  </w:style>
  <w:style w:type="paragraph" w:styleId="Heading9">
    <w:name w:val="heading 9"/>
    <w:basedOn w:val="Normal"/>
    <w:next w:val="Normal"/>
    <w:link w:val="Heading9Char"/>
    <w:semiHidden/>
    <w:qFormat/>
    <w:rsid w:val="00023842"/>
    <w:pPr>
      <w:kinsoku w:val="0"/>
      <w:overflowPunct w:val="0"/>
      <w:autoSpaceDE w:val="0"/>
      <w:autoSpaceDN w:val="0"/>
      <w:adjustRightInd w:val="0"/>
      <w:snapToGrid w:val="0"/>
      <w:outlineLvl w:val="8"/>
    </w:pPr>
    <w:rPr>
      <w:rFonts w:eastAsiaTheme="minorEastAsia"/>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lang w:val="fr-CH" w:eastAsia="zh-CN"/>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kinsoku w:val="0"/>
      <w:overflowPunct w:val="0"/>
      <w:autoSpaceDE w:val="0"/>
      <w:autoSpaceDN w:val="0"/>
      <w:adjustRightInd w:val="0"/>
      <w:snapToGrid w:val="0"/>
      <w:spacing w:line="240" w:lineRule="auto"/>
    </w:pPr>
    <w:rPr>
      <w:rFonts w:eastAsiaTheme="minorEastAsia"/>
      <w:sz w:val="16"/>
      <w:lang w:val="fr-CH" w:eastAsia="zh-CN"/>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EastAsia"/>
      <w:b/>
      <w:sz w:val="34"/>
      <w:lang w:val="fr-CH" w:eastAsia="zh-CN"/>
    </w:rPr>
  </w:style>
  <w:style w:type="paragraph" w:customStyle="1" w:styleId="HChG">
    <w:name w:val="_ H _Ch_G"/>
    <w:basedOn w:val="Normal"/>
    <w:next w:val="Normal"/>
    <w:qFormat/>
    <w:rsid w:val="0080684C"/>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EastAsia"/>
      <w:b/>
      <w:sz w:val="28"/>
      <w:lang w:val="fr-CH" w:eastAsia="zh-CN"/>
    </w:rPr>
  </w:style>
  <w:style w:type="paragraph" w:customStyle="1" w:styleId="H1G">
    <w:name w:val="_ H_1_G"/>
    <w:basedOn w:val="Normal"/>
    <w:next w:val="Normal"/>
    <w:qFormat/>
    <w:rsid w:val="0080684C"/>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EastAsia"/>
      <w:b/>
      <w:sz w:val="24"/>
      <w:lang w:val="fr-CH" w:eastAsia="zh-CN"/>
    </w:rPr>
  </w:style>
  <w:style w:type="paragraph" w:customStyle="1" w:styleId="H23G">
    <w:name w:val="_ H_2/3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b/>
      <w:lang w:val="fr-CH" w:eastAsia="zh-CN"/>
    </w:rPr>
  </w:style>
  <w:style w:type="paragraph" w:customStyle="1" w:styleId="H4G">
    <w:name w:val="_ H_4_G"/>
    <w:basedOn w:val="Normal"/>
    <w:next w:val="Normal"/>
    <w:qFormat/>
    <w:rsid w:val="0080684C"/>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i/>
      <w:lang w:val="fr-CH" w:eastAsia="zh-CN"/>
    </w:rPr>
  </w:style>
  <w:style w:type="paragraph" w:customStyle="1" w:styleId="H56G">
    <w:name w:val="_ H_5/6_G"/>
    <w:basedOn w:val="Normal"/>
    <w:next w:val="Normal"/>
    <w:qFormat/>
    <w:rsid w:val="00871C75"/>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EastAsia"/>
      <w:lang w:val="fr-CH" w:eastAsia="zh-CN"/>
    </w:rPr>
  </w:style>
  <w:style w:type="paragraph" w:customStyle="1" w:styleId="SingleTxtG">
    <w:name w:val="_ Single Txt_G"/>
    <w:basedOn w:val="Normal"/>
    <w:link w:val="SingleTxtGChar"/>
    <w:qFormat/>
    <w:rsid w:val="0080684C"/>
    <w:pPr>
      <w:kinsoku w:val="0"/>
      <w:overflowPunct w:val="0"/>
      <w:autoSpaceDE w:val="0"/>
      <w:autoSpaceDN w:val="0"/>
      <w:adjustRightInd w:val="0"/>
      <w:snapToGrid w:val="0"/>
      <w:spacing w:after="120"/>
      <w:ind w:left="1134" w:right="1134"/>
      <w:jc w:val="both"/>
    </w:pPr>
    <w:rPr>
      <w:rFonts w:eastAsiaTheme="minorEastAsia"/>
      <w:lang w:val="fr-CH" w:eastAsia="zh-CN"/>
    </w:rPr>
  </w:style>
  <w:style w:type="paragraph" w:customStyle="1" w:styleId="SLG">
    <w:name w:val="__S_L_G"/>
    <w:basedOn w:val="Normal"/>
    <w:next w:val="Normal"/>
    <w:rsid w:val="0080684C"/>
    <w:pPr>
      <w:keepNext/>
      <w:keepLines/>
      <w:kinsoku w:val="0"/>
      <w:overflowPunct w:val="0"/>
      <w:autoSpaceDE w:val="0"/>
      <w:autoSpaceDN w:val="0"/>
      <w:adjustRightInd w:val="0"/>
      <w:snapToGrid w:val="0"/>
      <w:spacing w:before="240" w:after="240" w:line="580" w:lineRule="exact"/>
      <w:ind w:left="1134" w:right="1134"/>
    </w:pPr>
    <w:rPr>
      <w:rFonts w:eastAsiaTheme="minorEastAsia"/>
      <w:b/>
      <w:sz w:val="56"/>
      <w:lang w:val="fr-CH" w:eastAsia="zh-CN"/>
    </w:rPr>
  </w:style>
  <w:style w:type="paragraph" w:customStyle="1" w:styleId="SMG">
    <w:name w:val="__S_M_G"/>
    <w:basedOn w:val="Normal"/>
    <w:next w:val="Normal"/>
    <w:rsid w:val="0080684C"/>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SSG">
    <w:name w:val="__S_S_G"/>
    <w:basedOn w:val="Normal"/>
    <w:next w:val="Normal"/>
    <w:rsid w:val="0080684C"/>
    <w:pPr>
      <w:keepNext/>
      <w:keepLines/>
      <w:kinsoku w:val="0"/>
      <w:overflowPunct w:val="0"/>
      <w:autoSpaceDE w:val="0"/>
      <w:autoSpaceDN w:val="0"/>
      <w:adjustRightInd w:val="0"/>
      <w:snapToGrid w:val="0"/>
      <w:spacing w:before="240" w:after="240" w:line="300" w:lineRule="exact"/>
      <w:ind w:left="1134" w:right="1134"/>
    </w:pPr>
    <w:rPr>
      <w:rFonts w:eastAsiaTheme="minorEastAsia"/>
      <w:b/>
      <w:sz w:val="28"/>
      <w:lang w:val="fr-CH" w:eastAsia="zh-CN"/>
    </w:rPr>
  </w:style>
  <w:style w:type="paragraph" w:customStyle="1" w:styleId="XLargeG">
    <w:name w:val="__XLarge_G"/>
    <w:basedOn w:val="Normal"/>
    <w:next w:val="Normal"/>
    <w:rsid w:val="00871C75"/>
    <w:pPr>
      <w:keepNext/>
      <w:keepLines/>
      <w:kinsoku w:val="0"/>
      <w:overflowPunct w:val="0"/>
      <w:autoSpaceDE w:val="0"/>
      <w:autoSpaceDN w:val="0"/>
      <w:adjustRightInd w:val="0"/>
      <w:snapToGrid w:val="0"/>
      <w:spacing w:before="240" w:after="240" w:line="420" w:lineRule="exact"/>
      <w:ind w:left="1134" w:right="1134"/>
    </w:pPr>
    <w:rPr>
      <w:rFonts w:eastAsiaTheme="minorEastAsia"/>
      <w:b/>
      <w:sz w:val="40"/>
      <w:lang w:val="fr-CH" w:eastAsia="zh-CN"/>
    </w:rPr>
  </w:style>
  <w:style w:type="paragraph" w:customStyle="1" w:styleId="Bullet1G">
    <w:name w:val="_Bullet 1_G"/>
    <w:basedOn w:val="Normal"/>
    <w:qFormat/>
    <w:rsid w:val="0080684C"/>
    <w:pPr>
      <w:numPr>
        <w:numId w:val="1"/>
      </w:numPr>
      <w:kinsoku w:val="0"/>
      <w:overflowPunct w:val="0"/>
      <w:autoSpaceDE w:val="0"/>
      <w:autoSpaceDN w:val="0"/>
      <w:adjustRightInd w:val="0"/>
      <w:snapToGrid w:val="0"/>
      <w:spacing w:after="120"/>
      <w:ind w:right="1134"/>
      <w:jc w:val="both"/>
    </w:pPr>
    <w:rPr>
      <w:rFonts w:eastAsiaTheme="minorEastAsia"/>
      <w:lang w:val="fr-CH" w:eastAsia="zh-CN"/>
    </w:rPr>
  </w:style>
  <w:style w:type="paragraph" w:customStyle="1" w:styleId="Bullet2G">
    <w:name w:val="_Bullet 2_G"/>
    <w:basedOn w:val="Normal"/>
    <w:qFormat/>
    <w:rsid w:val="0080684C"/>
    <w:pPr>
      <w:numPr>
        <w:numId w:val="2"/>
      </w:numPr>
      <w:kinsoku w:val="0"/>
      <w:overflowPunct w:val="0"/>
      <w:autoSpaceDE w:val="0"/>
      <w:autoSpaceDN w:val="0"/>
      <w:adjustRightInd w:val="0"/>
      <w:snapToGrid w:val="0"/>
      <w:spacing w:after="120"/>
      <w:ind w:right="1134"/>
      <w:jc w:val="both"/>
    </w:pPr>
    <w:rPr>
      <w:rFonts w:eastAsiaTheme="minorEastAsia"/>
      <w:lang w:val="fr-CH" w:eastAsia="zh-CN"/>
    </w:r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ListParagraph">
    <w:name w:val="List Paragraph"/>
    <w:basedOn w:val="Normal"/>
    <w:uiPriority w:val="34"/>
    <w:qFormat/>
    <w:rsid w:val="00584C1B"/>
    <w:pPr>
      <w:suppressAutoHyphens w:val="0"/>
      <w:spacing w:after="200" w:line="276" w:lineRule="auto"/>
      <w:ind w:left="720"/>
      <w:contextualSpacing/>
    </w:pPr>
    <w:rPr>
      <w:rFonts w:asciiTheme="minorHAnsi" w:eastAsiaTheme="minorHAnsi" w:hAnsiTheme="minorHAnsi" w:cstheme="minorBidi"/>
      <w:sz w:val="22"/>
      <w:szCs w:val="22"/>
      <w:lang w:val="de-DE"/>
    </w:rPr>
  </w:style>
  <w:style w:type="paragraph" w:customStyle="1" w:styleId="Default">
    <w:name w:val="Default"/>
    <w:rsid w:val="00584C1B"/>
    <w:pPr>
      <w:autoSpaceDE w:val="0"/>
      <w:autoSpaceDN w:val="0"/>
      <w:adjustRightInd w:val="0"/>
      <w:spacing w:after="0" w:line="240" w:lineRule="auto"/>
    </w:pPr>
    <w:rPr>
      <w:rFonts w:eastAsia="SimSun"/>
      <w:color w:val="000000"/>
      <w:sz w:val="24"/>
      <w:szCs w:val="24"/>
      <w:lang w:val="nl-BE"/>
    </w:rPr>
  </w:style>
  <w:style w:type="character" w:customStyle="1" w:styleId="SingleTxtGChar">
    <w:name w:val="_ Single Txt_G Char"/>
    <w:basedOn w:val="DefaultParagraphFont"/>
    <w:link w:val="SingleTxtG"/>
    <w:qFormat/>
    <w:rsid w:val="0064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408F-BFA6-4671-8015-3F809174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12</cp:revision>
  <cp:lastPrinted>2019-07-24T14:29:00Z</cp:lastPrinted>
  <dcterms:created xsi:type="dcterms:W3CDTF">2019-07-24T13:11:00Z</dcterms:created>
  <dcterms:modified xsi:type="dcterms:W3CDTF">2019-07-29T11:28:00Z</dcterms:modified>
</cp:coreProperties>
</file>