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E722D0" w:rsidTr="00827BCC">
        <w:trPr>
          <w:trHeight w:val="851"/>
        </w:trPr>
        <w:tc>
          <w:tcPr>
            <w:tcW w:w="1259" w:type="dxa"/>
            <w:tcBorders>
              <w:top w:val="nil"/>
              <w:left w:val="nil"/>
              <w:bottom w:val="single" w:sz="4" w:space="0" w:color="auto"/>
              <w:right w:val="nil"/>
            </w:tcBorders>
            <w:shd w:val="clear" w:color="auto" w:fill="auto"/>
            <w:vAlign w:val="bottom"/>
          </w:tcPr>
          <w:p w:rsidR="00E722D0" w:rsidRPr="006E1033" w:rsidRDefault="00E722D0" w:rsidP="00E722D0">
            <w:pPr>
              <w:spacing w:after="80"/>
              <w:rPr>
                <w:lang w:val="en-US"/>
              </w:rPr>
            </w:pPr>
            <w:bookmarkStart w:id="0" w:name="_GoBack"/>
            <w:bookmarkEnd w:id="0"/>
          </w:p>
        </w:tc>
        <w:tc>
          <w:tcPr>
            <w:tcW w:w="2236" w:type="dxa"/>
            <w:tcBorders>
              <w:top w:val="nil"/>
              <w:left w:val="nil"/>
              <w:bottom w:val="single" w:sz="4" w:space="0" w:color="auto"/>
              <w:right w:val="nil"/>
            </w:tcBorders>
            <w:shd w:val="clear" w:color="auto" w:fill="auto"/>
            <w:vAlign w:val="bottom"/>
          </w:tcPr>
          <w:p w:rsidR="00E722D0" w:rsidRPr="006E1033" w:rsidRDefault="00E722D0" w:rsidP="00E722D0">
            <w:pPr>
              <w:spacing w:after="80" w:line="300" w:lineRule="exact"/>
              <w:rPr>
                <w:b/>
                <w:sz w:val="24"/>
                <w:szCs w:val="24"/>
                <w:lang w:val="en-US"/>
              </w:rPr>
            </w:pPr>
            <w:r w:rsidRPr="006E1033">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E722D0" w:rsidRPr="006E1033" w:rsidRDefault="00E722D0" w:rsidP="006F19E9">
            <w:pPr>
              <w:jc w:val="right"/>
              <w:rPr>
                <w:lang w:val="en-US"/>
              </w:rPr>
            </w:pPr>
            <w:r w:rsidRPr="006E1033">
              <w:rPr>
                <w:sz w:val="40"/>
                <w:lang w:val="en-US"/>
              </w:rPr>
              <w:t>ECE</w:t>
            </w:r>
            <w:r>
              <w:rPr>
                <w:lang w:val="en-US"/>
              </w:rPr>
              <w:t>/TRANS/WP.15/AC.2/</w:t>
            </w:r>
            <w:r w:rsidR="00074867">
              <w:rPr>
                <w:lang w:val="en-US"/>
              </w:rPr>
              <w:t>70</w:t>
            </w:r>
            <w:r w:rsidR="007424F4">
              <w:rPr>
                <w:lang w:val="en-US"/>
              </w:rPr>
              <w:t>/Corr.1</w:t>
            </w:r>
          </w:p>
        </w:tc>
      </w:tr>
      <w:tr w:rsidR="00E722D0" w:rsidTr="00827BCC">
        <w:trPr>
          <w:trHeight w:val="2835"/>
        </w:trPr>
        <w:tc>
          <w:tcPr>
            <w:tcW w:w="1259" w:type="dxa"/>
            <w:tcBorders>
              <w:top w:val="single" w:sz="4" w:space="0" w:color="auto"/>
              <w:left w:val="nil"/>
              <w:bottom w:val="single" w:sz="12" w:space="0" w:color="auto"/>
              <w:right w:val="nil"/>
            </w:tcBorders>
            <w:shd w:val="clear" w:color="auto" w:fill="auto"/>
          </w:tcPr>
          <w:p w:rsidR="00E722D0" w:rsidRPr="006E1033" w:rsidRDefault="00C55927" w:rsidP="00E722D0">
            <w:pPr>
              <w:spacing w:before="120"/>
              <w:rPr>
                <w:lang w:val="en-US"/>
              </w:rPr>
            </w:pPr>
            <w:r>
              <w:rPr>
                <w:noProof/>
                <w:lang w:eastAsia="en-GB"/>
              </w:rPr>
              <w:drawing>
                <wp:inline distT="0" distB="0" distL="0" distR="0">
                  <wp:extent cx="716915" cy="592455"/>
                  <wp:effectExtent l="0" t="0" r="698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E722D0" w:rsidRPr="006E1033" w:rsidRDefault="00E722D0" w:rsidP="00E722D0">
            <w:pPr>
              <w:spacing w:before="120" w:line="420" w:lineRule="exact"/>
              <w:rPr>
                <w:sz w:val="40"/>
                <w:szCs w:val="40"/>
                <w:lang w:val="en-US"/>
              </w:rPr>
            </w:pPr>
            <w:r w:rsidRPr="006E1033">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rsidR="00E722D0" w:rsidRPr="00895222" w:rsidRDefault="00E722D0" w:rsidP="00E722D0">
            <w:pPr>
              <w:spacing w:before="240" w:line="240" w:lineRule="exact"/>
              <w:rPr>
                <w:lang w:val="en-US"/>
              </w:rPr>
            </w:pPr>
            <w:r w:rsidRPr="00895222">
              <w:rPr>
                <w:lang w:val="en-US"/>
              </w:rPr>
              <w:t>Distr.: General</w:t>
            </w:r>
          </w:p>
          <w:p w:rsidR="00E722D0" w:rsidRPr="00895222" w:rsidRDefault="007A6F67" w:rsidP="00E722D0">
            <w:pPr>
              <w:spacing w:line="240" w:lineRule="exact"/>
              <w:rPr>
                <w:lang w:val="en-US"/>
              </w:rPr>
            </w:pPr>
            <w:r>
              <w:rPr>
                <w:lang w:val="en-US"/>
              </w:rPr>
              <w:t>27</w:t>
            </w:r>
            <w:r w:rsidRPr="00895222">
              <w:rPr>
                <w:lang w:val="en-US"/>
              </w:rPr>
              <w:t xml:space="preserve"> </w:t>
            </w:r>
            <w:r w:rsidR="00074867" w:rsidRPr="00895222">
              <w:rPr>
                <w:lang w:val="en-US"/>
              </w:rPr>
              <w:t>May</w:t>
            </w:r>
            <w:r w:rsidR="00E722D0" w:rsidRPr="00895222">
              <w:rPr>
                <w:lang w:val="en-US"/>
              </w:rPr>
              <w:t xml:space="preserve"> 201</w:t>
            </w:r>
            <w:r w:rsidR="00074867" w:rsidRPr="00895222">
              <w:rPr>
                <w:lang w:val="en-US"/>
              </w:rPr>
              <w:t>9</w:t>
            </w:r>
          </w:p>
          <w:p w:rsidR="00E722D0" w:rsidRPr="00895222" w:rsidRDefault="00E722D0" w:rsidP="00E722D0">
            <w:pPr>
              <w:spacing w:line="240" w:lineRule="exact"/>
              <w:rPr>
                <w:lang w:val="en-US"/>
              </w:rPr>
            </w:pPr>
            <w:r w:rsidRPr="00895222">
              <w:rPr>
                <w:lang w:val="en-US"/>
              </w:rPr>
              <w:t>English</w:t>
            </w:r>
          </w:p>
          <w:p w:rsidR="00E722D0" w:rsidRPr="006E1033" w:rsidRDefault="00E722D0" w:rsidP="00E722D0">
            <w:pPr>
              <w:spacing w:line="240" w:lineRule="exact"/>
              <w:rPr>
                <w:lang w:val="en-US"/>
              </w:rPr>
            </w:pPr>
            <w:r w:rsidRPr="00895222">
              <w:rPr>
                <w:lang w:val="en-US"/>
              </w:rPr>
              <w:t>Original: English and French</w:t>
            </w:r>
          </w:p>
        </w:tc>
      </w:tr>
    </w:tbl>
    <w:p w:rsidR="00E508B5" w:rsidRDefault="00E508B5">
      <w:pPr>
        <w:spacing w:before="120"/>
        <w:rPr>
          <w:b/>
          <w:sz w:val="28"/>
          <w:szCs w:val="28"/>
        </w:rPr>
      </w:pPr>
      <w:r>
        <w:rPr>
          <w:b/>
          <w:sz w:val="28"/>
          <w:szCs w:val="28"/>
        </w:rPr>
        <w:t>Economic Commission for Europe</w:t>
      </w:r>
    </w:p>
    <w:p w:rsidR="00E508B5" w:rsidRDefault="00E508B5">
      <w:pPr>
        <w:spacing w:before="120"/>
        <w:rPr>
          <w:sz w:val="28"/>
          <w:szCs w:val="28"/>
        </w:rPr>
      </w:pPr>
      <w:r>
        <w:rPr>
          <w:sz w:val="28"/>
          <w:szCs w:val="28"/>
        </w:rPr>
        <w:t>Inland Transport Committee</w:t>
      </w:r>
    </w:p>
    <w:p w:rsidR="00E508B5" w:rsidRDefault="00E508B5">
      <w:pPr>
        <w:spacing w:before="120"/>
        <w:rPr>
          <w:b/>
          <w:sz w:val="24"/>
          <w:szCs w:val="24"/>
        </w:rPr>
      </w:pPr>
      <w:r>
        <w:rPr>
          <w:b/>
          <w:sz w:val="24"/>
          <w:szCs w:val="24"/>
        </w:rPr>
        <w:t>Working Party on the Transport of Dangerous Goods</w:t>
      </w:r>
    </w:p>
    <w:p w:rsidR="00E508B5" w:rsidRDefault="00E508B5">
      <w:pPr>
        <w:spacing w:before="120"/>
        <w:rPr>
          <w:b/>
        </w:rPr>
      </w:pPr>
      <w:r>
        <w:rPr>
          <w:b/>
        </w:rPr>
        <w:t>Joint Meeting of Experts on the Regulations annexed to the</w:t>
      </w:r>
    </w:p>
    <w:p w:rsidR="00E508B5" w:rsidRDefault="00E508B5" w:rsidP="00E508B5">
      <w:pPr>
        <w:rPr>
          <w:b/>
        </w:rPr>
      </w:pPr>
      <w:r>
        <w:rPr>
          <w:b/>
        </w:rPr>
        <w:t>European Agreement concerning the International Carriage</w:t>
      </w:r>
    </w:p>
    <w:p w:rsidR="00E508B5" w:rsidRDefault="00FB70FA" w:rsidP="00E508B5">
      <w:pPr>
        <w:rPr>
          <w:b/>
        </w:rPr>
      </w:pPr>
      <w:r>
        <w:rPr>
          <w:b/>
        </w:rPr>
        <w:t>o</w:t>
      </w:r>
      <w:r w:rsidR="00E508B5">
        <w:rPr>
          <w:b/>
        </w:rPr>
        <w:t>f Dangerous Goods by Inland Waterways (ADN)</w:t>
      </w:r>
    </w:p>
    <w:p w:rsidR="00E508B5" w:rsidRDefault="00E508B5" w:rsidP="00E508B5">
      <w:pPr>
        <w:rPr>
          <w:b/>
        </w:rPr>
      </w:pPr>
      <w:r>
        <w:rPr>
          <w:b/>
        </w:rPr>
        <w:t>(ADN Safety Committee)</w:t>
      </w:r>
    </w:p>
    <w:p w:rsidR="00074867" w:rsidRDefault="00074867" w:rsidP="00E508B5">
      <w:pPr>
        <w:rPr>
          <w:b/>
        </w:rPr>
      </w:pPr>
    </w:p>
    <w:p w:rsidR="00074867" w:rsidRPr="00A66477" w:rsidRDefault="00074867" w:rsidP="00074867">
      <w:pPr>
        <w:rPr>
          <w:b/>
          <w:bCs/>
        </w:rPr>
      </w:pPr>
      <w:r w:rsidRPr="00A66477">
        <w:rPr>
          <w:b/>
          <w:bCs/>
        </w:rPr>
        <w:t>Thirty-fourth session</w:t>
      </w:r>
    </w:p>
    <w:p w:rsidR="00E508B5" w:rsidRPr="00E508B5" w:rsidRDefault="00074867" w:rsidP="00074867">
      <w:r w:rsidRPr="00A66477">
        <w:t>Geneva, 21-25 January 2019</w:t>
      </w:r>
    </w:p>
    <w:p w:rsidR="007424F4" w:rsidRDefault="00B457B6" w:rsidP="00E70F2E">
      <w:pPr>
        <w:pStyle w:val="HChG"/>
      </w:pPr>
      <w:r>
        <w:tab/>
      </w:r>
      <w:r>
        <w:tab/>
      </w:r>
      <w:bookmarkStart w:id="1" w:name="_Toc397351280"/>
      <w:r w:rsidR="00074867" w:rsidRPr="00A66477">
        <w:t>Report of the Joint Meeting of Experts on the Regulations annexed to the European Agreement concerning the International Carriage of Dangerous Goods by Inland Waterways (ADN Safety Committee) on its thirty-fourth session</w:t>
      </w:r>
    </w:p>
    <w:p w:rsidR="007424F4" w:rsidRPr="007A6F67" w:rsidRDefault="007424F4" w:rsidP="007424F4">
      <w:pPr>
        <w:pStyle w:val="H1G"/>
      </w:pPr>
      <w:r w:rsidRPr="007A6F67">
        <w:tab/>
      </w:r>
      <w:r w:rsidRPr="007A6F67">
        <w:tab/>
        <w:t>Corrigendum</w:t>
      </w:r>
    </w:p>
    <w:p w:rsidR="002807E6" w:rsidRPr="007A6F67" w:rsidRDefault="002807E6" w:rsidP="007424F4">
      <w:pPr>
        <w:spacing w:after="120"/>
        <w:ind w:left="1134" w:right="1134"/>
        <w:jc w:val="both"/>
        <w:rPr>
          <w:b/>
        </w:rPr>
      </w:pPr>
      <w:r w:rsidRPr="007A6F67">
        <w:rPr>
          <w:b/>
        </w:rPr>
        <w:t>1.</w:t>
      </w:r>
      <w:r w:rsidRPr="007A6F67">
        <w:tab/>
      </w:r>
      <w:r w:rsidRPr="007A6F67">
        <w:rPr>
          <w:b/>
        </w:rPr>
        <w:t xml:space="preserve">Page </w:t>
      </w:r>
      <w:r w:rsidR="002B4897" w:rsidRPr="007A6F67">
        <w:rPr>
          <w:b/>
        </w:rPr>
        <w:t>9</w:t>
      </w:r>
      <w:r w:rsidRPr="007A6F67">
        <w:rPr>
          <w:b/>
        </w:rPr>
        <w:t>, paragraph 29, second bullet point</w:t>
      </w:r>
    </w:p>
    <w:p w:rsidR="002807E6" w:rsidRPr="007A6F67" w:rsidRDefault="002807E6" w:rsidP="007424F4">
      <w:pPr>
        <w:spacing w:after="120"/>
        <w:ind w:left="1134" w:right="1134"/>
        <w:jc w:val="both"/>
        <w:rPr>
          <w:b/>
        </w:rPr>
      </w:pPr>
      <w:bookmarkStart w:id="2" w:name="_Hlk9587489"/>
      <w:r w:rsidRPr="007A6F67">
        <w:rPr>
          <w:bCs/>
          <w:i/>
          <w:iCs/>
        </w:rPr>
        <w:t xml:space="preserve">For </w:t>
      </w:r>
      <w:r w:rsidRPr="007A6F67">
        <w:t xml:space="preserve">9.3.x.24 </w:t>
      </w:r>
      <w:r w:rsidRPr="007A6F67">
        <w:rPr>
          <w:i/>
          <w:iCs/>
        </w:rPr>
        <w:t>read</w:t>
      </w:r>
      <w:r w:rsidRPr="007A6F67">
        <w:t xml:space="preserve"> 9.3.x.20.4</w:t>
      </w:r>
      <w:bookmarkEnd w:id="2"/>
    </w:p>
    <w:p w:rsidR="00775BCD" w:rsidRPr="007A6F67" w:rsidRDefault="002807E6" w:rsidP="007424F4">
      <w:pPr>
        <w:spacing w:after="120"/>
        <w:ind w:left="1134" w:right="1134"/>
        <w:jc w:val="both"/>
        <w:rPr>
          <w:b/>
        </w:rPr>
      </w:pPr>
      <w:r w:rsidRPr="007A6F67">
        <w:rPr>
          <w:b/>
        </w:rPr>
        <w:t>2</w:t>
      </w:r>
      <w:r w:rsidR="00775BCD" w:rsidRPr="007A6F67">
        <w:rPr>
          <w:b/>
        </w:rPr>
        <w:t>.</w:t>
      </w:r>
      <w:r w:rsidR="00775BCD" w:rsidRPr="007A6F67">
        <w:tab/>
      </w:r>
      <w:r w:rsidR="00775BCD" w:rsidRPr="007A6F67">
        <w:rPr>
          <w:b/>
        </w:rPr>
        <w:t xml:space="preserve">Annex I, Chapter 1.1, </w:t>
      </w:r>
      <w:bookmarkStart w:id="3" w:name="_Hlk9520694"/>
      <w:r w:rsidR="00775BCD" w:rsidRPr="007A6F67">
        <w:rPr>
          <w:b/>
        </w:rPr>
        <w:t>1.1.3.6</w:t>
      </w:r>
      <w:bookmarkEnd w:id="3"/>
    </w:p>
    <w:p w:rsidR="008D3673" w:rsidRPr="007A6F67" w:rsidRDefault="00074867" w:rsidP="00074867">
      <w:pPr>
        <w:spacing w:after="120"/>
        <w:ind w:left="1134" w:right="1134"/>
        <w:jc w:val="both"/>
        <w:rPr>
          <w:i/>
        </w:rPr>
      </w:pPr>
      <w:r w:rsidRPr="007A6F67">
        <w:rPr>
          <w:i/>
        </w:rPr>
        <w:t xml:space="preserve">For </w:t>
      </w:r>
    </w:p>
    <w:p w:rsidR="00074867" w:rsidRPr="007A6F67" w:rsidRDefault="00074867" w:rsidP="008D3673">
      <w:pPr>
        <w:spacing w:after="120"/>
        <w:ind w:left="1418" w:right="1134"/>
        <w:jc w:val="both"/>
      </w:pPr>
      <w:r w:rsidRPr="007A6F67">
        <w:t>1.1.3.6</w:t>
      </w:r>
      <w:r w:rsidRPr="007A6F67">
        <w:tab/>
        <w:t>Amend to read as follows:</w:t>
      </w:r>
    </w:p>
    <w:p w:rsidR="00074867" w:rsidRPr="00A66477" w:rsidRDefault="00074867" w:rsidP="008D3673">
      <w:pPr>
        <w:pStyle w:val="SingleTxtG"/>
        <w:ind w:left="1418"/>
        <w:rPr>
          <w:b/>
          <w:bCs/>
          <w:i/>
          <w:iCs/>
        </w:rPr>
      </w:pPr>
      <w:r w:rsidRPr="00A66477">
        <w:t>“</w:t>
      </w:r>
      <w:r w:rsidRPr="00A66477">
        <w:rPr>
          <w:b/>
          <w:bCs/>
        </w:rPr>
        <w:t xml:space="preserve">1.1.3.6 </w:t>
      </w:r>
      <w:r w:rsidRPr="00A66477">
        <w:rPr>
          <w:b/>
          <w:bCs/>
        </w:rPr>
        <w:tab/>
      </w:r>
      <w:r w:rsidRPr="00A66477">
        <w:rPr>
          <w:b/>
          <w:bCs/>
          <w:i/>
          <w:iCs/>
        </w:rPr>
        <w:t>Exemptions related to quantities carried on board vessels</w:t>
      </w:r>
    </w:p>
    <w:p w:rsidR="008D3673" w:rsidRDefault="00074867" w:rsidP="00074867">
      <w:pPr>
        <w:spacing w:after="120"/>
        <w:ind w:left="1134" w:right="1134"/>
        <w:jc w:val="both"/>
        <w:rPr>
          <w:i/>
        </w:rPr>
      </w:pPr>
      <w:r>
        <w:rPr>
          <w:i/>
        </w:rPr>
        <w:t xml:space="preserve">Read </w:t>
      </w:r>
    </w:p>
    <w:p w:rsidR="00074867" w:rsidRDefault="00074867" w:rsidP="008D3673">
      <w:pPr>
        <w:spacing w:after="120"/>
        <w:ind w:left="1418" w:right="1134"/>
        <w:jc w:val="both"/>
      </w:pPr>
      <w:r w:rsidRPr="00A66477">
        <w:t>1.1.3.6</w:t>
      </w:r>
      <w:r>
        <w:t>.1</w:t>
      </w:r>
      <w:r w:rsidRPr="00A66477">
        <w:tab/>
        <w:t>Amend to read as follows:</w:t>
      </w:r>
    </w:p>
    <w:p w:rsidR="002273D6" w:rsidRPr="00A66477" w:rsidRDefault="002273D6" w:rsidP="008D3673">
      <w:pPr>
        <w:spacing w:after="120"/>
        <w:ind w:left="1418" w:right="1134"/>
        <w:jc w:val="both"/>
      </w:pPr>
      <w:r>
        <w:t>“</w:t>
      </w:r>
    </w:p>
    <w:p w:rsidR="006A52D7" w:rsidRDefault="002807E6" w:rsidP="000C2792">
      <w:pPr>
        <w:pageBreakBefore/>
        <w:spacing w:after="120"/>
        <w:ind w:left="1134" w:right="1134"/>
        <w:jc w:val="both"/>
        <w:rPr>
          <w:b/>
        </w:rPr>
      </w:pPr>
      <w:r>
        <w:rPr>
          <w:b/>
        </w:rPr>
        <w:lastRenderedPageBreak/>
        <w:t>3</w:t>
      </w:r>
      <w:r w:rsidR="006A52D7">
        <w:rPr>
          <w:b/>
        </w:rPr>
        <w:t>.</w:t>
      </w:r>
      <w:r w:rsidR="006A52D7">
        <w:rPr>
          <w:b/>
        </w:rPr>
        <w:tab/>
        <w:t>Annex I, Chapter</w:t>
      </w:r>
      <w:r w:rsidR="006A52D7" w:rsidRPr="00484D24">
        <w:rPr>
          <w:b/>
        </w:rPr>
        <w:t xml:space="preserve"> </w:t>
      </w:r>
      <w:r w:rsidR="00074867">
        <w:rPr>
          <w:b/>
        </w:rPr>
        <w:t>8</w:t>
      </w:r>
      <w:r w:rsidR="006A52D7" w:rsidRPr="00484D24">
        <w:rPr>
          <w:b/>
        </w:rPr>
        <w:t>.</w:t>
      </w:r>
      <w:r w:rsidR="00074867">
        <w:rPr>
          <w:b/>
        </w:rPr>
        <w:t>1, 8.1.7.2</w:t>
      </w:r>
    </w:p>
    <w:p w:rsidR="008D3673" w:rsidRDefault="00074867" w:rsidP="00074867">
      <w:pPr>
        <w:spacing w:after="120"/>
        <w:ind w:left="1134" w:right="1134"/>
        <w:jc w:val="both"/>
        <w:rPr>
          <w:i/>
        </w:rPr>
      </w:pPr>
      <w:r>
        <w:rPr>
          <w:i/>
        </w:rPr>
        <w:t xml:space="preserve">For </w:t>
      </w:r>
    </w:p>
    <w:p w:rsidR="00074867" w:rsidRDefault="00074867" w:rsidP="008D3673">
      <w:pPr>
        <w:spacing w:after="120"/>
        <w:ind w:left="1418" w:right="1134"/>
        <w:jc w:val="both"/>
      </w:pPr>
      <w:r w:rsidRPr="00A66477">
        <w:t>8.1.7.2</w:t>
      </w:r>
      <w:r w:rsidRPr="00A66477">
        <w:tab/>
        <w:t xml:space="preserve">Amend the end of the </w:t>
      </w:r>
      <w:r>
        <w:t>second</w:t>
      </w:r>
      <w:r w:rsidRPr="00A66477">
        <w:t xml:space="preserve"> paragraph to read as follows</w:t>
      </w:r>
      <w:r>
        <w:t>:</w:t>
      </w:r>
    </w:p>
    <w:p w:rsidR="008D3673" w:rsidRDefault="00074867" w:rsidP="00074867">
      <w:pPr>
        <w:spacing w:after="120"/>
        <w:ind w:left="1134" w:right="1134"/>
        <w:jc w:val="both"/>
        <w:rPr>
          <w:i/>
        </w:rPr>
      </w:pPr>
      <w:r>
        <w:rPr>
          <w:i/>
        </w:rPr>
        <w:t xml:space="preserve">Read </w:t>
      </w:r>
    </w:p>
    <w:p w:rsidR="00074867" w:rsidRPr="008D3673" w:rsidRDefault="00074867" w:rsidP="008D3673">
      <w:pPr>
        <w:spacing w:after="120"/>
        <w:ind w:left="1418" w:right="1134"/>
        <w:jc w:val="both"/>
      </w:pPr>
      <w:r w:rsidRPr="00A66477">
        <w:t>8.1.7.2</w:t>
      </w:r>
      <w:r w:rsidRPr="00A66477">
        <w:tab/>
        <w:t xml:space="preserve">Amend the end of the </w:t>
      </w:r>
      <w:r>
        <w:t>first</w:t>
      </w:r>
      <w:r w:rsidRPr="00A66477">
        <w:t xml:space="preserve"> paragraph to read as follows</w:t>
      </w:r>
      <w:r w:rsidR="00951C61">
        <w:t>:</w:t>
      </w:r>
    </w:p>
    <w:p w:rsidR="003F547A" w:rsidRPr="003F547A" w:rsidRDefault="002807E6" w:rsidP="003F547A">
      <w:pPr>
        <w:spacing w:after="120"/>
        <w:ind w:left="1134" w:right="1134"/>
        <w:jc w:val="both"/>
        <w:rPr>
          <w:b/>
        </w:rPr>
      </w:pPr>
      <w:r>
        <w:rPr>
          <w:b/>
        </w:rPr>
        <w:t>4</w:t>
      </w:r>
      <w:r w:rsidR="003F547A" w:rsidRPr="003F547A">
        <w:rPr>
          <w:b/>
        </w:rPr>
        <w:t>.</w:t>
      </w:r>
      <w:r w:rsidR="003F547A" w:rsidRPr="003F547A">
        <w:rPr>
          <w:b/>
        </w:rPr>
        <w:tab/>
        <w:t>Annex III, Title</w:t>
      </w:r>
    </w:p>
    <w:p w:rsidR="003F547A" w:rsidRPr="003F547A" w:rsidRDefault="003F547A" w:rsidP="003F547A">
      <w:pPr>
        <w:pStyle w:val="SingleTxtG"/>
        <w:rPr>
          <w:bCs/>
          <w:i/>
          <w:iCs/>
        </w:rPr>
      </w:pPr>
      <w:r w:rsidRPr="003F547A">
        <w:rPr>
          <w:bCs/>
        </w:rPr>
        <w:t>Not applicable to English</w:t>
      </w:r>
    </w:p>
    <w:p w:rsidR="007424F4" w:rsidRPr="002807E6" w:rsidRDefault="002807E6" w:rsidP="003F547A">
      <w:pPr>
        <w:spacing w:after="120"/>
        <w:ind w:left="1134" w:right="1134"/>
        <w:jc w:val="both"/>
        <w:rPr>
          <w:b/>
        </w:rPr>
      </w:pPr>
      <w:r>
        <w:rPr>
          <w:b/>
        </w:rPr>
        <w:t>5</w:t>
      </w:r>
      <w:r w:rsidR="00757175" w:rsidRPr="002807E6">
        <w:rPr>
          <w:b/>
        </w:rPr>
        <w:t>.</w:t>
      </w:r>
      <w:r w:rsidR="00757175" w:rsidRPr="002807E6">
        <w:rPr>
          <w:b/>
        </w:rPr>
        <w:tab/>
      </w:r>
      <w:r w:rsidR="00DD7AA4" w:rsidRPr="002807E6">
        <w:rPr>
          <w:b/>
        </w:rPr>
        <w:t>Annex I</w:t>
      </w:r>
      <w:r w:rsidR="003F547A" w:rsidRPr="002807E6">
        <w:rPr>
          <w:b/>
        </w:rPr>
        <w:t>II</w:t>
      </w:r>
      <w:r w:rsidR="00DD7AA4" w:rsidRPr="002807E6">
        <w:rPr>
          <w:b/>
        </w:rPr>
        <w:t xml:space="preserve">, </w:t>
      </w:r>
      <w:r w:rsidR="007C367E" w:rsidRPr="002807E6">
        <w:rPr>
          <w:b/>
        </w:rPr>
        <w:t>Correction 1</w:t>
      </w:r>
    </w:p>
    <w:p w:rsidR="006A52D7" w:rsidRDefault="006A52D7" w:rsidP="00DD7AA4">
      <w:pPr>
        <w:pStyle w:val="SingleTxtG"/>
        <w:tabs>
          <w:tab w:val="left" w:pos="1985"/>
          <w:tab w:val="left" w:pos="2268"/>
        </w:tabs>
      </w:pPr>
      <w:r w:rsidRPr="002A2584">
        <w:rPr>
          <w:i/>
        </w:rPr>
        <w:t>For existing text read</w:t>
      </w:r>
    </w:p>
    <w:p w:rsidR="00453D1A" w:rsidRPr="00A66477" w:rsidRDefault="00453D1A" w:rsidP="00D4589F">
      <w:pPr>
        <w:pStyle w:val="H23G"/>
        <w:ind w:left="1560" w:firstLine="0"/>
      </w:pPr>
      <w:r w:rsidRPr="00A66477">
        <w:t>1.</w:t>
      </w:r>
      <w:r w:rsidRPr="00A66477">
        <w:tab/>
        <w:t xml:space="preserve">Chapter 1.2, Definition for </w:t>
      </w:r>
      <w:r w:rsidRPr="00A66477">
        <w:rPr>
          <w:iCs/>
        </w:rPr>
        <w:t>Limited explosion risk electrical apparatus</w:t>
      </w:r>
    </w:p>
    <w:p w:rsidR="00453D1A" w:rsidRDefault="00453D1A" w:rsidP="00FB5A48">
      <w:pPr>
        <w:pStyle w:val="SingleTxtG"/>
        <w:ind w:left="1560"/>
        <w:rPr>
          <w:i/>
          <w:iCs/>
        </w:rPr>
      </w:pPr>
      <w:r w:rsidRPr="00A66477">
        <w:rPr>
          <w:i/>
          <w:iCs/>
        </w:rPr>
        <w:t xml:space="preserve">For </w:t>
      </w:r>
      <w:r>
        <w:t xml:space="preserve">existing definition </w:t>
      </w:r>
      <w:r w:rsidR="004C1A87">
        <w:rPr>
          <w:i/>
          <w:iCs/>
        </w:rPr>
        <w:t>re</w:t>
      </w:r>
      <w:r>
        <w:rPr>
          <w:i/>
          <w:iCs/>
        </w:rPr>
        <w:t>ad</w:t>
      </w:r>
    </w:p>
    <w:p w:rsidR="00453D1A" w:rsidRDefault="00453D1A" w:rsidP="00FB5A48">
      <w:pPr>
        <w:spacing w:after="240"/>
        <w:ind w:left="1843" w:right="1134"/>
        <w:jc w:val="both"/>
      </w:pPr>
      <w:r>
        <w:rPr>
          <w:i/>
          <w:iCs/>
        </w:rPr>
        <w:t xml:space="preserve">Limited explosion </w:t>
      </w:r>
      <w:r w:rsidRPr="00FB5A48">
        <w:rPr>
          <w:i/>
          <w:iCs/>
        </w:rPr>
        <w:t xml:space="preserve">risk </w:t>
      </w:r>
      <w:r w:rsidR="004C1A87" w:rsidRPr="00FB5A48">
        <w:rPr>
          <w:i/>
          <w:iCs/>
        </w:rPr>
        <w:t>electrical installations and equipment</w:t>
      </w:r>
      <w:r>
        <w:rPr>
          <w:i/>
          <w:iCs/>
        </w:rPr>
        <w:t xml:space="preserve"> </w:t>
      </w:r>
      <w:r>
        <w:t xml:space="preserve">means </w:t>
      </w:r>
      <w:r w:rsidR="004C1A87" w:rsidRPr="00A66477">
        <w:t>electrical installations and equipment</w:t>
      </w:r>
      <w:r>
        <w:t xml:space="preserve"> which, during normal operation, do not cause sparks or exhibits surface temperatures which are above 200 °C, including e.g.:</w:t>
      </w:r>
    </w:p>
    <w:p w:rsidR="00453D1A" w:rsidRDefault="00453D1A" w:rsidP="00FB5A48">
      <w:pPr>
        <w:spacing w:after="120"/>
        <w:ind w:left="1843" w:right="1134"/>
        <w:jc w:val="both"/>
      </w:pPr>
      <w:r>
        <w:t>– three-phase squirrel cage rotor motors;</w:t>
      </w:r>
    </w:p>
    <w:p w:rsidR="00453D1A" w:rsidRDefault="00453D1A" w:rsidP="00FB5A48">
      <w:pPr>
        <w:spacing w:after="120"/>
        <w:ind w:left="1843" w:right="1134"/>
        <w:jc w:val="both"/>
      </w:pPr>
      <w:r>
        <w:t>– brushless generators with contactless excitation;</w:t>
      </w:r>
    </w:p>
    <w:p w:rsidR="00453D1A" w:rsidRDefault="00453D1A" w:rsidP="00FB5A48">
      <w:pPr>
        <w:spacing w:after="120"/>
        <w:ind w:left="1843" w:right="1134"/>
        <w:jc w:val="both"/>
      </w:pPr>
      <w:r>
        <w:t>– fuses with an enclosed fuse element;</w:t>
      </w:r>
    </w:p>
    <w:p w:rsidR="00453D1A" w:rsidRDefault="00453D1A" w:rsidP="00FB5A48">
      <w:pPr>
        <w:spacing w:after="240"/>
        <w:ind w:left="1843" w:right="1134"/>
        <w:jc w:val="both"/>
      </w:pPr>
      <w:r>
        <w:t>– contactless electronic apparatus;</w:t>
      </w:r>
    </w:p>
    <w:p w:rsidR="00453D1A" w:rsidRDefault="00453D1A" w:rsidP="00FB5A48">
      <w:pPr>
        <w:spacing w:after="240"/>
        <w:ind w:left="1843" w:right="1134"/>
        <w:jc w:val="both"/>
      </w:pPr>
      <w:r>
        <w:t xml:space="preserve">or means </w:t>
      </w:r>
      <w:r w:rsidR="004C1A87" w:rsidRPr="00A66477">
        <w:t>electrical installations and equipment</w:t>
      </w:r>
      <w:r>
        <w:t xml:space="preserve"> with at least an enclosure protected against water jets (protection rating IP55 or higher) which during normal operation do not exhibit surface temperatures above 200 °C;</w:t>
      </w:r>
    </w:p>
    <w:p w:rsidR="00653863" w:rsidRPr="00444356" w:rsidRDefault="00453D1A" w:rsidP="00FB5A48">
      <w:pPr>
        <w:pStyle w:val="SingleTxtG"/>
        <w:tabs>
          <w:tab w:val="left" w:pos="1985"/>
          <w:tab w:val="left" w:pos="2268"/>
        </w:tabs>
        <w:ind w:left="1843"/>
        <w:rPr>
          <w:i/>
        </w:rPr>
      </w:pPr>
      <w:r w:rsidRPr="00A66477">
        <w:rPr>
          <w:i/>
          <w:iCs/>
        </w:rPr>
        <w:t>(Reference document: ECE/TRANS/WP.15/AC.2/2019/4)</w:t>
      </w:r>
    </w:p>
    <w:p w:rsidR="00963DF9" w:rsidRPr="007424F4" w:rsidRDefault="007424F4" w:rsidP="00757175">
      <w:pPr>
        <w:spacing w:before="240"/>
        <w:ind w:left="1134" w:right="1134"/>
        <w:jc w:val="center"/>
        <w:rPr>
          <w:u w:val="single"/>
        </w:rPr>
      </w:pPr>
      <w:r w:rsidRPr="007424F4">
        <w:rPr>
          <w:u w:val="single"/>
        </w:rPr>
        <w:tab/>
      </w:r>
      <w:r w:rsidRPr="007424F4">
        <w:rPr>
          <w:u w:val="single"/>
        </w:rPr>
        <w:tab/>
      </w:r>
      <w:r w:rsidRPr="007424F4">
        <w:rPr>
          <w:u w:val="single"/>
        </w:rPr>
        <w:tab/>
      </w:r>
      <w:bookmarkEnd w:id="1"/>
    </w:p>
    <w:sectPr w:rsidR="00963DF9" w:rsidRPr="007424F4" w:rsidSect="0065024D">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533" w:rsidRDefault="002A1533"/>
  </w:endnote>
  <w:endnote w:type="continuationSeparator" w:id="0">
    <w:p w:rsidR="002A1533" w:rsidRDefault="002A1533"/>
  </w:endnote>
  <w:endnote w:type="continuationNotice" w:id="1">
    <w:p w:rsidR="002A1533" w:rsidRDefault="002A1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Pr="00E508B5" w:rsidRDefault="00041FF4" w:rsidP="00E508B5">
    <w:pPr>
      <w:pStyle w:val="Footer"/>
      <w:tabs>
        <w:tab w:val="right" w:pos="9598"/>
      </w:tabs>
    </w:pPr>
    <w:r w:rsidRPr="00E508B5">
      <w:rPr>
        <w:b/>
        <w:sz w:val="18"/>
      </w:rPr>
      <w:fldChar w:fldCharType="begin"/>
    </w:r>
    <w:r w:rsidRPr="00E508B5">
      <w:rPr>
        <w:b/>
        <w:sz w:val="18"/>
      </w:rPr>
      <w:instrText xml:space="preserve"> PAGE  \* MERGEFORMAT </w:instrText>
    </w:r>
    <w:r w:rsidRPr="00E508B5">
      <w:rPr>
        <w:b/>
        <w:sz w:val="18"/>
      </w:rPr>
      <w:fldChar w:fldCharType="separate"/>
    </w:r>
    <w:r w:rsidR="00DC54FF">
      <w:rPr>
        <w:b/>
        <w:noProof/>
        <w:sz w:val="18"/>
      </w:rPr>
      <w:t>2</w:t>
    </w:r>
    <w:r w:rsidRPr="00E508B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Pr="00E508B5" w:rsidRDefault="00041FF4" w:rsidP="00E508B5">
    <w:pPr>
      <w:pStyle w:val="Footer"/>
      <w:tabs>
        <w:tab w:val="right" w:pos="9598"/>
      </w:tabs>
      <w:rPr>
        <w:b/>
        <w:sz w:val="18"/>
      </w:rPr>
    </w:pPr>
    <w:r>
      <w:tab/>
    </w:r>
    <w:r w:rsidRPr="00E508B5">
      <w:rPr>
        <w:b/>
        <w:sz w:val="18"/>
      </w:rPr>
      <w:fldChar w:fldCharType="begin"/>
    </w:r>
    <w:r w:rsidRPr="00E508B5">
      <w:rPr>
        <w:b/>
        <w:sz w:val="18"/>
      </w:rPr>
      <w:instrText xml:space="preserve"> PAGE  \* MERGEFORMAT </w:instrText>
    </w:r>
    <w:r w:rsidRPr="00E508B5">
      <w:rPr>
        <w:b/>
        <w:sz w:val="18"/>
      </w:rPr>
      <w:fldChar w:fldCharType="separate"/>
    </w:r>
    <w:r>
      <w:rPr>
        <w:b/>
        <w:noProof/>
        <w:sz w:val="18"/>
      </w:rPr>
      <w:t>3</w:t>
    </w:r>
    <w:r w:rsidRPr="00E508B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533" w:rsidRPr="000B175B" w:rsidRDefault="002A1533" w:rsidP="000B175B">
      <w:pPr>
        <w:tabs>
          <w:tab w:val="right" w:pos="2155"/>
        </w:tabs>
        <w:spacing w:after="80"/>
        <w:ind w:left="680"/>
        <w:rPr>
          <w:u w:val="single"/>
        </w:rPr>
      </w:pPr>
      <w:r>
        <w:rPr>
          <w:u w:val="single"/>
        </w:rPr>
        <w:tab/>
      </w:r>
    </w:p>
  </w:footnote>
  <w:footnote w:type="continuationSeparator" w:id="0">
    <w:p w:rsidR="002A1533" w:rsidRPr="00FC68B7" w:rsidRDefault="002A1533" w:rsidP="00FC68B7">
      <w:pPr>
        <w:tabs>
          <w:tab w:val="left" w:pos="2155"/>
        </w:tabs>
        <w:spacing w:after="80"/>
        <w:ind w:left="680"/>
        <w:rPr>
          <w:u w:val="single"/>
        </w:rPr>
      </w:pPr>
      <w:r>
        <w:rPr>
          <w:u w:val="single"/>
        </w:rPr>
        <w:tab/>
      </w:r>
    </w:p>
  </w:footnote>
  <w:footnote w:type="continuationNotice" w:id="1">
    <w:p w:rsidR="002A1533" w:rsidRDefault="002A15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Pr="00E508B5" w:rsidRDefault="00041FF4" w:rsidP="00E508B5">
    <w:pPr>
      <w:pStyle w:val="Header"/>
    </w:pPr>
    <w:r w:rsidRPr="00E508B5">
      <w:t>ECE/TRANS/WP.15/AC.2/</w:t>
    </w:r>
    <w:r w:rsidR="008D3673">
      <w:t>70</w:t>
    </w:r>
    <w:r w:rsidR="00F152F1">
      <w:t>/Corr.1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Pr="00E508B5" w:rsidRDefault="00041FF4" w:rsidP="00E508B5">
    <w:pPr>
      <w:pStyle w:val="Header"/>
      <w:jc w:val="right"/>
    </w:pPr>
    <w:r w:rsidRPr="00E508B5">
      <w:t>ECE/TRANS/WP.15/AC.2/</w:t>
    </w:r>
    <w:r>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E37F6"/>
    <w:multiLevelType w:val="hybridMultilevel"/>
    <w:tmpl w:val="DA9AC950"/>
    <w:lvl w:ilvl="0" w:tplc="56D49D6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D564EA5"/>
    <w:multiLevelType w:val="hybridMultilevel"/>
    <w:tmpl w:val="8A2EA8A4"/>
    <w:lvl w:ilvl="0" w:tplc="9028DC8C">
      <w:start w:val="1"/>
      <w:numFmt w:val="bullet"/>
      <w:lvlText w:val="–"/>
      <w:lvlJc w:val="left"/>
      <w:pPr>
        <w:ind w:left="1778" w:hanging="360"/>
      </w:pPr>
      <w:rPr>
        <w:rFonts w:ascii="Times New Roman" w:eastAsia="Times New Roman"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7B2932D2"/>
    <w:multiLevelType w:val="hybridMultilevel"/>
    <w:tmpl w:val="15F4804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FA41A31"/>
    <w:multiLevelType w:val="hybridMultilevel"/>
    <w:tmpl w:val="6382F4B6"/>
    <w:lvl w:ilvl="0" w:tplc="7D7C7914">
      <w:start w:val="1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5"/>
  </w:num>
  <w:num w:numId="18">
    <w:abstractNumId w:val="19"/>
  </w:num>
  <w:num w:numId="19">
    <w:abstractNumId w:val="18"/>
  </w:num>
  <w:num w:numId="2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A8"/>
    <w:rsid w:val="00003654"/>
    <w:rsid w:val="00004E0E"/>
    <w:rsid w:val="00005B21"/>
    <w:rsid w:val="0001047F"/>
    <w:rsid w:val="0001636D"/>
    <w:rsid w:val="0002555A"/>
    <w:rsid w:val="00034D01"/>
    <w:rsid w:val="000360DF"/>
    <w:rsid w:val="00041FF4"/>
    <w:rsid w:val="00050F6B"/>
    <w:rsid w:val="00072C8C"/>
    <w:rsid w:val="00074867"/>
    <w:rsid w:val="00077CE3"/>
    <w:rsid w:val="000931C0"/>
    <w:rsid w:val="00097D75"/>
    <w:rsid w:val="000A1694"/>
    <w:rsid w:val="000B175B"/>
    <w:rsid w:val="000B3A0F"/>
    <w:rsid w:val="000C2792"/>
    <w:rsid w:val="000C6768"/>
    <w:rsid w:val="000D3CC6"/>
    <w:rsid w:val="000E0415"/>
    <w:rsid w:val="000F0DBB"/>
    <w:rsid w:val="000F55C0"/>
    <w:rsid w:val="000F55D4"/>
    <w:rsid w:val="00116A04"/>
    <w:rsid w:val="00160870"/>
    <w:rsid w:val="00167CBC"/>
    <w:rsid w:val="00181FE8"/>
    <w:rsid w:val="00193690"/>
    <w:rsid w:val="001B4B04"/>
    <w:rsid w:val="001C6663"/>
    <w:rsid w:val="001C7895"/>
    <w:rsid w:val="001D0B47"/>
    <w:rsid w:val="001D26DF"/>
    <w:rsid w:val="001D7186"/>
    <w:rsid w:val="001E0903"/>
    <w:rsid w:val="001E362E"/>
    <w:rsid w:val="00202FAB"/>
    <w:rsid w:val="002033C5"/>
    <w:rsid w:val="00211E0B"/>
    <w:rsid w:val="00222425"/>
    <w:rsid w:val="002273D6"/>
    <w:rsid w:val="002317B0"/>
    <w:rsid w:val="002577B3"/>
    <w:rsid w:val="00262F07"/>
    <w:rsid w:val="002651E9"/>
    <w:rsid w:val="0027136B"/>
    <w:rsid w:val="002716A8"/>
    <w:rsid w:val="00275A19"/>
    <w:rsid w:val="002801FC"/>
    <w:rsid w:val="002807E6"/>
    <w:rsid w:val="00296836"/>
    <w:rsid w:val="002A1533"/>
    <w:rsid w:val="002A2584"/>
    <w:rsid w:val="002A7810"/>
    <w:rsid w:val="002B4897"/>
    <w:rsid w:val="002C0A28"/>
    <w:rsid w:val="003107FA"/>
    <w:rsid w:val="00313CC7"/>
    <w:rsid w:val="003229D8"/>
    <w:rsid w:val="00323C45"/>
    <w:rsid w:val="00330C02"/>
    <w:rsid w:val="00356C8A"/>
    <w:rsid w:val="0037525D"/>
    <w:rsid w:val="003757BE"/>
    <w:rsid w:val="00383A76"/>
    <w:rsid w:val="00384321"/>
    <w:rsid w:val="0039277A"/>
    <w:rsid w:val="003972E0"/>
    <w:rsid w:val="003C2CC4"/>
    <w:rsid w:val="003D4B23"/>
    <w:rsid w:val="003E5AAB"/>
    <w:rsid w:val="003E5D25"/>
    <w:rsid w:val="003F0140"/>
    <w:rsid w:val="003F2F49"/>
    <w:rsid w:val="003F547A"/>
    <w:rsid w:val="003F5DFB"/>
    <w:rsid w:val="003F786D"/>
    <w:rsid w:val="00417981"/>
    <w:rsid w:val="004325CB"/>
    <w:rsid w:val="00441307"/>
    <w:rsid w:val="00444356"/>
    <w:rsid w:val="00444D63"/>
    <w:rsid w:val="00446DE4"/>
    <w:rsid w:val="00453D1A"/>
    <w:rsid w:val="004564E5"/>
    <w:rsid w:val="004575D2"/>
    <w:rsid w:val="0048286F"/>
    <w:rsid w:val="004943FF"/>
    <w:rsid w:val="004A14CD"/>
    <w:rsid w:val="004A41CA"/>
    <w:rsid w:val="004A4786"/>
    <w:rsid w:val="004C1A87"/>
    <w:rsid w:val="004F5EA3"/>
    <w:rsid w:val="005271C6"/>
    <w:rsid w:val="005340A2"/>
    <w:rsid w:val="00535DE0"/>
    <w:rsid w:val="005420F2"/>
    <w:rsid w:val="00556CDA"/>
    <w:rsid w:val="00561C53"/>
    <w:rsid w:val="00562E3A"/>
    <w:rsid w:val="00565855"/>
    <w:rsid w:val="00586569"/>
    <w:rsid w:val="00590AC9"/>
    <w:rsid w:val="005A5A66"/>
    <w:rsid w:val="005B3DB3"/>
    <w:rsid w:val="005B5C23"/>
    <w:rsid w:val="005E57FF"/>
    <w:rsid w:val="005E5958"/>
    <w:rsid w:val="005F7692"/>
    <w:rsid w:val="0060451F"/>
    <w:rsid w:val="00607257"/>
    <w:rsid w:val="00611FC4"/>
    <w:rsid w:val="006176FB"/>
    <w:rsid w:val="00627ED0"/>
    <w:rsid w:val="006338AD"/>
    <w:rsid w:val="00640B26"/>
    <w:rsid w:val="00643B57"/>
    <w:rsid w:val="0065024D"/>
    <w:rsid w:val="00653863"/>
    <w:rsid w:val="00665595"/>
    <w:rsid w:val="0068050B"/>
    <w:rsid w:val="006913F4"/>
    <w:rsid w:val="0069587F"/>
    <w:rsid w:val="006A52D7"/>
    <w:rsid w:val="006A7392"/>
    <w:rsid w:val="006B54FB"/>
    <w:rsid w:val="006E564B"/>
    <w:rsid w:val="006E6AE5"/>
    <w:rsid w:val="006F19E9"/>
    <w:rsid w:val="00716E28"/>
    <w:rsid w:val="0072632A"/>
    <w:rsid w:val="00730548"/>
    <w:rsid w:val="007424F4"/>
    <w:rsid w:val="00742BE8"/>
    <w:rsid w:val="0074442D"/>
    <w:rsid w:val="00753932"/>
    <w:rsid w:val="00754BEF"/>
    <w:rsid w:val="00756652"/>
    <w:rsid w:val="00757175"/>
    <w:rsid w:val="00761CC1"/>
    <w:rsid w:val="00775BCD"/>
    <w:rsid w:val="0077762A"/>
    <w:rsid w:val="00792038"/>
    <w:rsid w:val="0079393E"/>
    <w:rsid w:val="007A0C47"/>
    <w:rsid w:val="007A6F67"/>
    <w:rsid w:val="007B6BA5"/>
    <w:rsid w:val="007C3390"/>
    <w:rsid w:val="007C367E"/>
    <w:rsid w:val="007C4F4B"/>
    <w:rsid w:val="007C5E52"/>
    <w:rsid w:val="007D2B11"/>
    <w:rsid w:val="007E45DF"/>
    <w:rsid w:val="007E69B8"/>
    <w:rsid w:val="007F0B83"/>
    <w:rsid w:val="007F6611"/>
    <w:rsid w:val="00814858"/>
    <w:rsid w:val="008175E9"/>
    <w:rsid w:val="008220DE"/>
    <w:rsid w:val="008242D7"/>
    <w:rsid w:val="00827BCC"/>
    <w:rsid w:val="008311A3"/>
    <w:rsid w:val="00832956"/>
    <w:rsid w:val="008472B3"/>
    <w:rsid w:val="008530C0"/>
    <w:rsid w:val="00855BA1"/>
    <w:rsid w:val="0085761F"/>
    <w:rsid w:val="00871980"/>
    <w:rsid w:val="00871FD5"/>
    <w:rsid w:val="008805CE"/>
    <w:rsid w:val="008838AF"/>
    <w:rsid w:val="00887D8E"/>
    <w:rsid w:val="00895222"/>
    <w:rsid w:val="008979B1"/>
    <w:rsid w:val="008A3065"/>
    <w:rsid w:val="008A6B25"/>
    <w:rsid w:val="008A6C4F"/>
    <w:rsid w:val="008A7CDC"/>
    <w:rsid w:val="008C2615"/>
    <w:rsid w:val="008D3673"/>
    <w:rsid w:val="008E0E46"/>
    <w:rsid w:val="008F18F9"/>
    <w:rsid w:val="00902BA0"/>
    <w:rsid w:val="00907AD2"/>
    <w:rsid w:val="00911CDA"/>
    <w:rsid w:val="00930F54"/>
    <w:rsid w:val="00933C2C"/>
    <w:rsid w:val="00942E24"/>
    <w:rsid w:val="00951C61"/>
    <w:rsid w:val="00955FA8"/>
    <w:rsid w:val="0095780F"/>
    <w:rsid w:val="00963CBA"/>
    <w:rsid w:val="00963DF9"/>
    <w:rsid w:val="00970B58"/>
    <w:rsid w:val="00974A8D"/>
    <w:rsid w:val="00991261"/>
    <w:rsid w:val="00993DB7"/>
    <w:rsid w:val="009B0C70"/>
    <w:rsid w:val="009B1FE5"/>
    <w:rsid w:val="009B729F"/>
    <w:rsid w:val="009C5015"/>
    <w:rsid w:val="009F099C"/>
    <w:rsid w:val="009F3A17"/>
    <w:rsid w:val="009F61C0"/>
    <w:rsid w:val="00A1427D"/>
    <w:rsid w:val="00A214A9"/>
    <w:rsid w:val="00A27D77"/>
    <w:rsid w:val="00A32BED"/>
    <w:rsid w:val="00A4061A"/>
    <w:rsid w:val="00A42818"/>
    <w:rsid w:val="00A52883"/>
    <w:rsid w:val="00A57818"/>
    <w:rsid w:val="00A72F22"/>
    <w:rsid w:val="00A748A6"/>
    <w:rsid w:val="00A758C1"/>
    <w:rsid w:val="00A84F79"/>
    <w:rsid w:val="00A879A4"/>
    <w:rsid w:val="00A90B63"/>
    <w:rsid w:val="00A9591A"/>
    <w:rsid w:val="00A95E02"/>
    <w:rsid w:val="00AA3616"/>
    <w:rsid w:val="00AA4DC7"/>
    <w:rsid w:val="00AC3BAF"/>
    <w:rsid w:val="00AC5581"/>
    <w:rsid w:val="00B0088B"/>
    <w:rsid w:val="00B239B0"/>
    <w:rsid w:val="00B30179"/>
    <w:rsid w:val="00B33EC0"/>
    <w:rsid w:val="00B3518D"/>
    <w:rsid w:val="00B41D2A"/>
    <w:rsid w:val="00B41DB1"/>
    <w:rsid w:val="00B457B6"/>
    <w:rsid w:val="00B55ED0"/>
    <w:rsid w:val="00B57C0D"/>
    <w:rsid w:val="00B613B7"/>
    <w:rsid w:val="00B66681"/>
    <w:rsid w:val="00B75CB4"/>
    <w:rsid w:val="00B81E12"/>
    <w:rsid w:val="00B966B3"/>
    <w:rsid w:val="00BA7047"/>
    <w:rsid w:val="00BC1844"/>
    <w:rsid w:val="00BC6F2E"/>
    <w:rsid w:val="00BC74E9"/>
    <w:rsid w:val="00BD1D2F"/>
    <w:rsid w:val="00BE4F74"/>
    <w:rsid w:val="00BE618E"/>
    <w:rsid w:val="00C02669"/>
    <w:rsid w:val="00C12B21"/>
    <w:rsid w:val="00C17650"/>
    <w:rsid w:val="00C210FB"/>
    <w:rsid w:val="00C219AA"/>
    <w:rsid w:val="00C21A3A"/>
    <w:rsid w:val="00C25B8C"/>
    <w:rsid w:val="00C41139"/>
    <w:rsid w:val="00C420F8"/>
    <w:rsid w:val="00C463DD"/>
    <w:rsid w:val="00C534D4"/>
    <w:rsid w:val="00C55927"/>
    <w:rsid w:val="00C56142"/>
    <w:rsid w:val="00C57059"/>
    <w:rsid w:val="00C57FC1"/>
    <w:rsid w:val="00C67ABD"/>
    <w:rsid w:val="00C71E35"/>
    <w:rsid w:val="00C745C3"/>
    <w:rsid w:val="00C9168B"/>
    <w:rsid w:val="00C96368"/>
    <w:rsid w:val="00CA5D50"/>
    <w:rsid w:val="00CE4A8F"/>
    <w:rsid w:val="00D107D9"/>
    <w:rsid w:val="00D2031B"/>
    <w:rsid w:val="00D244DA"/>
    <w:rsid w:val="00D24EAE"/>
    <w:rsid w:val="00D25FE2"/>
    <w:rsid w:val="00D261EC"/>
    <w:rsid w:val="00D27374"/>
    <w:rsid w:val="00D317BB"/>
    <w:rsid w:val="00D32D4A"/>
    <w:rsid w:val="00D3403A"/>
    <w:rsid w:val="00D34F45"/>
    <w:rsid w:val="00D43252"/>
    <w:rsid w:val="00D4589F"/>
    <w:rsid w:val="00D52CFB"/>
    <w:rsid w:val="00D618D7"/>
    <w:rsid w:val="00D627FB"/>
    <w:rsid w:val="00D83CB3"/>
    <w:rsid w:val="00D869CB"/>
    <w:rsid w:val="00D91A7B"/>
    <w:rsid w:val="00D978C6"/>
    <w:rsid w:val="00DA4C0A"/>
    <w:rsid w:val="00DA67AD"/>
    <w:rsid w:val="00DC03ED"/>
    <w:rsid w:val="00DC54FF"/>
    <w:rsid w:val="00DD15E9"/>
    <w:rsid w:val="00DD7AA4"/>
    <w:rsid w:val="00DE03F1"/>
    <w:rsid w:val="00DE5183"/>
    <w:rsid w:val="00DF12F7"/>
    <w:rsid w:val="00DF50D9"/>
    <w:rsid w:val="00E02C81"/>
    <w:rsid w:val="00E05D49"/>
    <w:rsid w:val="00E063B7"/>
    <w:rsid w:val="00E10DF8"/>
    <w:rsid w:val="00E130AB"/>
    <w:rsid w:val="00E40710"/>
    <w:rsid w:val="00E424AB"/>
    <w:rsid w:val="00E508B5"/>
    <w:rsid w:val="00E51301"/>
    <w:rsid w:val="00E61A3B"/>
    <w:rsid w:val="00E70F2E"/>
    <w:rsid w:val="00E722D0"/>
    <w:rsid w:val="00E7260F"/>
    <w:rsid w:val="00E732EF"/>
    <w:rsid w:val="00E82F04"/>
    <w:rsid w:val="00E85843"/>
    <w:rsid w:val="00E87921"/>
    <w:rsid w:val="00E96630"/>
    <w:rsid w:val="00EA7693"/>
    <w:rsid w:val="00EA7BC2"/>
    <w:rsid w:val="00EA7E93"/>
    <w:rsid w:val="00EB0BFA"/>
    <w:rsid w:val="00EB0E7C"/>
    <w:rsid w:val="00EC3A66"/>
    <w:rsid w:val="00ED11C9"/>
    <w:rsid w:val="00ED63EE"/>
    <w:rsid w:val="00ED76CF"/>
    <w:rsid w:val="00ED7A2A"/>
    <w:rsid w:val="00EE415D"/>
    <w:rsid w:val="00EF1D7F"/>
    <w:rsid w:val="00EF5CF0"/>
    <w:rsid w:val="00F152F1"/>
    <w:rsid w:val="00F17908"/>
    <w:rsid w:val="00F30BFC"/>
    <w:rsid w:val="00F36CDD"/>
    <w:rsid w:val="00F479A8"/>
    <w:rsid w:val="00F515AC"/>
    <w:rsid w:val="00F53969"/>
    <w:rsid w:val="00F53EDA"/>
    <w:rsid w:val="00F67699"/>
    <w:rsid w:val="00F7753D"/>
    <w:rsid w:val="00F8022C"/>
    <w:rsid w:val="00F85F34"/>
    <w:rsid w:val="00FA06F7"/>
    <w:rsid w:val="00FA494C"/>
    <w:rsid w:val="00FB171A"/>
    <w:rsid w:val="00FB4344"/>
    <w:rsid w:val="00FB51FF"/>
    <w:rsid w:val="00FB5A48"/>
    <w:rsid w:val="00FB70FA"/>
    <w:rsid w:val="00FC68B7"/>
    <w:rsid w:val="00FD7BF6"/>
    <w:rsid w:val="00FE6A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68844494-019B-4FAA-891F-2A6AEE82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974A8D"/>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E87921"/>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SingleTxtGChar">
    <w:name w:val="_ Single Txt_G Char"/>
    <w:link w:val="SingleTxtG"/>
    <w:qFormat/>
    <w:rsid w:val="00FA494C"/>
    <w:rPr>
      <w:lang w:eastAsia="en-US"/>
    </w:rPr>
  </w:style>
  <w:style w:type="character" w:customStyle="1" w:styleId="HChGChar">
    <w:name w:val="_ H _Ch_G Char"/>
    <w:link w:val="HChG"/>
    <w:rsid w:val="00FA494C"/>
    <w:rPr>
      <w:b/>
      <w:sz w:val="28"/>
      <w:lang w:eastAsia="en-US"/>
    </w:rPr>
  </w:style>
  <w:style w:type="paragraph" w:styleId="BalloonText">
    <w:name w:val="Balloon Text"/>
    <w:basedOn w:val="Normal"/>
    <w:link w:val="BalloonTextChar"/>
    <w:rsid w:val="00643B57"/>
    <w:pPr>
      <w:spacing w:line="240" w:lineRule="auto"/>
    </w:pPr>
    <w:rPr>
      <w:rFonts w:ascii="Tahoma" w:hAnsi="Tahoma" w:cs="Tahoma"/>
      <w:sz w:val="16"/>
      <w:szCs w:val="16"/>
    </w:rPr>
  </w:style>
  <w:style w:type="character" w:customStyle="1" w:styleId="BalloonTextChar">
    <w:name w:val="Balloon Text Char"/>
    <w:link w:val="BalloonText"/>
    <w:rsid w:val="00643B57"/>
    <w:rPr>
      <w:rFonts w:ascii="Tahoma" w:hAnsi="Tahoma" w:cs="Tahoma"/>
      <w:sz w:val="16"/>
      <w:szCs w:val="16"/>
      <w:lang w:eastAsia="en-US"/>
    </w:rPr>
  </w:style>
  <w:style w:type="character" w:customStyle="1" w:styleId="FooterChar">
    <w:name w:val="Footer Char"/>
    <w:aliases w:val="3_G Char"/>
    <w:link w:val="Footer"/>
    <w:rsid w:val="00E732EF"/>
    <w:rPr>
      <w:sz w:val="16"/>
      <w:lang w:eastAsia="en-US"/>
    </w:rPr>
  </w:style>
  <w:style w:type="paragraph" w:styleId="ListParagraph">
    <w:name w:val="List Paragraph"/>
    <w:basedOn w:val="Normal"/>
    <w:uiPriority w:val="34"/>
    <w:qFormat/>
    <w:rsid w:val="00A27D77"/>
    <w:pPr>
      <w:suppressAutoHyphens w:val="0"/>
      <w:spacing w:line="240" w:lineRule="auto"/>
      <w:ind w:left="720"/>
      <w:contextualSpacing/>
    </w:pPr>
    <w:rPr>
      <w:rFonts w:ascii="Calibri" w:eastAsia="Calibri" w:hAnsi="Calibri"/>
      <w:sz w:val="22"/>
      <w:szCs w:val="22"/>
      <w:lang w:val="fr-BE"/>
    </w:rPr>
  </w:style>
  <w:style w:type="paragraph" w:styleId="TOC1">
    <w:name w:val="toc 1"/>
    <w:basedOn w:val="Normal"/>
    <w:next w:val="Normal"/>
    <w:autoRedefine/>
    <w:uiPriority w:val="39"/>
    <w:rsid w:val="00761CC1"/>
  </w:style>
  <w:style w:type="paragraph" w:styleId="TOC2">
    <w:name w:val="toc 2"/>
    <w:basedOn w:val="Normal"/>
    <w:next w:val="Normal"/>
    <w:autoRedefine/>
    <w:uiPriority w:val="39"/>
    <w:rsid w:val="00761CC1"/>
    <w:pPr>
      <w:ind w:left="200"/>
    </w:pPr>
  </w:style>
  <w:style w:type="paragraph" w:styleId="TOC3">
    <w:name w:val="toc 3"/>
    <w:basedOn w:val="Normal"/>
    <w:next w:val="Normal"/>
    <w:autoRedefine/>
    <w:uiPriority w:val="39"/>
    <w:rsid w:val="00761CC1"/>
    <w:pPr>
      <w:ind w:left="400"/>
    </w:pPr>
  </w:style>
  <w:style w:type="character" w:customStyle="1" w:styleId="Heading4Char">
    <w:name w:val="Heading 4 Char"/>
    <w:basedOn w:val="DefaultParagraphFont"/>
    <w:link w:val="Heading4"/>
    <w:rsid w:val="00453D1A"/>
    <w:rPr>
      <w:lang w:eastAsia="en-US"/>
    </w:rPr>
  </w:style>
  <w:style w:type="character" w:customStyle="1" w:styleId="H23GChar">
    <w:name w:val="_ H_2/3_G Char"/>
    <w:link w:val="H23G"/>
    <w:rsid w:val="00453D1A"/>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8680">
      <w:bodyDiv w:val="1"/>
      <w:marLeft w:val="0"/>
      <w:marRight w:val="0"/>
      <w:marTop w:val="0"/>
      <w:marBottom w:val="0"/>
      <w:divBdr>
        <w:top w:val="none" w:sz="0" w:space="0" w:color="auto"/>
        <w:left w:val="none" w:sz="0" w:space="0" w:color="auto"/>
        <w:bottom w:val="none" w:sz="0" w:space="0" w:color="auto"/>
        <w:right w:val="none" w:sz="0" w:space="0" w:color="auto"/>
      </w:divBdr>
    </w:div>
    <w:div w:id="176661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F4A4-61D5-4EF4-9C89-BBC29CFB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1740</Characters>
  <Application>Microsoft Office Word</Application>
  <DocSecurity>0</DocSecurity>
  <Lines>58</Lines>
  <Paragraphs>52</Paragraphs>
  <ScaleCrop>false</ScaleCrop>
  <HeadingPairs>
    <vt:vector size="2" baseType="variant">
      <vt:variant>
        <vt:lpstr>Title</vt:lpstr>
      </vt:variant>
      <vt:variant>
        <vt:i4>1</vt:i4>
      </vt:variant>
    </vt:vector>
  </HeadingPairs>
  <TitlesOfParts>
    <vt:vector size="1" baseType="lpstr">
      <vt:lpstr>1420361</vt:lpstr>
    </vt:vector>
  </TitlesOfParts>
  <Company>CSD</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1420361</dc:title>
  <dc:subject>ECE/TRANS/WP.15/AC.2/2014/CRP.1</dc:subject>
  <dc:creator>Giltsoff</dc:creator>
  <dc:description>Final</dc:description>
  <cp:lastModifiedBy>Marie-Claude Collet</cp:lastModifiedBy>
  <cp:revision>4</cp:revision>
  <cp:lastPrinted>2017-12-20T11:46:00Z</cp:lastPrinted>
  <dcterms:created xsi:type="dcterms:W3CDTF">2019-05-24T11:07:00Z</dcterms:created>
  <dcterms:modified xsi:type="dcterms:W3CDTF">2019-05-27T06:50:00Z</dcterms:modified>
</cp:coreProperties>
</file>