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08" w:rsidRPr="00FF4A54" w:rsidRDefault="001026A0" w:rsidP="00FF3208">
      <w:pPr>
        <w:widowControl/>
        <w:overflowPunct/>
        <w:autoSpaceDE/>
        <w:autoSpaceDN/>
        <w:adjustRightInd/>
        <w:ind w:left="5387" w:right="-286" w:firstLine="0"/>
        <w:jc w:val="left"/>
        <w:textAlignment w:val="auto"/>
        <w:outlineLvl w:val="0"/>
        <w:rPr>
          <w:rFonts w:ascii="Arial" w:eastAsia="Arial" w:hAnsi="Arial" w:cs="Arial"/>
          <w:bCs/>
          <w:szCs w:val="24"/>
          <w:lang w:val="en-GB" w:eastAsia="de-DE"/>
        </w:rPr>
      </w:pPr>
      <w:bookmarkStart w:id="0" w:name="_GoBack"/>
      <w:bookmarkEnd w:id="0"/>
      <w:r>
        <w:rPr>
          <w:noProof/>
          <w:lang w:val="fr-FR"/>
        </w:rPr>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208" w:rsidRPr="00FF4A54">
        <w:rPr>
          <w:rFonts w:ascii="Arial" w:eastAsia="Arial" w:hAnsi="Arial" w:cs="Arial"/>
          <w:bCs/>
          <w:szCs w:val="24"/>
          <w:lang w:val="en-GB" w:eastAsia="de-DE"/>
        </w:rPr>
        <w:t>CCNR-ZKR/ADN/WP.15/AC.2/</w:t>
      </w:r>
      <w:r w:rsidR="00DA41E7">
        <w:rPr>
          <w:rFonts w:ascii="Arial" w:eastAsia="Arial" w:hAnsi="Arial" w:cs="Arial"/>
          <w:bCs/>
          <w:szCs w:val="24"/>
          <w:lang w:val="en-GB" w:eastAsia="de-DE"/>
        </w:rPr>
        <w:t>2019</w:t>
      </w:r>
      <w:r w:rsidR="00FF3208" w:rsidRPr="00FF4A54">
        <w:rPr>
          <w:rFonts w:ascii="Arial" w:eastAsia="Arial" w:hAnsi="Arial" w:cs="Arial"/>
          <w:bCs/>
          <w:szCs w:val="24"/>
          <w:lang w:val="en-GB" w:eastAsia="de-DE"/>
        </w:rPr>
        <w:t>/</w:t>
      </w:r>
      <w:r w:rsidR="00EF1E8C">
        <w:rPr>
          <w:rFonts w:ascii="Arial" w:eastAsia="Arial" w:hAnsi="Arial" w:cs="Arial"/>
          <w:bCs/>
          <w:szCs w:val="24"/>
          <w:lang w:val="en-GB" w:eastAsia="de-DE"/>
        </w:rPr>
        <w:t>4</w:t>
      </w:r>
    </w:p>
    <w:p w:rsidR="009F29BF" w:rsidRPr="009F29BF" w:rsidRDefault="009F29BF" w:rsidP="009F29BF">
      <w:pPr>
        <w:widowControl/>
        <w:tabs>
          <w:tab w:val="right" w:pos="3856"/>
          <w:tab w:val="left" w:pos="5670"/>
        </w:tabs>
        <w:overflowPunct/>
        <w:autoSpaceDE/>
        <w:autoSpaceDN/>
        <w:adjustRightInd/>
        <w:ind w:left="5387" w:firstLine="0"/>
        <w:jc w:val="left"/>
        <w:textAlignment w:val="auto"/>
        <w:rPr>
          <w:rFonts w:ascii="Arial" w:eastAsia="Arial" w:hAnsi="Arial" w:cs="Arial"/>
          <w:bCs/>
          <w:szCs w:val="24"/>
          <w:lang w:eastAsia="de-DE"/>
        </w:rPr>
      </w:pPr>
      <w:r w:rsidRPr="009F29BF">
        <w:rPr>
          <w:rFonts w:ascii="Arial" w:eastAsia="Arial" w:hAnsi="Arial" w:cs="Arial"/>
          <w:bCs/>
          <w:szCs w:val="24"/>
          <w:lang w:eastAsia="de-DE"/>
        </w:rPr>
        <w:t>Allgemeine Verteilung</w:t>
      </w:r>
    </w:p>
    <w:p w:rsidR="00FF3208" w:rsidRPr="007A4339" w:rsidRDefault="00EF1E8C" w:rsidP="00FF3208">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Pr>
          <w:rFonts w:ascii="Arial" w:eastAsia="Arial" w:hAnsi="Arial" w:cs="Arial"/>
          <w:szCs w:val="24"/>
          <w:lang w:eastAsia="de-DE"/>
        </w:rPr>
        <w:t>7</w:t>
      </w:r>
      <w:r w:rsidR="000D3DA4" w:rsidRPr="007A4339">
        <w:rPr>
          <w:rFonts w:ascii="Arial" w:eastAsia="Arial" w:hAnsi="Arial" w:cs="Arial"/>
          <w:szCs w:val="24"/>
          <w:lang w:eastAsia="de-DE"/>
        </w:rPr>
        <w:t xml:space="preserve">. </w:t>
      </w:r>
      <w:r>
        <w:rPr>
          <w:rFonts w:ascii="Arial" w:eastAsia="Arial" w:hAnsi="Arial" w:cs="Arial"/>
          <w:szCs w:val="24"/>
          <w:lang w:eastAsia="de-DE"/>
        </w:rPr>
        <w:t>N</w:t>
      </w:r>
      <w:r w:rsidR="009F29BF">
        <w:rPr>
          <w:rFonts w:ascii="Arial" w:eastAsia="Arial" w:hAnsi="Arial" w:cs="Arial"/>
          <w:szCs w:val="24"/>
          <w:lang w:eastAsia="de-DE"/>
        </w:rPr>
        <w:t>ovember</w:t>
      </w:r>
      <w:r w:rsidR="00FF3208" w:rsidRPr="007A4339">
        <w:rPr>
          <w:rFonts w:ascii="Arial" w:eastAsia="Arial" w:hAnsi="Arial" w:cs="Arial"/>
          <w:szCs w:val="24"/>
          <w:lang w:eastAsia="de-DE"/>
        </w:rPr>
        <w:t xml:space="preserve"> 2018</w:t>
      </w:r>
    </w:p>
    <w:p w:rsidR="00FF3208" w:rsidRPr="007A4339" w:rsidRDefault="00FF3208" w:rsidP="00FF3208">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lang w:eastAsia="de-DE"/>
        </w:rPr>
      </w:pPr>
      <w:proofErr w:type="spellStart"/>
      <w:r w:rsidRPr="007A4339">
        <w:rPr>
          <w:rFonts w:ascii="Arial" w:eastAsia="Arial" w:hAnsi="Arial" w:cs="Arial"/>
          <w:sz w:val="16"/>
          <w:szCs w:val="24"/>
          <w:lang w:eastAsia="de-DE"/>
        </w:rPr>
        <w:t>Or</w:t>
      </w:r>
      <w:proofErr w:type="spellEnd"/>
      <w:r w:rsidRPr="007A4339">
        <w:rPr>
          <w:rFonts w:ascii="Arial" w:eastAsia="Arial" w:hAnsi="Arial" w:cs="Arial"/>
          <w:sz w:val="16"/>
          <w:szCs w:val="24"/>
          <w:lang w:eastAsia="de-DE"/>
        </w:rPr>
        <w:t xml:space="preserve">. </w:t>
      </w:r>
      <w:r w:rsidR="004C128D" w:rsidRPr="007A4339">
        <w:rPr>
          <w:rFonts w:ascii="Arial" w:eastAsia="Arial" w:hAnsi="Arial" w:cs="Arial"/>
          <w:sz w:val="16"/>
          <w:szCs w:val="24"/>
        </w:rPr>
        <w:t>DEUTSCH</w:t>
      </w:r>
    </w:p>
    <w:p w:rsidR="00FF3208" w:rsidRPr="007A4339" w:rsidRDefault="00FF3208" w:rsidP="00FF3208">
      <w:pPr>
        <w:widowControl/>
        <w:overflowPunct/>
        <w:autoSpaceDE/>
        <w:autoSpaceDN/>
        <w:adjustRightInd/>
        <w:ind w:left="0" w:firstLine="0"/>
        <w:jc w:val="left"/>
        <w:textAlignment w:val="auto"/>
        <w:rPr>
          <w:rFonts w:ascii="Arial" w:hAnsi="Arial" w:cs="Arial"/>
          <w:sz w:val="16"/>
          <w:szCs w:val="24"/>
          <w:lang w:eastAsia="de-DE"/>
        </w:rPr>
      </w:pPr>
    </w:p>
    <w:p w:rsidR="00FF3208" w:rsidRPr="007A4339" w:rsidRDefault="00FF3208" w:rsidP="00FF3208">
      <w:pPr>
        <w:widowControl/>
        <w:overflowPunct/>
        <w:autoSpaceDE/>
        <w:autoSpaceDN/>
        <w:adjustRightInd/>
        <w:ind w:left="0" w:firstLine="0"/>
        <w:jc w:val="left"/>
        <w:textAlignment w:val="auto"/>
        <w:rPr>
          <w:rFonts w:ascii="Arial" w:hAnsi="Arial" w:cs="Arial"/>
          <w:sz w:val="16"/>
          <w:szCs w:val="24"/>
          <w:lang w:eastAsia="de-DE"/>
        </w:rPr>
      </w:pPr>
    </w:p>
    <w:p w:rsidR="00FF3208" w:rsidRPr="007A4339"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7A4339">
        <w:rPr>
          <w:rFonts w:ascii="Arial" w:hAnsi="Arial"/>
          <w:noProof/>
          <w:snapToGrid w:val="0"/>
          <w:sz w:val="16"/>
          <w:szCs w:val="24"/>
        </w:rPr>
        <w:t>GEMEINSAME EXPERTENTAGUNG FÜR DIE DEM</w:t>
      </w:r>
    </w:p>
    <w:p w:rsidR="00FF3208" w:rsidRPr="007A4339"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7A4339">
        <w:rPr>
          <w:rFonts w:ascii="Arial" w:hAnsi="Arial"/>
          <w:noProof/>
          <w:snapToGrid w:val="0"/>
          <w:sz w:val="16"/>
          <w:szCs w:val="24"/>
        </w:rPr>
        <w:t>ÜBEREINKOMMEN ÜBER DIE INTERNATIONALE BEFÖRDERUNG</w:t>
      </w:r>
    </w:p>
    <w:p w:rsidR="00FF3208" w:rsidRPr="007A4339"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7A4339">
        <w:rPr>
          <w:rFonts w:ascii="Arial" w:hAnsi="Arial"/>
          <w:noProof/>
          <w:snapToGrid w:val="0"/>
          <w:sz w:val="16"/>
          <w:szCs w:val="24"/>
        </w:rPr>
        <w:t>VON GEFÄHRLICHEN GÜTERN AUF BINNENWASSERSTRASSEN</w:t>
      </w:r>
    </w:p>
    <w:p w:rsidR="00FF3208" w:rsidRPr="007A4339"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7A4339">
        <w:rPr>
          <w:rFonts w:ascii="Arial" w:hAnsi="Arial"/>
          <w:noProof/>
          <w:snapToGrid w:val="0"/>
          <w:sz w:val="16"/>
          <w:szCs w:val="24"/>
        </w:rPr>
        <w:t>BEIGEFÜGTE VERORDNUNG (ADN)</w:t>
      </w:r>
    </w:p>
    <w:p w:rsidR="00FF3208" w:rsidRPr="007A4339" w:rsidRDefault="00FF3208" w:rsidP="00FF3208">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7A4339">
        <w:rPr>
          <w:rFonts w:ascii="Arial" w:hAnsi="Arial"/>
          <w:noProof/>
          <w:snapToGrid w:val="0"/>
          <w:sz w:val="16"/>
          <w:szCs w:val="24"/>
        </w:rPr>
        <w:t>(SICHERHEITSAUSSCHUSS)</w:t>
      </w:r>
    </w:p>
    <w:p w:rsidR="00FF3208" w:rsidRPr="007A4339" w:rsidRDefault="00FF4A54" w:rsidP="00FF3208">
      <w:pPr>
        <w:widowControl/>
        <w:tabs>
          <w:tab w:val="left" w:pos="2977"/>
        </w:tabs>
        <w:overflowPunct/>
        <w:autoSpaceDE/>
        <w:autoSpaceDN/>
        <w:adjustRightInd/>
        <w:ind w:left="3960" w:firstLine="0"/>
        <w:jc w:val="left"/>
        <w:textAlignment w:val="auto"/>
        <w:rPr>
          <w:rFonts w:ascii="Arial" w:hAnsi="Arial"/>
          <w:snapToGrid w:val="0"/>
          <w:sz w:val="16"/>
          <w:szCs w:val="24"/>
        </w:rPr>
      </w:pPr>
      <w:r>
        <w:rPr>
          <w:rFonts w:ascii="Arial" w:hAnsi="Arial"/>
          <w:snapToGrid w:val="0"/>
          <w:sz w:val="16"/>
          <w:szCs w:val="24"/>
        </w:rPr>
        <w:t>(34</w:t>
      </w:r>
      <w:r w:rsidR="00FF3208" w:rsidRPr="007A4339">
        <w:rPr>
          <w:rFonts w:ascii="Arial" w:hAnsi="Arial"/>
          <w:snapToGrid w:val="0"/>
          <w:sz w:val="16"/>
          <w:szCs w:val="24"/>
        </w:rPr>
        <w:t xml:space="preserve">. Tagung, Genf, </w:t>
      </w:r>
      <w:r>
        <w:rPr>
          <w:rFonts w:ascii="Arial" w:hAnsi="Arial"/>
          <w:snapToGrid w:val="0"/>
          <w:sz w:val="16"/>
          <w:szCs w:val="24"/>
        </w:rPr>
        <w:t>21</w:t>
      </w:r>
      <w:r w:rsidR="00FF3208" w:rsidRPr="007A4339">
        <w:rPr>
          <w:rFonts w:ascii="Arial" w:hAnsi="Arial"/>
          <w:snapToGrid w:val="0"/>
          <w:sz w:val="16"/>
          <w:szCs w:val="24"/>
        </w:rPr>
        <w:t xml:space="preserve">. bis </w:t>
      </w:r>
      <w:r>
        <w:rPr>
          <w:rFonts w:ascii="Arial" w:hAnsi="Arial"/>
          <w:snapToGrid w:val="0"/>
          <w:sz w:val="16"/>
          <w:szCs w:val="24"/>
        </w:rPr>
        <w:t>25. Januar 2019</w:t>
      </w:r>
      <w:r w:rsidR="00FF3208" w:rsidRPr="007A4339">
        <w:rPr>
          <w:rFonts w:ascii="Arial" w:hAnsi="Arial"/>
          <w:snapToGrid w:val="0"/>
          <w:sz w:val="16"/>
          <w:szCs w:val="24"/>
        </w:rPr>
        <w:t>)</w:t>
      </w:r>
    </w:p>
    <w:p w:rsidR="00FF3208" w:rsidRPr="007A4339" w:rsidRDefault="00FF3208" w:rsidP="00FF3208">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7A4339">
        <w:rPr>
          <w:rFonts w:ascii="Arial" w:hAnsi="Arial" w:cs="Arial"/>
          <w:sz w:val="16"/>
          <w:szCs w:val="16"/>
          <w:lang w:eastAsia="en-US"/>
        </w:rPr>
        <w:t xml:space="preserve">Punkt </w:t>
      </w:r>
      <w:r w:rsidR="00AE1F7E">
        <w:rPr>
          <w:rFonts w:ascii="Arial" w:hAnsi="Arial" w:cs="Arial"/>
          <w:sz w:val="16"/>
          <w:szCs w:val="16"/>
          <w:lang w:eastAsia="en-US"/>
        </w:rPr>
        <w:t>5</w:t>
      </w:r>
      <w:r w:rsidRPr="007A4339">
        <w:rPr>
          <w:rFonts w:ascii="Arial" w:hAnsi="Arial" w:cs="Arial"/>
          <w:sz w:val="16"/>
          <w:szCs w:val="16"/>
          <w:lang w:eastAsia="en-US"/>
        </w:rPr>
        <w:t xml:space="preserve">) </w:t>
      </w:r>
      <w:r w:rsidR="00FF4A54">
        <w:rPr>
          <w:rFonts w:ascii="Arial" w:hAnsi="Arial" w:cs="Arial"/>
          <w:sz w:val="16"/>
          <w:szCs w:val="16"/>
          <w:lang w:eastAsia="en-US"/>
        </w:rPr>
        <w:t xml:space="preserve">b) </w:t>
      </w:r>
      <w:r w:rsidRPr="007A4339">
        <w:rPr>
          <w:rFonts w:ascii="Arial" w:hAnsi="Arial" w:cs="Arial"/>
          <w:sz w:val="16"/>
          <w:szCs w:val="16"/>
          <w:lang w:eastAsia="en-US"/>
        </w:rPr>
        <w:t>zur vorläufigen Tagesordnung</w:t>
      </w:r>
    </w:p>
    <w:p w:rsidR="000D3DA4" w:rsidRPr="007A4339" w:rsidRDefault="00FF4A54" w:rsidP="00FF3208">
      <w:pPr>
        <w:widowControl/>
        <w:tabs>
          <w:tab w:val="left" w:pos="2977"/>
        </w:tabs>
        <w:overflowPunct/>
        <w:autoSpaceDE/>
        <w:autoSpaceDN/>
        <w:adjustRightInd/>
        <w:ind w:left="3960" w:firstLine="0"/>
        <w:jc w:val="left"/>
        <w:textAlignment w:val="auto"/>
        <w:rPr>
          <w:rFonts w:ascii="Arial" w:hAnsi="Arial" w:cs="Arial"/>
          <w:b/>
          <w:sz w:val="16"/>
          <w:szCs w:val="16"/>
          <w:lang w:eastAsia="en-US"/>
        </w:rPr>
      </w:pPr>
      <w:r w:rsidRPr="00FF4A54">
        <w:rPr>
          <w:rFonts w:ascii="Arial" w:hAnsi="Arial" w:cs="Arial"/>
          <w:b/>
          <w:sz w:val="16"/>
          <w:szCs w:val="16"/>
          <w:lang w:eastAsia="en-US"/>
        </w:rPr>
        <w:t>Vorschläge für Änderungen der dem ADN beigefügten Verordnung</w:t>
      </w:r>
      <w:r w:rsidR="000D3DA4" w:rsidRPr="007A4339">
        <w:rPr>
          <w:rFonts w:ascii="Arial" w:hAnsi="Arial" w:cs="Arial"/>
          <w:b/>
          <w:sz w:val="16"/>
          <w:szCs w:val="16"/>
          <w:lang w:eastAsia="en-US"/>
        </w:rPr>
        <w:t>:</w:t>
      </w:r>
      <w:r w:rsidR="00F025DE">
        <w:rPr>
          <w:rFonts w:ascii="Arial" w:hAnsi="Arial" w:cs="Arial"/>
          <w:b/>
          <w:sz w:val="16"/>
          <w:szCs w:val="16"/>
          <w:lang w:eastAsia="en-US"/>
        </w:rPr>
        <w:t xml:space="preserve"> </w:t>
      </w:r>
      <w:r w:rsidRPr="00FF4A54">
        <w:rPr>
          <w:rFonts w:ascii="Arial" w:hAnsi="Arial" w:cs="Arial"/>
          <w:b/>
          <w:sz w:val="16"/>
          <w:szCs w:val="16"/>
          <w:lang w:eastAsia="en-US"/>
        </w:rPr>
        <w:t>Weitere Vorschläge</w:t>
      </w:r>
    </w:p>
    <w:p w:rsidR="00EF1E8C" w:rsidRPr="00EF1E8C" w:rsidRDefault="00EF1E8C" w:rsidP="00EF1E8C">
      <w:pPr>
        <w:pStyle w:val="HChG"/>
        <w:rPr>
          <w:lang w:val="de-DE"/>
        </w:rPr>
      </w:pPr>
      <w:r w:rsidRPr="00EA381F">
        <w:rPr>
          <w:lang w:val="de-DE"/>
        </w:rPr>
        <w:tab/>
      </w:r>
      <w:r w:rsidRPr="00EA381F">
        <w:rPr>
          <w:lang w:val="de-DE"/>
        </w:rPr>
        <w:tab/>
      </w:r>
      <w:r w:rsidRPr="00EF1E8C">
        <w:rPr>
          <w:lang w:val="de-DE"/>
        </w:rPr>
        <w:t>Implementierung des modifizierten Explosionsschutzkonzeptes auf Binnenschiffen - Auslegungsfragen</w:t>
      </w:r>
    </w:p>
    <w:p w:rsidR="00EF1E8C" w:rsidRPr="00EF1E8C" w:rsidRDefault="00EF1E8C" w:rsidP="00EF1E8C">
      <w:pPr>
        <w:pStyle w:val="H1G"/>
        <w:rPr>
          <w:b w:val="0"/>
          <w:bCs/>
          <w:sz w:val="20"/>
          <w:lang w:val="de-DE"/>
        </w:rPr>
      </w:pPr>
      <w:r w:rsidRPr="00EF1E8C">
        <w:rPr>
          <w:lang w:val="de-DE"/>
        </w:rPr>
        <w:tab/>
      </w:r>
      <w:r w:rsidRPr="00EF1E8C">
        <w:rPr>
          <w:lang w:val="de-DE"/>
        </w:rPr>
        <w:tab/>
        <w:t>Vorgelegt von Deutschland</w:t>
      </w:r>
      <w:proofErr w:type="gramStart"/>
      <w:r w:rsidRPr="00EF1E8C">
        <w:rPr>
          <w:b w:val="0"/>
          <w:bCs/>
          <w:sz w:val="20"/>
          <w:lang w:val="de-DE"/>
        </w:rPr>
        <w:footnoteReference w:customMarkFollows="1" w:id="1"/>
        <w:t>*,</w:t>
      </w:r>
      <w:r w:rsidRPr="00EF1E8C">
        <w:rPr>
          <w:b w:val="0"/>
          <w:bCs/>
          <w:sz w:val="20"/>
          <w:lang w:val="de-DE"/>
        </w:rPr>
        <w:footnoteReference w:customMarkFollows="1" w:id="2"/>
        <w:t>*</w:t>
      </w:r>
      <w:proofErr w:type="gramEnd"/>
      <w:r w:rsidRPr="00EF1E8C">
        <w:rPr>
          <w:b w:val="0"/>
          <w:bCs/>
          <w:sz w:val="20"/>
          <w:lang w:val="de-DE"/>
        </w:rPr>
        <w:t>*</w:t>
      </w:r>
    </w:p>
    <w:p w:rsidR="00EF1E8C" w:rsidRPr="00EF1E8C" w:rsidRDefault="00EF1E8C" w:rsidP="00EF1E8C">
      <w:pPr>
        <w:pStyle w:val="HChG"/>
        <w:rPr>
          <w:lang w:val="de-DE"/>
        </w:rPr>
      </w:pPr>
      <w:r w:rsidRPr="00EF1E8C">
        <w:rPr>
          <w:lang w:val="de-DE"/>
        </w:rPr>
        <w:tab/>
        <w:t>I.</w:t>
      </w:r>
      <w:r w:rsidRPr="00EF1E8C">
        <w:rPr>
          <w:lang w:val="de-DE"/>
        </w:rPr>
        <w:tab/>
        <w:t>Einführung</w:t>
      </w:r>
    </w:p>
    <w:p w:rsidR="00EF1E8C" w:rsidRPr="00EF1E8C" w:rsidRDefault="00EF1E8C" w:rsidP="00EF1E8C">
      <w:pPr>
        <w:pStyle w:val="SingleTxtG"/>
        <w:rPr>
          <w:lang w:val="de-DE"/>
        </w:rPr>
      </w:pPr>
      <w:r w:rsidRPr="00EF1E8C">
        <w:rPr>
          <w:i/>
          <w:iCs/>
          <w:lang w:val="de-DE"/>
        </w:rPr>
        <w:t>Verbundenes Dokument:</w:t>
      </w:r>
      <w:r w:rsidRPr="00EF1E8C">
        <w:rPr>
          <w:lang w:val="de-DE"/>
        </w:rPr>
        <w:t xml:space="preserve"> ECE/ADN/45</w:t>
      </w:r>
    </w:p>
    <w:p w:rsidR="00EF1E8C" w:rsidRPr="00EF1E8C" w:rsidRDefault="00EF1E8C" w:rsidP="009F29BF">
      <w:pPr>
        <w:pStyle w:val="SingleTxtG"/>
        <w:tabs>
          <w:tab w:val="left" w:pos="1701"/>
        </w:tabs>
        <w:rPr>
          <w:lang w:val="de-DE"/>
        </w:rPr>
      </w:pPr>
      <w:r w:rsidRPr="00EF1E8C">
        <w:rPr>
          <w:lang w:val="de-DE"/>
        </w:rPr>
        <w:t>1.</w:t>
      </w:r>
      <w:r w:rsidRPr="00EF1E8C">
        <w:rPr>
          <w:lang w:val="de-DE"/>
        </w:rPr>
        <w:tab/>
        <w:t xml:space="preserve">Die deutsche Delegation möchte im Benehmen mit dem früheren Vorsitz der informellen Arbeitsgruppe „Explosionsschutz auf Binnentankschiffen“ dem Sicherheitsausschuss vorschlagen, zu einigen für das ADN 2019 beschlossenen und den Explosionsschutz betreffenden Bestimmungen über die Auslegung zu beraten, weil der Wortlaut der aktuellen Vorschriften missverständlich sein könnte. </w:t>
      </w:r>
    </w:p>
    <w:p w:rsidR="00EF1E8C" w:rsidRPr="00EF1E8C" w:rsidRDefault="00EF1E8C" w:rsidP="009F29BF">
      <w:pPr>
        <w:pStyle w:val="HChG"/>
        <w:tabs>
          <w:tab w:val="left" w:pos="1701"/>
        </w:tabs>
        <w:rPr>
          <w:lang w:val="de-DE"/>
        </w:rPr>
      </w:pPr>
      <w:r w:rsidRPr="00EF1E8C">
        <w:rPr>
          <w:lang w:val="de-DE"/>
        </w:rPr>
        <w:tab/>
        <w:t>II.</w:t>
      </w:r>
      <w:r w:rsidRPr="00EF1E8C">
        <w:rPr>
          <w:lang w:val="de-DE"/>
        </w:rPr>
        <w:tab/>
        <w:t>Diskussion</w:t>
      </w:r>
    </w:p>
    <w:p w:rsidR="00EF1E8C" w:rsidRPr="00EF1E8C" w:rsidRDefault="00EF1E8C" w:rsidP="009F29BF">
      <w:pPr>
        <w:pStyle w:val="H1G"/>
        <w:tabs>
          <w:tab w:val="left" w:pos="1701"/>
        </w:tabs>
        <w:rPr>
          <w:lang w:val="de-DE"/>
        </w:rPr>
      </w:pPr>
      <w:r w:rsidRPr="00EF1E8C">
        <w:rPr>
          <w:lang w:val="de-DE"/>
        </w:rPr>
        <w:tab/>
        <w:t xml:space="preserve">A. </w:t>
      </w:r>
      <w:r w:rsidRPr="00EF1E8C">
        <w:rPr>
          <w:lang w:val="de-DE"/>
        </w:rPr>
        <w:tab/>
        <w:t>Begriffsbestimmungen Abschnitt 1.2.1</w:t>
      </w:r>
    </w:p>
    <w:p w:rsidR="00EF1E8C" w:rsidRPr="00EF1E8C" w:rsidRDefault="00EF1E8C" w:rsidP="009F29BF">
      <w:pPr>
        <w:pStyle w:val="SingleTxtG"/>
        <w:tabs>
          <w:tab w:val="left" w:pos="1701"/>
        </w:tabs>
        <w:rPr>
          <w:lang w:val="de-DE"/>
        </w:rPr>
      </w:pPr>
      <w:r w:rsidRPr="00EF1E8C">
        <w:rPr>
          <w:i/>
          <w:iCs/>
          <w:lang w:val="de-DE"/>
        </w:rPr>
        <w:t xml:space="preserve">Verbundene Begriffsbestimmungen: </w:t>
      </w:r>
      <w:r w:rsidRPr="00EF1E8C">
        <w:rPr>
          <w:lang w:val="de-DE"/>
        </w:rPr>
        <w:t>„Anlagen und Geräte“ und „Elektrische Einrichtungen vom Typ „begrenzte Explosionsgefahr““</w:t>
      </w:r>
    </w:p>
    <w:p w:rsidR="00EF1E8C" w:rsidRPr="001A6CA8" w:rsidRDefault="00EF1E8C" w:rsidP="009F29BF">
      <w:pPr>
        <w:pStyle w:val="H23G"/>
        <w:tabs>
          <w:tab w:val="left" w:pos="1701"/>
        </w:tabs>
        <w:rPr>
          <w:rFonts w:eastAsia="SimSun"/>
        </w:rPr>
      </w:pPr>
      <w:r>
        <w:tab/>
        <w:t>1.</w:t>
      </w:r>
      <w:r>
        <w:tab/>
        <w:t xml:space="preserve">„Anlagen und Geräte“ </w:t>
      </w:r>
    </w:p>
    <w:p w:rsidR="00EF1E8C" w:rsidRPr="00EF1E8C" w:rsidRDefault="00EF1E8C" w:rsidP="009F29BF">
      <w:pPr>
        <w:pStyle w:val="SingleTxtG"/>
        <w:tabs>
          <w:tab w:val="left" w:pos="1701"/>
        </w:tabs>
        <w:rPr>
          <w:lang w:val="de-DE"/>
        </w:rPr>
      </w:pPr>
      <w:r w:rsidRPr="00EF1E8C">
        <w:rPr>
          <w:lang w:val="de-DE"/>
        </w:rPr>
        <w:t>2.</w:t>
      </w:r>
      <w:r w:rsidRPr="00EF1E8C">
        <w:rPr>
          <w:lang w:val="de-DE"/>
        </w:rPr>
        <w:tab/>
        <w:t>In den meisten der neuen Vorschriften zum Explosionsschutz wird das Begriffspaar „Anlagen und Geräte“ verwendet. Während für „Geräte“ eine neue Begriffsbestimmung in das ADN 2019 aufgenommen wurde, fehlt eine solche Begriffsbestimmung für „Anlagen“.</w:t>
      </w:r>
    </w:p>
    <w:p w:rsidR="00EF1E8C" w:rsidRPr="00EF1E8C" w:rsidRDefault="00EF1E8C" w:rsidP="009F29BF">
      <w:pPr>
        <w:pStyle w:val="SingleTxtG"/>
        <w:tabs>
          <w:tab w:val="left" w:pos="1701"/>
        </w:tabs>
        <w:rPr>
          <w:lang w:val="de-DE"/>
        </w:rPr>
      </w:pPr>
      <w:r w:rsidRPr="00EF1E8C">
        <w:rPr>
          <w:lang w:val="de-DE"/>
        </w:rPr>
        <w:t>3.</w:t>
      </w:r>
      <w:r w:rsidRPr="00EF1E8C">
        <w:rPr>
          <w:lang w:val="de-DE"/>
        </w:rPr>
        <w:tab/>
        <w:t>Die deutsche Delegation schlägt vor, den Begriff „Anlagen“ wie folgt zu bestimmen: „Anlagen werden durch den Zusammenschluss von Geräten gebildet.“ Das entspricht den in Deutschland gebräuchlichen technischen Regelwerken zur Elektrotechnik und zur Verhütung von Arbeitsunfällen.</w:t>
      </w:r>
    </w:p>
    <w:p w:rsidR="00EF1E8C" w:rsidRDefault="00EF1E8C">
      <w:pPr>
        <w:widowControl/>
        <w:overflowPunct/>
        <w:autoSpaceDE/>
        <w:autoSpaceDN/>
        <w:adjustRightInd/>
        <w:ind w:left="0" w:firstLine="0"/>
        <w:jc w:val="left"/>
        <w:textAlignment w:val="auto"/>
        <w:rPr>
          <w:b/>
          <w:bCs/>
          <w:i/>
          <w:lang w:eastAsia="en-US"/>
        </w:rPr>
      </w:pPr>
      <w:r>
        <w:rPr>
          <w:b/>
          <w:bCs/>
          <w:i/>
        </w:rPr>
        <w:br w:type="page"/>
      </w:r>
    </w:p>
    <w:p w:rsidR="009F29BF" w:rsidRPr="00362967" w:rsidRDefault="009F29BF" w:rsidP="009F29BF">
      <w:pPr>
        <w:pStyle w:val="H4G"/>
        <w:rPr>
          <w:b/>
          <w:bCs/>
        </w:rPr>
      </w:pPr>
      <w:r>
        <w:rPr>
          <w:b/>
          <w:bCs/>
        </w:rPr>
        <w:lastRenderedPageBreak/>
        <w:tab/>
      </w:r>
      <w:r>
        <w:rPr>
          <w:b/>
          <w:bCs/>
        </w:rPr>
        <w:tab/>
        <w:t>Änderungsvorschlag</w:t>
      </w:r>
    </w:p>
    <w:p w:rsidR="00EF1E8C" w:rsidRPr="00EF1E8C" w:rsidRDefault="00EF1E8C" w:rsidP="00EF1E8C">
      <w:pPr>
        <w:pStyle w:val="SingleTxtG"/>
        <w:rPr>
          <w:lang w:val="de-DE"/>
        </w:rPr>
      </w:pPr>
      <w:r w:rsidRPr="00EF1E8C">
        <w:rPr>
          <w:lang w:val="de-DE"/>
        </w:rPr>
        <w:t xml:space="preserve">1.2.1 </w:t>
      </w:r>
      <w:r w:rsidRPr="00EF1E8C">
        <w:rPr>
          <w:lang w:val="de-DE"/>
        </w:rPr>
        <w:tab/>
        <w:t>Folgende neue Definition einfügen:</w:t>
      </w:r>
    </w:p>
    <w:p w:rsidR="00EF1E8C" w:rsidRPr="00EF1E8C" w:rsidRDefault="00EF1E8C" w:rsidP="00EF1E8C">
      <w:pPr>
        <w:pStyle w:val="SingleTxtG"/>
        <w:rPr>
          <w:bCs/>
          <w:lang w:val="de-DE"/>
        </w:rPr>
      </w:pPr>
      <w:r w:rsidRPr="00EF1E8C">
        <w:rPr>
          <w:lang w:val="de-DE"/>
        </w:rPr>
        <w:t>„</w:t>
      </w:r>
      <w:r w:rsidRPr="00EF1E8C">
        <w:rPr>
          <w:b/>
          <w:i/>
          <w:lang w:val="de-DE"/>
        </w:rPr>
        <w:t>Anlagen (elektrische oder nicht-elektrische)</w:t>
      </w:r>
      <w:r w:rsidRPr="00EF1E8C">
        <w:rPr>
          <w:lang w:val="de-DE"/>
        </w:rPr>
        <w:t>: Ein Zusammenschluss von Geräten (siehe Begriffsbestimmung „Gerät“).“</w:t>
      </w:r>
    </w:p>
    <w:p w:rsidR="00EF1E8C" w:rsidRPr="00362967" w:rsidRDefault="00EF1E8C" w:rsidP="00EF1E8C">
      <w:pPr>
        <w:pStyle w:val="H23G"/>
      </w:pPr>
      <w:r>
        <w:tab/>
        <w:t>2.</w:t>
      </w:r>
      <w:r>
        <w:tab/>
        <w:t>„Elektrische Einrichtungen vom Typ „begrenzte Explosionsgefahr““</w:t>
      </w:r>
    </w:p>
    <w:p w:rsidR="00EF1E8C" w:rsidRPr="00EF1E8C" w:rsidRDefault="00EF1E8C" w:rsidP="009F29BF">
      <w:pPr>
        <w:pStyle w:val="SingleTxtG"/>
        <w:tabs>
          <w:tab w:val="left" w:pos="1701"/>
        </w:tabs>
        <w:rPr>
          <w:lang w:val="de-DE"/>
        </w:rPr>
      </w:pPr>
      <w:r w:rsidRPr="00EF1E8C">
        <w:rPr>
          <w:lang w:val="de-DE"/>
        </w:rPr>
        <w:t>4.</w:t>
      </w:r>
      <w:r w:rsidRPr="00EF1E8C">
        <w:rPr>
          <w:lang w:val="de-DE"/>
        </w:rPr>
        <w:tab/>
        <w:t>Die Begriffsbestimmung „Elektrische Einrichtungen vom Typ „begrenzte Explosionsgefahr“ wurde geändert. Dieser Begriff wurde bis zum ADN 2017 in folgenden Absätzen verwendet: 9.1.0.52, 9.3.x.52.</w:t>
      </w:r>
    </w:p>
    <w:p w:rsidR="00EF1E8C" w:rsidRPr="00EF1E8C" w:rsidRDefault="00EF1E8C" w:rsidP="009F29BF">
      <w:pPr>
        <w:pStyle w:val="SingleTxtG"/>
        <w:tabs>
          <w:tab w:val="left" w:pos="1701"/>
        </w:tabs>
        <w:rPr>
          <w:lang w:val="de-DE"/>
        </w:rPr>
      </w:pPr>
      <w:r w:rsidRPr="00EF1E8C">
        <w:rPr>
          <w:lang w:val="de-DE"/>
        </w:rPr>
        <w:t>5.</w:t>
      </w:r>
      <w:r w:rsidRPr="00EF1E8C">
        <w:rPr>
          <w:lang w:val="de-DE"/>
        </w:rPr>
        <w:tab/>
        <w:t>Für das ADN 2019 wurde dort aber „Elektrische Einrichtung“ in „Elektrische Anlagen und Geräte“ geändert.</w:t>
      </w:r>
    </w:p>
    <w:p w:rsidR="00EF1E8C" w:rsidRPr="00EF1E8C" w:rsidRDefault="00EF1E8C" w:rsidP="009F29BF">
      <w:pPr>
        <w:pStyle w:val="SingleTxtG"/>
        <w:tabs>
          <w:tab w:val="left" w:pos="1701"/>
        </w:tabs>
        <w:rPr>
          <w:lang w:val="de-DE"/>
        </w:rPr>
      </w:pPr>
      <w:r w:rsidRPr="00EF1E8C">
        <w:rPr>
          <w:lang w:val="de-DE"/>
        </w:rPr>
        <w:t>6.</w:t>
      </w:r>
      <w:r w:rsidRPr="00EF1E8C">
        <w:rPr>
          <w:lang w:val="de-DE"/>
        </w:rPr>
        <w:tab/>
        <w:t>Die deutsche Delegation schlägt vor, die Begriffsbestimmung „Elektrische Einrichtungen vom Typ „begrenzte Explosionsgefahr“ als Begriffsbestimmung für „Elektrische Anlagen und Geräte vom Typ „begrenzte Explosionsgefahr“ zu lesen. Für das ADN 2021 sollte eine entsprechende Änderung vorgenommen werden.</w:t>
      </w:r>
    </w:p>
    <w:p w:rsidR="00EF1E8C" w:rsidRPr="00362967" w:rsidRDefault="00EF1E8C" w:rsidP="00EF1E8C">
      <w:pPr>
        <w:pStyle w:val="H4G"/>
        <w:rPr>
          <w:b/>
          <w:bCs/>
        </w:rPr>
      </w:pPr>
      <w:r>
        <w:rPr>
          <w:b/>
          <w:bCs/>
        </w:rPr>
        <w:tab/>
      </w:r>
      <w:r>
        <w:rPr>
          <w:b/>
          <w:bCs/>
        </w:rPr>
        <w:tab/>
        <w:t>Änderungsvorschlag</w:t>
      </w:r>
    </w:p>
    <w:p w:rsidR="00EF1E8C" w:rsidRPr="00EF1E8C" w:rsidRDefault="00EF1E8C" w:rsidP="00EF1E8C">
      <w:pPr>
        <w:pStyle w:val="SingleTxtG"/>
        <w:rPr>
          <w:lang w:val="de-DE"/>
        </w:rPr>
      </w:pPr>
      <w:r w:rsidRPr="00EF1E8C">
        <w:rPr>
          <w:lang w:val="de-DE"/>
        </w:rPr>
        <w:t>1.2.1</w:t>
      </w:r>
      <w:r w:rsidRPr="00EF1E8C">
        <w:rPr>
          <w:lang w:val="de-DE"/>
        </w:rPr>
        <w:tab/>
        <w:t>In der Begriffsbestimmung für „Elektrische Einrichtung vom Typ „begrenzte Explosionsgefahr““ den Begriff „Elektrische Einrichtung“ ersetzen durch „Elektrische Anlagen und Geräte“.</w:t>
      </w:r>
    </w:p>
    <w:p w:rsidR="00EF1E8C" w:rsidRPr="00EF1E8C" w:rsidRDefault="00EF1E8C" w:rsidP="00EF1E8C">
      <w:pPr>
        <w:pStyle w:val="H1G"/>
        <w:rPr>
          <w:lang w:val="de-DE"/>
        </w:rPr>
      </w:pPr>
      <w:r w:rsidRPr="00EF1E8C">
        <w:rPr>
          <w:lang w:val="de-DE"/>
        </w:rPr>
        <w:tab/>
        <w:t>B.</w:t>
      </w:r>
      <w:r w:rsidRPr="00EF1E8C">
        <w:rPr>
          <w:lang w:val="de-DE"/>
        </w:rPr>
        <w:tab/>
        <w:t xml:space="preserve">Übergangsvorschriften zu 1.2.1 in Absatz 1.6.7.2.2.2 </w:t>
      </w:r>
    </w:p>
    <w:p w:rsidR="00EF1E8C" w:rsidRPr="00EF1E8C" w:rsidRDefault="00EF1E8C" w:rsidP="00EF1E8C">
      <w:pPr>
        <w:pStyle w:val="SingleTxtG"/>
        <w:rPr>
          <w:lang w:val="de-DE"/>
        </w:rPr>
      </w:pPr>
      <w:r w:rsidRPr="00EF1E8C">
        <w:rPr>
          <w:i/>
          <w:iCs/>
          <w:lang w:val="de-DE"/>
        </w:rPr>
        <w:t xml:space="preserve">Verbundene Übergangsvorschriften: </w:t>
      </w:r>
      <w:r w:rsidRPr="00EF1E8C">
        <w:rPr>
          <w:lang w:val="de-DE"/>
        </w:rPr>
        <w:t>„Probeentnahmeöffnung“ und „Hochgeschwindigkeitsventil“</w:t>
      </w:r>
    </w:p>
    <w:p w:rsidR="00EF1E8C" w:rsidRPr="00EF1E8C" w:rsidRDefault="00EF1E8C" w:rsidP="00F054E5">
      <w:pPr>
        <w:pStyle w:val="SingleTxtG"/>
        <w:tabs>
          <w:tab w:val="left" w:pos="1701"/>
        </w:tabs>
        <w:rPr>
          <w:lang w:val="de-DE"/>
        </w:rPr>
      </w:pPr>
      <w:r w:rsidRPr="00EF1E8C">
        <w:rPr>
          <w:lang w:val="de-DE"/>
        </w:rPr>
        <w:t>7.</w:t>
      </w:r>
      <w:r w:rsidRPr="00EF1E8C">
        <w:rPr>
          <w:lang w:val="de-DE"/>
        </w:rPr>
        <w:tab/>
        <w:t>In den Begriffsbestimmungen wird jeweils nur die Norm „ISO 16852:2016“ zitiert. Deshalb ist in der jeweiligen Übergangsvorschrift die Bezugnahme auf „bzw. EN ISO 16852:2016“ unzutreffend.</w:t>
      </w:r>
    </w:p>
    <w:p w:rsidR="00EF1E8C" w:rsidRPr="00362967" w:rsidRDefault="00EF1E8C" w:rsidP="00F054E5">
      <w:pPr>
        <w:pStyle w:val="H4G"/>
        <w:tabs>
          <w:tab w:val="left" w:pos="1701"/>
        </w:tabs>
        <w:rPr>
          <w:b/>
          <w:bCs/>
        </w:rPr>
      </w:pPr>
      <w:r>
        <w:rPr>
          <w:b/>
          <w:bCs/>
        </w:rPr>
        <w:tab/>
      </w:r>
      <w:r>
        <w:rPr>
          <w:b/>
          <w:bCs/>
        </w:rPr>
        <w:tab/>
        <w:t>Änderungsvorschläge</w:t>
      </w:r>
    </w:p>
    <w:p w:rsidR="00EF1E8C" w:rsidRPr="00EF1E8C" w:rsidRDefault="00EF1E8C" w:rsidP="00F054E5">
      <w:pPr>
        <w:pStyle w:val="SingleTxtG"/>
        <w:tabs>
          <w:tab w:val="left" w:pos="1701"/>
        </w:tabs>
        <w:rPr>
          <w:lang w:val="de-DE"/>
        </w:rPr>
      </w:pPr>
      <w:r w:rsidRPr="00EF1E8C">
        <w:rPr>
          <w:lang w:val="de-DE"/>
        </w:rPr>
        <w:t>1.6.7.2.2.2</w:t>
      </w:r>
      <w:r w:rsidRPr="00EF1E8C">
        <w:rPr>
          <w:lang w:val="de-DE"/>
        </w:rPr>
        <w:tab/>
        <w:t>In der Übergangsvorschrift zu 1.2.1 „Probeentnahmeöffnung, Deflagrationssicherheit“ „bzw. EN ISO 16852:2016“ streichen.</w:t>
      </w:r>
    </w:p>
    <w:p w:rsidR="00EF1E8C" w:rsidRPr="00EF1E8C" w:rsidRDefault="00EF1E8C" w:rsidP="00F054E5">
      <w:pPr>
        <w:pStyle w:val="SingleTxtG"/>
        <w:tabs>
          <w:tab w:val="left" w:pos="1701"/>
        </w:tabs>
        <w:rPr>
          <w:lang w:val="de-DE"/>
        </w:rPr>
      </w:pPr>
      <w:r w:rsidRPr="00EF1E8C">
        <w:rPr>
          <w:lang w:val="de-DE"/>
        </w:rPr>
        <w:t>1.6.7.2.2.2</w:t>
      </w:r>
      <w:r w:rsidRPr="00EF1E8C">
        <w:rPr>
          <w:lang w:val="de-DE"/>
        </w:rPr>
        <w:tab/>
        <w:t>In der Übergangsvorschrift zu 1.2.1 „Hochgeschwindigkeitsventil“ „bzw. EN ISO 16852:2016“ streichen.</w:t>
      </w:r>
    </w:p>
    <w:p w:rsidR="00EF1E8C" w:rsidRPr="00EF1E8C" w:rsidRDefault="00EF1E8C" w:rsidP="00F054E5">
      <w:pPr>
        <w:pStyle w:val="H1G"/>
        <w:tabs>
          <w:tab w:val="left" w:pos="1701"/>
        </w:tabs>
        <w:rPr>
          <w:lang w:val="de-DE"/>
        </w:rPr>
      </w:pPr>
      <w:r w:rsidRPr="00EF1E8C">
        <w:rPr>
          <w:lang w:val="de-DE"/>
        </w:rPr>
        <w:tab/>
        <w:t>C.</w:t>
      </w:r>
      <w:r w:rsidRPr="00EF1E8C">
        <w:rPr>
          <w:lang w:val="de-DE"/>
        </w:rPr>
        <w:tab/>
        <w:t>Übergangsvorschrift zu 9.3.1.53.1, 9.3.2.53.1, 9.3.3.53.1 in Absatz 1.6.7.2.2.2</w:t>
      </w:r>
    </w:p>
    <w:p w:rsidR="00EF1E8C" w:rsidRDefault="00EF1E8C" w:rsidP="00F054E5">
      <w:pPr>
        <w:pStyle w:val="SingleTxtG"/>
        <w:tabs>
          <w:tab w:val="left" w:pos="1701"/>
        </w:tabs>
      </w:pPr>
      <w:r w:rsidRPr="00EF1E8C">
        <w:rPr>
          <w:lang w:val="de-DE"/>
        </w:rPr>
        <w:t>8.</w:t>
      </w:r>
      <w:r w:rsidRPr="00EF1E8C">
        <w:rPr>
          <w:lang w:val="de-DE"/>
        </w:rPr>
        <w:tab/>
        <w:t xml:space="preserve">Es gibt zwei Übergangsvorschriften zu den Absätzen 9.3.1.53.1, 9.3.2.53.1 und 9.3.3.53.1. </w:t>
      </w:r>
      <w:r>
        <w:t xml:space="preserve">Die </w:t>
      </w:r>
      <w:proofErr w:type="spellStart"/>
      <w:r>
        <w:t>Spalte</w:t>
      </w:r>
      <w:proofErr w:type="spellEnd"/>
      <w:r>
        <w:t xml:space="preserve"> „</w:t>
      </w:r>
      <w:proofErr w:type="spellStart"/>
      <w:proofErr w:type="gramStart"/>
      <w:r>
        <w:t>Inhalt</w:t>
      </w:r>
      <w:proofErr w:type="spellEnd"/>
      <w:r>
        <w:t>“ hat</w:t>
      </w:r>
      <w:proofErr w:type="gramEnd"/>
      <w:r>
        <w:t xml:space="preserve"> den </w:t>
      </w:r>
      <w:proofErr w:type="spellStart"/>
      <w:r>
        <w:t>folgenden</w:t>
      </w:r>
      <w:proofErr w:type="spellEnd"/>
      <w:r>
        <w:t xml:space="preserve"> </w:t>
      </w:r>
      <w:proofErr w:type="spellStart"/>
      <w:r>
        <w:t>Wortlaut</w:t>
      </w:r>
      <w:proofErr w:type="spellEnd"/>
      <w:r>
        <w:t>:</w:t>
      </w:r>
    </w:p>
    <w:p w:rsidR="00EF1E8C" w:rsidRPr="00694D66" w:rsidRDefault="00EF1E8C" w:rsidP="00F054E5">
      <w:pPr>
        <w:pStyle w:val="Bullet1G"/>
        <w:tabs>
          <w:tab w:val="left" w:pos="1701"/>
        </w:tabs>
      </w:pPr>
      <w:r>
        <w:t>Erste Zeile: „Art und Aufstellungsort der elektrischen Anlagen und Geräte zum Einsatz in explosionsgefährdeten Bereichen Zone 0, Zone 1“</w:t>
      </w:r>
    </w:p>
    <w:p w:rsidR="00EF1E8C" w:rsidRDefault="00EF1E8C" w:rsidP="00F054E5">
      <w:pPr>
        <w:pStyle w:val="Bullet1G"/>
        <w:tabs>
          <w:tab w:val="left" w:pos="1701"/>
        </w:tabs>
      </w:pPr>
      <w:r>
        <w:t>Zweite Zeile: „Art und Aufstellungsort der elektrischen Anlagen und Geräte zum Einsatz in explosionsgefährdeten Bereichen Zone 2“</w:t>
      </w:r>
    </w:p>
    <w:p w:rsidR="00EF1E8C" w:rsidRPr="00EF1E8C" w:rsidRDefault="00EF1E8C" w:rsidP="00F054E5">
      <w:pPr>
        <w:pStyle w:val="SingleTxtG"/>
        <w:tabs>
          <w:tab w:val="left" w:pos="1701"/>
        </w:tabs>
        <w:rPr>
          <w:lang w:val="de-DE"/>
        </w:rPr>
      </w:pPr>
      <w:r w:rsidRPr="00EF1E8C">
        <w:rPr>
          <w:lang w:val="de-DE"/>
        </w:rPr>
        <w:t>9.</w:t>
      </w:r>
      <w:r w:rsidRPr="00EF1E8C">
        <w:rPr>
          <w:lang w:val="de-DE"/>
        </w:rPr>
        <w:tab/>
        <w:t>Es ist nicht erkennbar, auf welchen Satz der gleichlautenden Absätze 9.3.1.53.1, 9.3.2.53.1, 9.3.3.53.1 sich diese Übergangsvorschriften beziehen.</w:t>
      </w:r>
    </w:p>
    <w:p w:rsidR="00EF1E8C" w:rsidRPr="00EF1E8C" w:rsidRDefault="00EF1E8C" w:rsidP="00F054E5">
      <w:pPr>
        <w:pStyle w:val="SingleTxtG"/>
        <w:tabs>
          <w:tab w:val="left" w:pos="1701"/>
        </w:tabs>
        <w:rPr>
          <w:lang w:val="de-DE"/>
        </w:rPr>
      </w:pPr>
      <w:r w:rsidRPr="00EF1E8C">
        <w:rPr>
          <w:lang w:val="de-DE"/>
        </w:rPr>
        <w:t>10.</w:t>
      </w:r>
      <w:r w:rsidRPr="00EF1E8C">
        <w:rPr>
          <w:lang w:val="de-DE"/>
        </w:rPr>
        <w:tab/>
        <w:t>In 9.3.x.53.1 wird weder ein „Aufstellungsort“ angesprochen, noch gibt es eine Aussage, von welcher „Art“ Anlagen und Geräte sein müssen.</w:t>
      </w:r>
    </w:p>
    <w:p w:rsidR="00EF1E8C" w:rsidRPr="00EF1E8C" w:rsidRDefault="00EF1E8C" w:rsidP="00F054E5">
      <w:pPr>
        <w:pStyle w:val="SingleTxtG"/>
        <w:tabs>
          <w:tab w:val="left" w:pos="1701"/>
        </w:tabs>
        <w:rPr>
          <w:lang w:val="de-DE"/>
        </w:rPr>
      </w:pPr>
      <w:r w:rsidRPr="00EF1E8C">
        <w:rPr>
          <w:lang w:val="de-DE"/>
        </w:rPr>
        <w:lastRenderedPageBreak/>
        <w:t>11.</w:t>
      </w:r>
      <w:r w:rsidRPr="00EF1E8C">
        <w:rPr>
          <w:lang w:val="de-DE"/>
        </w:rPr>
        <w:tab/>
        <w:t xml:space="preserve">In dieser neuen Übergangsvorschrift lautet die Vorschrift in Spalte </w:t>
      </w:r>
      <w:r w:rsidR="00F054E5">
        <w:rPr>
          <w:lang w:val="de-DE"/>
        </w:rPr>
        <w:t>(</w:t>
      </w:r>
      <w:r w:rsidRPr="00EF1E8C">
        <w:rPr>
          <w:lang w:val="de-DE"/>
        </w:rPr>
        <w:t>3</w:t>
      </w:r>
      <w:r w:rsidR="00F054E5">
        <w:rPr>
          <w:lang w:val="de-DE"/>
        </w:rPr>
        <w:t>)</w:t>
      </w:r>
      <w:r w:rsidRPr="00EF1E8C">
        <w:rPr>
          <w:lang w:val="de-DE"/>
        </w:rPr>
        <w:t xml:space="preserve"> folgendermaßen: „</w:t>
      </w:r>
      <w:r w:rsidRPr="00EF1E8C">
        <w:rPr>
          <w:i/>
          <w:lang w:val="de-DE"/>
        </w:rPr>
        <w:t>müssen von der zuständigen Behörde hinsichtlich ihrer Betriebssicherheit in explosionsfähiger Atmosphäre geprüft und zugelassen sein</w:t>
      </w:r>
      <w:r w:rsidRPr="00EF1E8C">
        <w:rPr>
          <w:lang w:val="de-DE"/>
        </w:rPr>
        <w:t xml:space="preserve">“. Nach Meinung der deutschen Delegation ist diese Vorschrift wie folgt zu verstehen: </w:t>
      </w:r>
    </w:p>
    <w:p w:rsidR="00EF1E8C" w:rsidRPr="00F054E5" w:rsidRDefault="00F054E5" w:rsidP="00EF1E8C">
      <w:pPr>
        <w:pStyle w:val="SingleTxtG"/>
        <w:ind w:left="1701"/>
        <w:rPr>
          <w:i/>
          <w:iCs/>
          <w:lang w:val="de-DE"/>
        </w:rPr>
      </w:pPr>
      <w:r w:rsidRPr="00F054E5">
        <w:rPr>
          <w:i/>
          <w:iCs/>
          <w:lang w:val="de-DE"/>
        </w:rPr>
        <w:t>„</w:t>
      </w:r>
      <w:r w:rsidR="00EF1E8C" w:rsidRPr="00F054E5">
        <w:rPr>
          <w:i/>
          <w:iCs/>
          <w:lang w:val="de-DE"/>
        </w:rPr>
        <w:t>Die zuständige Behörde soll lediglich feststellen, ob die in einer bestimmten Zone vorzufindenden namentlich genannten ortsfesten Anlagen auch tatsächlich für einen Einsatz in dieser Zone zugelassen und geprüft wurden – in Zone 0 (ADN 2017: vergleichbar Zone 0) Anlagen, die nach ATEX o.ä. für Zone 0 zugelassen sind, in Zone 1 Anlagen, die nach ATEX o.ä. für Zone 1 oder Zone 0 zugelassen sind, usw. Dies könnte die Behörde sein, die das Zulassungszeugnis erteilt.</w:t>
      </w:r>
    </w:p>
    <w:p w:rsidR="00EF1E8C" w:rsidRPr="00F054E5" w:rsidRDefault="00EF1E8C" w:rsidP="00EF1E8C">
      <w:pPr>
        <w:pStyle w:val="SingleTxtG"/>
        <w:ind w:left="1701"/>
        <w:rPr>
          <w:i/>
          <w:iCs/>
          <w:lang w:val="de-DE"/>
        </w:rPr>
      </w:pPr>
      <w:r w:rsidRPr="00F054E5">
        <w:rPr>
          <w:i/>
          <w:iCs/>
          <w:lang w:val="de-DE"/>
        </w:rPr>
        <w:t>Diese Prüfung und Feststellung ist unabhängig von der Erneuerung des Zulassungszeugnisses (die z.B. erst wieder am 25. August 2019 anstehen könnte) einmalig sofort ab dem 1. Januar/1. Juli 2019 erforderlich.</w:t>
      </w:r>
      <w:r w:rsidR="00F054E5" w:rsidRPr="00F054E5">
        <w:rPr>
          <w:i/>
          <w:iCs/>
          <w:lang w:val="de-DE"/>
        </w:rPr>
        <w:t>“</w:t>
      </w:r>
    </w:p>
    <w:p w:rsidR="00EF1E8C" w:rsidRPr="00EF1E8C" w:rsidRDefault="00EF1E8C" w:rsidP="00520DB8">
      <w:pPr>
        <w:pStyle w:val="SingleTxtG"/>
        <w:tabs>
          <w:tab w:val="left" w:pos="1701"/>
        </w:tabs>
        <w:rPr>
          <w:lang w:val="de-DE"/>
        </w:rPr>
      </w:pPr>
      <w:r w:rsidRPr="00EF1E8C">
        <w:rPr>
          <w:lang w:val="de-DE"/>
        </w:rPr>
        <w:t>12.</w:t>
      </w:r>
      <w:r w:rsidRPr="00EF1E8C">
        <w:rPr>
          <w:lang w:val="de-DE"/>
        </w:rPr>
        <w:tab/>
        <w:t xml:space="preserve">Der zweite Absatz in Spalte </w:t>
      </w:r>
      <w:r w:rsidR="00F054E5">
        <w:rPr>
          <w:lang w:val="de-DE"/>
        </w:rPr>
        <w:t>(</w:t>
      </w:r>
      <w:r w:rsidRPr="00EF1E8C">
        <w:rPr>
          <w:lang w:val="de-DE"/>
        </w:rPr>
        <w:t>3</w:t>
      </w:r>
      <w:r w:rsidR="00F054E5">
        <w:rPr>
          <w:lang w:val="de-DE"/>
        </w:rPr>
        <w:t>)</w:t>
      </w:r>
      <w:r w:rsidRPr="00EF1E8C">
        <w:rPr>
          <w:lang w:val="de-DE"/>
        </w:rPr>
        <w:t xml:space="preserve">: </w:t>
      </w:r>
      <w:r w:rsidRPr="00EF1E8C">
        <w:rPr>
          <w:i/>
          <w:lang w:val="de-DE"/>
        </w:rPr>
        <w:t>„Diese elektrischen Einrichtungen sind unter Berücksichtigung der Explosionsgruppen und Temperaturklassen (siehe Unterabschnitt 3.2.3.2 Tabelle C Spalten (15) und 16)) der zu befördernden Stoffe auszuwählen.“</w:t>
      </w:r>
      <w:r w:rsidRPr="00EF1E8C">
        <w:rPr>
          <w:lang w:val="de-DE"/>
        </w:rPr>
        <w:t xml:space="preserve"> ist nach Meinung der deutschen Delegation wie folgt zu verstehen:</w:t>
      </w:r>
    </w:p>
    <w:p w:rsidR="00EF1E8C" w:rsidRPr="00520DB8" w:rsidRDefault="00520DB8" w:rsidP="00EF1E8C">
      <w:pPr>
        <w:pStyle w:val="SingleTxtG"/>
        <w:ind w:left="1701"/>
        <w:rPr>
          <w:i/>
          <w:iCs/>
          <w:lang w:val="de-DE"/>
        </w:rPr>
      </w:pPr>
      <w:r>
        <w:rPr>
          <w:i/>
          <w:iCs/>
          <w:lang w:val="de-DE"/>
        </w:rPr>
        <w:t>„</w:t>
      </w:r>
      <w:r w:rsidR="00EF1E8C" w:rsidRPr="00520DB8">
        <w:rPr>
          <w:i/>
          <w:iCs/>
          <w:lang w:val="de-DE"/>
        </w:rPr>
        <w:t>Der Begriff „elektrische Einrichtungen“ wird hier wie in der bis 31.</w:t>
      </w:r>
      <w:r w:rsidRPr="00520DB8">
        <w:rPr>
          <w:i/>
          <w:iCs/>
          <w:lang w:val="de-DE"/>
        </w:rPr>
        <w:t> </w:t>
      </w:r>
      <w:r w:rsidR="00EF1E8C" w:rsidRPr="00520DB8">
        <w:rPr>
          <w:i/>
          <w:iCs/>
          <w:lang w:val="de-DE"/>
        </w:rPr>
        <w:t>Dezember 2017 geltenden Fassung des ADN weiterverwendet. Es handelt sich um eine Wiedergabe des bis dahin gültigen Rechtstextes.</w:t>
      </w:r>
      <w:r>
        <w:rPr>
          <w:i/>
          <w:iCs/>
          <w:lang w:val="de-DE"/>
        </w:rPr>
        <w:t>“</w:t>
      </w:r>
    </w:p>
    <w:p w:rsidR="00EF1E8C" w:rsidRPr="00EF1E8C" w:rsidRDefault="00EF1E8C" w:rsidP="00520DB8">
      <w:pPr>
        <w:pStyle w:val="SingleTxtG"/>
        <w:tabs>
          <w:tab w:val="left" w:pos="1701"/>
        </w:tabs>
        <w:rPr>
          <w:lang w:val="de-DE"/>
        </w:rPr>
      </w:pPr>
      <w:r w:rsidRPr="00EF1E8C">
        <w:rPr>
          <w:lang w:val="de-DE"/>
        </w:rPr>
        <w:t>13.</w:t>
      </w:r>
      <w:r w:rsidRPr="00EF1E8C">
        <w:rPr>
          <w:lang w:val="de-DE"/>
        </w:rPr>
        <w:tab/>
        <w:t xml:space="preserve">Das gleiche gilt für die Buchstaben a) und b) des nachfolgenden Absatzes: </w:t>
      </w:r>
      <w:r w:rsidRPr="00EF1E8C">
        <w:rPr>
          <w:i/>
          <w:lang w:val="de-DE"/>
        </w:rPr>
        <w:t>„An Bord von in Betrieb befindlichen Schiffen, die vor dem 1. Januar 1977 auf Kiel gelegt worden sind“.</w:t>
      </w:r>
    </w:p>
    <w:p w:rsidR="00EF1E8C" w:rsidRPr="00EF1E8C" w:rsidRDefault="00EF1E8C" w:rsidP="00EF1E8C">
      <w:pPr>
        <w:pStyle w:val="H1G"/>
        <w:rPr>
          <w:lang w:val="de-DE"/>
        </w:rPr>
      </w:pPr>
      <w:r w:rsidRPr="00EF1E8C">
        <w:rPr>
          <w:lang w:val="de-DE"/>
        </w:rPr>
        <w:tab/>
        <w:t>D.</w:t>
      </w:r>
      <w:r w:rsidRPr="00EF1E8C">
        <w:rPr>
          <w:lang w:val="de-DE"/>
        </w:rPr>
        <w:tab/>
        <w:t xml:space="preserve">Übergangsvorschrift zu 9.3.3.52.1 (ehemals 9.3.3.52.3 a) und b)) in Absatz 1.6.7.2.2.2 </w:t>
      </w:r>
      <w:r w:rsidRPr="00EF1E8C">
        <w:rPr>
          <w:lang w:val="de-DE"/>
        </w:rPr>
        <w:tab/>
      </w:r>
    </w:p>
    <w:p w:rsidR="00EF1E8C" w:rsidRPr="00EF1E8C" w:rsidRDefault="00EF1E8C" w:rsidP="00520DB8">
      <w:pPr>
        <w:pStyle w:val="SingleTxtG"/>
        <w:tabs>
          <w:tab w:val="left" w:pos="1701"/>
        </w:tabs>
        <w:rPr>
          <w:bCs/>
          <w:lang w:val="de-DE"/>
        </w:rPr>
      </w:pPr>
      <w:r w:rsidRPr="00EF1E8C">
        <w:rPr>
          <w:lang w:val="de-DE"/>
        </w:rPr>
        <w:t>14.</w:t>
      </w:r>
      <w:r w:rsidRPr="00EF1E8C">
        <w:rPr>
          <w:lang w:val="de-DE"/>
        </w:rPr>
        <w:tab/>
        <w:t>Der aktuelle Text hat folgenden Wortlaut: „Elektrische Einrichtungen, die während eines Aufenthalts in einer oder unmittelbar angrenzend an eine landseitig ausgewiesene Zone betrieben werden.“</w:t>
      </w:r>
    </w:p>
    <w:p w:rsidR="00EF1E8C" w:rsidRPr="00EF1E8C" w:rsidRDefault="00EF1E8C" w:rsidP="00520DB8">
      <w:pPr>
        <w:pStyle w:val="SingleTxtG"/>
        <w:tabs>
          <w:tab w:val="left" w:pos="1701"/>
        </w:tabs>
        <w:rPr>
          <w:lang w:val="de-DE"/>
        </w:rPr>
      </w:pPr>
      <w:r w:rsidRPr="00EF1E8C">
        <w:rPr>
          <w:lang w:val="de-DE"/>
        </w:rPr>
        <w:t>15.</w:t>
      </w:r>
      <w:r w:rsidRPr="00EF1E8C">
        <w:rPr>
          <w:lang w:val="de-DE"/>
        </w:rPr>
        <w:tab/>
        <w:t>In Absatz 9.3.3.52.1 c) wird der Begriff „elektrische Anlagen und Geräte“ verwendet. Deshalb muss sich auch die Übergangsvorschrift auf „elektrische Anlagen und Geräte“ beziehen. Für das ADN 2021 sollte folgende Änderung vorgenommen werden.</w:t>
      </w:r>
    </w:p>
    <w:p w:rsidR="00EF1E8C" w:rsidRPr="007461E2" w:rsidRDefault="00EF1E8C" w:rsidP="00EF1E8C">
      <w:pPr>
        <w:pStyle w:val="H4G"/>
        <w:rPr>
          <w:b/>
          <w:bCs/>
        </w:rPr>
      </w:pPr>
      <w:r>
        <w:tab/>
      </w:r>
      <w:r>
        <w:tab/>
      </w:r>
      <w:r>
        <w:rPr>
          <w:b/>
          <w:bCs/>
        </w:rPr>
        <w:t>Änderungsvorschlag</w:t>
      </w:r>
    </w:p>
    <w:p w:rsidR="00EF1E8C" w:rsidRPr="00EF1E8C" w:rsidRDefault="00EF1E8C" w:rsidP="00EF1E8C">
      <w:pPr>
        <w:pStyle w:val="SingleTxtG"/>
        <w:rPr>
          <w:lang w:val="de-DE"/>
        </w:rPr>
      </w:pPr>
      <w:r w:rsidRPr="00EF1E8C">
        <w:rPr>
          <w:lang w:val="de-DE"/>
        </w:rPr>
        <w:t>1.6.7.2.2.2 In der Übergangsvorschrift zu 9.3.3.52.1 den Begriff „Elektrische Einrichtungen“ durch „Elektrische Anlagen und Geräte“ ersetzen.</w:t>
      </w:r>
    </w:p>
    <w:p w:rsidR="00EF1E8C" w:rsidRPr="00EF1E8C" w:rsidRDefault="00EF1E8C" w:rsidP="00EF1E8C">
      <w:pPr>
        <w:pStyle w:val="H1G"/>
        <w:rPr>
          <w:lang w:val="de-DE"/>
        </w:rPr>
      </w:pPr>
      <w:r w:rsidRPr="00EF1E8C">
        <w:rPr>
          <w:lang w:val="de-DE"/>
        </w:rPr>
        <w:tab/>
        <w:t>E.</w:t>
      </w:r>
      <w:r w:rsidRPr="00EF1E8C">
        <w:rPr>
          <w:lang w:val="de-DE"/>
        </w:rPr>
        <w:tab/>
        <w:t>Übergangsvorschrift zu 9.3.3.52.2 in Absatz 1.6.7.2.2.2 „Elektrische Einrichtungen / Echolotschwinger“</w:t>
      </w:r>
    </w:p>
    <w:p w:rsidR="00EF1E8C" w:rsidRPr="00EF1E8C" w:rsidRDefault="00EF1E8C" w:rsidP="00520DB8">
      <w:pPr>
        <w:pStyle w:val="SingleTxtG"/>
        <w:tabs>
          <w:tab w:val="left" w:pos="1701"/>
        </w:tabs>
        <w:rPr>
          <w:lang w:val="de-DE"/>
        </w:rPr>
      </w:pPr>
      <w:r w:rsidRPr="00EF1E8C">
        <w:rPr>
          <w:lang w:val="de-DE"/>
        </w:rPr>
        <w:t>16.</w:t>
      </w:r>
      <w:r w:rsidRPr="00EF1E8C">
        <w:rPr>
          <w:lang w:val="de-DE"/>
        </w:rPr>
        <w:tab/>
        <w:t>Im Absatz 9.3.3.52.2 ADN wird der Begriff „Elektrische Einrichtungen“ nicht verwendet. In der Überschrift es Unterabschnitts 9.3.3.52 wurde er durch den Begriff „Anlagen und Geräte“ ersetzt. Deshalb kann sich diese Übergangsvorschrift nur auf „Echolotschwinger“ als „elektrische Anlagen und Geräte“ beziehen. Für das ADN 2021 sollte folgende Änderung vorgenommen werden.</w:t>
      </w:r>
    </w:p>
    <w:p w:rsidR="00EF1E8C" w:rsidRPr="00A27FCC" w:rsidRDefault="00EF1E8C" w:rsidP="00EF1E8C">
      <w:pPr>
        <w:pStyle w:val="H4G"/>
        <w:rPr>
          <w:b/>
          <w:bCs/>
        </w:rPr>
      </w:pPr>
      <w:r>
        <w:rPr>
          <w:b/>
          <w:bCs/>
        </w:rPr>
        <w:lastRenderedPageBreak/>
        <w:tab/>
      </w:r>
      <w:r>
        <w:rPr>
          <w:b/>
          <w:bCs/>
        </w:rPr>
        <w:tab/>
        <w:t>Änderungsvorschlag</w:t>
      </w:r>
    </w:p>
    <w:p w:rsidR="00EF1E8C" w:rsidRPr="00EF1E8C" w:rsidRDefault="00EF1E8C" w:rsidP="00EF1E8C">
      <w:pPr>
        <w:pStyle w:val="SingleTxtG"/>
        <w:rPr>
          <w:lang w:val="de-DE"/>
        </w:rPr>
      </w:pPr>
      <w:r w:rsidRPr="00EF1E8C">
        <w:rPr>
          <w:lang w:val="de-DE"/>
        </w:rPr>
        <w:t>1.6.7.2.2.2</w:t>
      </w:r>
      <w:r w:rsidRPr="00EF1E8C">
        <w:rPr>
          <w:lang w:val="de-DE"/>
        </w:rPr>
        <w:tab/>
        <w:t>In der Übergangsvorschrift zu 9.3.3.52.2 den Begriff „Elektrische Einrichtungen/Echolotschwinger“ durch „Elektrische Anlagen und Geräte/Echolotschwinger“ ersetzen.</w:t>
      </w:r>
    </w:p>
    <w:p w:rsidR="00EF1E8C" w:rsidRPr="00EF1E8C" w:rsidRDefault="00EF1E8C" w:rsidP="00EF1E8C">
      <w:pPr>
        <w:pStyle w:val="H1G"/>
        <w:rPr>
          <w:lang w:val="de-DE"/>
        </w:rPr>
      </w:pPr>
      <w:r w:rsidRPr="00EF1E8C">
        <w:rPr>
          <w:lang w:val="de-DE"/>
        </w:rPr>
        <w:tab/>
        <w:t>F.</w:t>
      </w:r>
      <w:r w:rsidRPr="00EF1E8C">
        <w:rPr>
          <w:lang w:val="de-DE"/>
        </w:rPr>
        <w:tab/>
        <w:t xml:space="preserve">Übergangsvorschrift 1.6.7.2.2.2 zu 9.3.x.52.3, letzter Satz </w:t>
      </w:r>
    </w:p>
    <w:p w:rsidR="00EF1E8C" w:rsidRPr="00EF1E8C" w:rsidRDefault="00EF1E8C" w:rsidP="00520DB8">
      <w:pPr>
        <w:pStyle w:val="SingleTxtG"/>
        <w:tabs>
          <w:tab w:val="left" w:pos="1701"/>
        </w:tabs>
        <w:rPr>
          <w:lang w:val="de-DE"/>
        </w:rPr>
      </w:pPr>
      <w:r w:rsidRPr="00EF1E8C">
        <w:rPr>
          <w:lang w:val="de-DE"/>
        </w:rPr>
        <w:t>17.</w:t>
      </w:r>
      <w:r w:rsidRPr="00EF1E8C">
        <w:rPr>
          <w:lang w:val="de-DE"/>
        </w:rPr>
        <w:tab/>
        <w:t>Der aktuelle Text hat folgenden Wortlaut: „Abschalten dieser Einrichtungen an einer zentralen Stelle.“</w:t>
      </w:r>
    </w:p>
    <w:p w:rsidR="00EF1E8C" w:rsidRPr="00EF1E8C" w:rsidRDefault="00EF1E8C" w:rsidP="00520DB8">
      <w:pPr>
        <w:pStyle w:val="SingleTxtG"/>
        <w:tabs>
          <w:tab w:val="left" w:pos="1701"/>
        </w:tabs>
        <w:rPr>
          <w:lang w:val="de-DE"/>
        </w:rPr>
      </w:pPr>
      <w:r w:rsidRPr="00EF1E8C">
        <w:rPr>
          <w:lang w:val="de-DE"/>
        </w:rPr>
        <w:t>18.</w:t>
      </w:r>
      <w:r w:rsidRPr="00EF1E8C">
        <w:rPr>
          <w:lang w:val="de-DE"/>
        </w:rPr>
        <w:tab/>
        <w:t>In den Absätzen 9.3.x.52.3 ADN wurde der Begriff „Einrichtungen“ jeweils durch „Anlagen und Geräte“ ersetzt. Deshalb muss sich diese Übergangsvorschrift ebenfalls auf „Anlagen und Geräte“ beziehen. Für das ADN 2021 sollte eine entsprechende Änderung vorgenommen werden.</w:t>
      </w:r>
    </w:p>
    <w:p w:rsidR="00EF1E8C" w:rsidRPr="00362967" w:rsidRDefault="00EF1E8C" w:rsidP="00EF1E8C">
      <w:pPr>
        <w:pStyle w:val="H4G"/>
        <w:rPr>
          <w:b/>
          <w:bCs/>
        </w:rPr>
      </w:pPr>
      <w:r>
        <w:rPr>
          <w:b/>
          <w:bCs/>
        </w:rPr>
        <w:tab/>
      </w:r>
      <w:r>
        <w:rPr>
          <w:b/>
          <w:bCs/>
        </w:rPr>
        <w:tab/>
        <w:t>Änderungsvorschlag</w:t>
      </w:r>
    </w:p>
    <w:p w:rsidR="00EF1E8C" w:rsidRPr="00EF1E8C" w:rsidRDefault="00EF1E8C" w:rsidP="00EF1E8C">
      <w:pPr>
        <w:pStyle w:val="SingleTxtG"/>
        <w:rPr>
          <w:lang w:val="de-DE"/>
        </w:rPr>
      </w:pPr>
      <w:r w:rsidRPr="00EF1E8C">
        <w:rPr>
          <w:lang w:val="de-DE"/>
        </w:rPr>
        <w:t xml:space="preserve">1.6.7.2.2.2 </w:t>
      </w:r>
      <w:r w:rsidRPr="00EF1E8C">
        <w:rPr>
          <w:lang w:val="de-DE"/>
        </w:rPr>
        <w:tab/>
        <w:t>In den Übergangsvorschriften zu 9.3.x.52.3 in der 2. Spalte jeweils den Begriff „Einrichtungen“ durch „</w:t>
      </w:r>
      <w:r w:rsidR="00AC7465">
        <w:rPr>
          <w:lang w:val="de-DE"/>
        </w:rPr>
        <w:t xml:space="preserve">elektrischen </w:t>
      </w:r>
      <w:r w:rsidRPr="00EF1E8C">
        <w:rPr>
          <w:lang w:val="de-DE"/>
        </w:rPr>
        <w:t>Anlagen und Geräte“ ersetzen.</w:t>
      </w:r>
    </w:p>
    <w:p w:rsidR="00EF1E8C" w:rsidRPr="00EF1E8C" w:rsidRDefault="00EF1E8C" w:rsidP="00EF1E8C">
      <w:pPr>
        <w:pStyle w:val="H1G"/>
        <w:rPr>
          <w:lang w:val="de-DE"/>
        </w:rPr>
      </w:pPr>
      <w:r w:rsidRPr="00EF1E8C">
        <w:rPr>
          <w:lang w:val="de-DE"/>
        </w:rPr>
        <w:tab/>
        <w:t>G.</w:t>
      </w:r>
      <w:r w:rsidRPr="00EF1E8C">
        <w:rPr>
          <w:lang w:val="de-DE"/>
        </w:rPr>
        <w:tab/>
        <w:t xml:space="preserve">Übergangsvorschrift  im Falle von Umbauten von Tankschiffen in Unterabschnitt 1.6.7.5 </w:t>
      </w:r>
      <w:r w:rsidRPr="00EF1E8C">
        <w:rPr>
          <w:lang w:val="de-DE"/>
        </w:rPr>
        <w:tab/>
      </w:r>
    </w:p>
    <w:p w:rsidR="00EF1E8C" w:rsidRPr="00EF1E8C" w:rsidRDefault="00EF1E8C" w:rsidP="00520DB8">
      <w:pPr>
        <w:pStyle w:val="SingleTxtG"/>
        <w:tabs>
          <w:tab w:val="left" w:pos="1701"/>
        </w:tabs>
        <w:rPr>
          <w:lang w:val="de-DE"/>
        </w:rPr>
      </w:pPr>
      <w:r w:rsidRPr="00EF1E8C">
        <w:rPr>
          <w:lang w:val="de-DE"/>
        </w:rPr>
        <w:t>19.</w:t>
      </w:r>
      <w:r w:rsidRPr="00EF1E8C">
        <w:rPr>
          <w:lang w:val="de-DE"/>
        </w:rPr>
        <w:tab/>
        <w:t xml:space="preserve">Der aktuelle Text hat folgenden Wortlaut: </w:t>
      </w:r>
    </w:p>
    <w:p w:rsidR="00EF1E8C" w:rsidRPr="00EF1E8C" w:rsidRDefault="00EF1E8C" w:rsidP="00EF1E8C">
      <w:pPr>
        <w:pStyle w:val="SingleTxtG"/>
        <w:ind w:left="1701"/>
        <w:rPr>
          <w:lang w:val="de-DE"/>
        </w:rPr>
      </w:pPr>
      <w:r w:rsidRPr="00EF1E8C">
        <w:rPr>
          <w:lang w:val="de-DE"/>
        </w:rPr>
        <w:t>„Der Umbau eines Schiffes im Bereich der Ladung zum Erreichen eines Schiffstyps N Doppelhülle ist bis zum 31. Dezember 2018 unter folgenden Bedingungen zulässig:</w:t>
      </w:r>
    </w:p>
    <w:p w:rsidR="00EF1E8C" w:rsidRPr="00EF1E8C" w:rsidRDefault="00EF1E8C" w:rsidP="00EF1E8C">
      <w:pPr>
        <w:pStyle w:val="SingleTxtG"/>
        <w:ind w:left="1701"/>
        <w:rPr>
          <w:lang w:val="de-DE"/>
        </w:rPr>
      </w:pPr>
      <w:r w:rsidRPr="00EF1E8C">
        <w:rPr>
          <w:lang w:val="de-DE"/>
        </w:rPr>
        <w:t>...</w:t>
      </w:r>
    </w:p>
    <w:p w:rsidR="00EF1E8C" w:rsidRPr="00EF1E8C" w:rsidRDefault="00EF1E8C" w:rsidP="00EF1E8C">
      <w:pPr>
        <w:pStyle w:val="SingleTxtG"/>
        <w:ind w:left="1701"/>
        <w:rPr>
          <w:lang w:val="de-DE"/>
        </w:rPr>
      </w:pPr>
      <w:r w:rsidRPr="00EF1E8C">
        <w:rPr>
          <w:lang w:val="de-DE"/>
        </w:rPr>
        <w:t>Die Schiffsteile außerhalb des Bereichs der Ladung müssen den Vorschriften des ADN entsprechen. Außerdem dürfen folgende Übergangsvorschriften gemäß Absatz 1.6.7.2.2 in Anspruch genommen werden: 1.2.1, 9.3.3.0.3 d), 9.3.3.51.3, 9.3.3.52.4 letzter Satz.</w:t>
      </w:r>
    </w:p>
    <w:p w:rsidR="00EF1E8C" w:rsidRPr="00EF1E8C" w:rsidRDefault="00EF1E8C" w:rsidP="00EF1E8C">
      <w:pPr>
        <w:pStyle w:val="SingleTxtG"/>
        <w:ind w:left="1701"/>
        <w:rPr>
          <w:lang w:val="de-DE"/>
        </w:rPr>
      </w:pPr>
      <w:r w:rsidRPr="00EF1E8C">
        <w:rPr>
          <w:lang w:val="de-DE"/>
        </w:rPr>
        <w:t>...</w:t>
      </w:r>
    </w:p>
    <w:p w:rsidR="00EF1E8C" w:rsidRPr="00EF1E8C" w:rsidRDefault="00EF1E8C" w:rsidP="00EF1E8C">
      <w:pPr>
        <w:pStyle w:val="SingleTxtG"/>
        <w:ind w:left="1701"/>
        <w:rPr>
          <w:lang w:val="de-DE"/>
        </w:rPr>
      </w:pPr>
      <w:r w:rsidRPr="00EF1E8C">
        <w:rPr>
          <w:lang w:val="de-DE"/>
        </w:rPr>
        <w:t>Die umgebauten Schiffe dürfen über den 31. Dezember 2018 hinaus weiter betrieben werden. Dabei sind die Fristen der in Anspruch genommenen Übergangsvorschriften gemäß Absatz 1.6.7.2.2 einzuhalten.“</w:t>
      </w:r>
    </w:p>
    <w:p w:rsidR="00EF1E8C" w:rsidRPr="00EF1E8C" w:rsidRDefault="00EF1E8C" w:rsidP="00520DB8">
      <w:pPr>
        <w:pStyle w:val="SingleTxtG"/>
        <w:tabs>
          <w:tab w:val="left" w:pos="1701"/>
        </w:tabs>
        <w:rPr>
          <w:lang w:val="de-DE"/>
        </w:rPr>
      </w:pPr>
      <w:r w:rsidRPr="00EF1E8C">
        <w:rPr>
          <w:lang w:val="de-DE"/>
        </w:rPr>
        <w:t>20.</w:t>
      </w:r>
      <w:r w:rsidRPr="00EF1E8C">
        <w:rPr>
          <w:lang w:val="de-DE"/>
        </w:rPr>
        <w:tab/>
        <w:t>Zu den Übergangsvorschriften, die in Anspruch genommen werden dürfen, treten am 1. Januar 2019 einige Änderungen in Kraft:</w:t>
      </w:r>
    </w:p>
    <w:p w:rsidR="00EF1E8C" w:rsidRPr="00694D66" w:rsidRDefault="00EF1E8C" w:rsidP="00EF1E8C">
      <w:pPr>
        <w:pStyle w:val="Bullet1G"/>
        <w:numPr>
          <w:ilvl w:val="0"/>
          <w:numId w:val="0"/>
        </w:numPr>
        <w:ind w:left="2410" w:hanging="709"/>
        <w:rPr>
          <w:rFonts w:eastAsia="SimSun"/>
        </w:rPr>
      </w:pPr>
      <w:r>
        <w:t>a)</w:t>
      </w:r>
      <w:r>
        <w:tab/>
        <w:t>Zu Abschnitt 1.2.1 wurden die Beschreibungen der Übergangsvorschrift oder die während des Übergangs zu erfüllenden Vorgaben geändert, es kamen neue Übergangsvorschriften hinzu.</w:t>
      </w:r>
    </w:p>
    <w:p w:rsidR="00EF1E8C" w:rsidRPr="00694D66" w:rsidRDefault="00EF1E8C" w:rsidP="00EF1E8C">
      <w:pPr>
        <w:pStyle w:val="Bullet1G"/>
        <w:numPr>
          <w:ilvl w:val="0"/>
          <w:numId w:val="0"/>
        </w:numPr>
        <w:ind w:left="2410" w:hanging="709"/>
        <w:rPr>
          <w:rFonts w:eastAsia="SimSun"/>
        </w:rPr>
      </w:pPr>
      <w:r>
        <w:t>b)</w:t>
      </w:r>
      <w:r>
        <w:tab/>
        <w:t>Die Übergangsvorschrift zu Absatz 9.3.3.0.3 d) ist unverändert.</w:t>
      </w:r>
    </w:p>
    <w:p w:rsidR="00EF1E8C" w:rsidRPr="00694D66" w:rsidRDefault="00EF1E8C" w:rsidP="00EF1E8C">
      <w:pPr>
        <w:pStyle w:val="Bullet1G"/>
        <w:numPr>
          <w:ilvl w:val="0"/>
          <w:numId w:val="0"/>
        </w:numPr>
        <w:ind w:left="2410" w:hanging="709"/>
        <w:rPr>
          <w:rFonts w:eastAsia="SimSun"/>
        </w:rPr>
      </w:pPr>
      <w:r>
        <w:t>c)</w:t>
      </w:r>
      <w:r>
        <w:tab/>
        <w:t>Die Übergangsvorschrift zu Absatz 9.3.3.51.3 vormals „Temperaturklasse und Explosionsgruppe“ wurde wie der Absatz selbst gestrichen.</w:t>
      </w:r>
    </w:p>
    <w:p w:rsidR="00EF1E8C" w:rsidRPr="00694D66" w:rsidRDefault="00EF1E8C" w:rsidP="00EF1E8C">
      <w:pPr>
        <w:pStyle w:val="Bullet1G"/>
        <w:numPr>
          <w:ilvl w:val="0"/>
          <w:numId w:val="0"/>
        </w:numPr>
        <w:ind w:left="2410" w:hanging="709"/>
        <w:rPr>
          <w:rFonts w:eastAsia="SimSun"/>
        </w:rPr>
      </w:pPr>
      <w:r>
        <w:t>d)</w:t>
      </w:r>
      <w:r>
        <w:tab/>
        <w:t>Die Übergangsvorschrift zu Absatz 9.3.3.52.4 letzter Satz „Abschalten rot gekennzeichneter elektrischer Einrichtungen“ wurde geändert in Übergangsvorschrift zu Absatz 9.3.3.52.3 letzter Satz.</w:t>
      </w:r>
    </w:p>
    <w:p w:rsidR="00EF1E8C" w:rsidRPr="00694D66" w:rsidRDefault="00EF1E8C" w:rsidP="00EF1E8C">
      <w:pPr>
        <w:pStyle w:val="Bullet1G"/>
        <w:numPr>
          <w:ilvl w:val="0"/>
          <w:numId w:val="0"/>
        </w:numPr>
        <w:ind w:left="2410" w:hanging="709"/>
        <w:rPr>
          <w:rFonts w:eastAsia="SimSun"/>
        </w:rPr>
      </w:pPr>
      <w:r>
        <w:t>e)</w:t>
      </w:r>
      <w:r>
        <w:tab/>
        <w:t>Das bisherige Feld Nr. 12 des Zulassungszeugnisses bzw. vorläufigen Zulassungszeugnisses (8.6.1.3, 8.6.1.4 ADN) erhielt die Nr. 13.</w:t>
      </w:r>
    </w:p>
    <w:p w:rsidR="00EF1E8C" w:rsidRPr="00EF1E8C" w:rsidRDefault="00EF1E8C" w:rsidP="00520DB8">
      <w:pPr>
        <w:pStyle w:val="SingleTxtG"/>
        <w:tabs>
          <w:tab w:val="left" w:pos="1701"/>
        </w:tabs>
        <w:rPr>
          <w:lang w:val="de-DE"/>
        </w:rPr>
      </w:pPr>
      <w:r w:rsidRPr="00EF1E8C">
        <w:rPr>
          <w:lang w:val="de-DE"/>
        </w:rPr>
        <w:lastRenderedPageBreak/>
        <w:t>21.</w:t>
      </w:r>
      <w:r w:rsidRPr="00EF1E8C">
        <w:rPr>
          <w:lang w:val="de-DE"/>
        </w:rPr>
        <w:tab/>
        <w:t xml:space="preserve">Es ist deshalb nicht eindeutig bestimmbar, welche Übergangsvorschriften umgebaute Tankschiffe des Typs N in Anspruch nehmen können: die Vorschriften des ADN 2017 oder des ADN 2019. </w:t>
      </w:r>
    </w:p>
    <w:p w:rsidR="00EF1E8C" w:rsidRPr="00EF1E8C" w:rsidRDefault="00EF1E8C" w:rsidP="00520DB8">
      <w:pPr>
        <w:pStyle w:val="SingleTxtG"/>
        <w:tabs>
          <w:tab w:val="left" w:pos="1701"/>
        </w:tabs>
        <w:rPr>
          <w:lang w:val="de-DE"/>
        </w:rPr>
      </w:pPr>
      <w:r w:rsidRPr="00EF1E8C">
        <w:rPr>
          <w:lang w:val="de-DE"/>
        </w:rPr>
        <w:t>22.</w:t>
      </w:r>
      <w:r w:rsidRPr="00EF1E8C">
        <w:rPr>
          <w:lang w:val="de-DE"/>
        </w:rPr>
        <w:tab/>
        <w:t xml:space="preserve">Wenn auf das ADN 2019 abgestellt würde, gäbe es keine anwendbare Übergangsvorschrift zu 9.3.3.51.3 mehr. „Temperaturklasse und Explosionsgruppe“ werden im ADN 2019 in Absatz 9.3.3.53.1 geregelt. </w:t>
      </w:r>
    </w:p>
    <w:p w:rsidR="00EF1E8C" w:rsidRPr="00EF1E8C" w:rsidRDefault="00EF1E8C" w:rsidP="00520DB8">
      <w:pPr>
        <w:pStyle w:val="SingleTxtG"/>
        <w:tabs>
          <w:tab w:val="left" w:pos="1701"/>
        </w:tabs>
        <w:rPr>
          <w:lang w:val="de-DE"/>
        </w:rPr>
      </w:pPr>
      <w:r w:rsidRPr="00EF1E8C">
        <w:rPr>
          <w:lang w:val="de-DE"/>
        </w:rPr>
        <w:t>23.</w:t>
      </w:r>
      <w:r w:rsidRPr="00EF1E8C">
        <w:rPr>
          <w:lang w:val="de-DE"/>
        </w:rPr>
        <w:tab/>
        <w:t>Die zitierte Übergangsvorschrift zu 9.3.3.52.4 bezieht sich im ADN 2019 auf „Optische und akustische Warnung“, vormals Absatz 9.3.3.51.2 ADN 2017. Der ursprüngliche Inhalt ist jetzt in Absatz 9.3.3.52.3 ADN und es gibt zusätzliche Vorschriften dazu in Absatz 7.2.3.51.4.</w:t>
      </w:r>
    </w:p>
    <w:p w:rsidR="00EF1E8C" w:rsidRPr="00A27FCC" w:rsidRDefault="00EF1E8C" w:rsidP="00EF1E8C">
      <w:pPr>
        <w:pStyle w:val="H4G"/>
        <w:rPr>
          <w:b/>
          <w:bCs/>
        </w:rPr>
      </w:pPr>
      <w:r>
        <w:rPr>
          <w:b/>
          <w:bCs/>
        </w:rPr>
        <w:tab/>
      </w:r>
      <w:r>
        <w:rPr>
          <w:b/>
          <w:bCs/>
        </w:rPr>
        <w:tab/>
        <w:t>Änderungsvorschlag</w:t>
      </w:r>
    </w:p>
    <w:p w:rsidR="00EF1E8C" w:rsidRPr="00EF1E8C" w:rsidRDefault="00EF1E8C" w:rsidP="00EF1E8C">
      <w:pPr>
        <w:pStyle w:val="SingleTxtG"/>
        <w:rPr>
          <w:lang w:val="de-DE"/>
        </w:rPr>
      </w:pPr>
      <w:r w:rsidRPr="00EF1E8C">
        <w:rPr>
          <w:lang w:val="de-DE"/>
        </w:rPr>
        <w:t>1.6.7.5</w:t>
      </w:r>
      <w:r w:rsidRPr="00EF1E8C">
        <w:rPr>
          <w:lang w:val="de-DE"/>
        </w:rPr>
        <w:tab/>
        <w:t xml:space="preserve">Folgende Änderungen des Wortlauts (neu eingefügter Text </w:t>
      </w:r>
      <w:r w:rsidRPr="00EF1E8C">
        <w:rPr>
          <w:u w:val="single"/>
          <w:lang w:val="de-DE"/>
        </w:rPr>
        <w:t>unterstrichen</w:t>
      </w:r>
      <w:r w:rsidRPr="00EF1E8C">
        <w:rPr>
          <w:lang w:val="de-DE"/>
        </w:rPr>
        <w:t xml:space="preserve">, gelöschter Text </w:t>
      </w:r>
      <w:r w:rsidRPr="00EF1E8C">
        <w:rPr>
          <w:strike/>
          <w:lang w:val="de-DE"/>
        </w:rPr>
        <w:t>durchgestrichen</w:t>
      </w:r>
      <w:r w:rsidRPr="00EF1E8C">
        <w:rPr>
          <w:lang w:val="de-DE"/>
        </w:rPr>
        <w:t>):</w:t>
      </w:r>
    </w:p>
    <w:p w:rsidR="00EF1E8C" w:rsidRPr="00EF1E8C" w:rsidRDefault="00EF1E8C" w:rsidP="00EF1E8C">
      <w:pPr>
        <w:pStyle w:val="SingleTxtG"/>
        <w:rPr>
          <w:b/>
          <w:lang w:val="de-DE"/>
        </w:rPr>
      </w:pPr>
      <w:r w:rsidRPr="00EF1E8C">
        <w:rPr>
          <w:b/>
          <w:lang w:val="de-DE"/>
        </w:rPr>
        <w:t>„1.6.7.5</w:t>
      </w:r>
      <w:r w:rsidRPr="00EF1E8C">
        <w:rPr>
          <w:b/>
          <w:lang w:val="de-DE"/>
        </w:rPr>
        <w:tab/>
        <w:t>Übergangsvorschriften im Falle von Umbauten von Tankschiffen“</w:t>
      </w:r>
    </w:p>
    <w:p w:rsidR="00EF1E8C" w:rsidRPr="00EF1E8C" w:rsidRDefault="00EF1E8C" w:rsidP="00EF1E8C">
      <w:pPr>
        <w:pStyle w:val="SingleTxtG"/>
        <w:rPr>
          <w:lang w:val="de-DE"/>
        </w:rPr>
      </w:pPr>
      <w:r w:rsidRPr="00EF1E8C">
        <w:rPr>
          <w:b/>
          <w:lang w:val="de-DE"/>
        </w:rPr>
        <w:t>1.6.7.5.1</w:t>
      </w:r>
      <w:r w:rsidRPr="00EF1E8C">
        <w:rPr>
          <w:lang w:val="de-DE"/>
        </w:rPr>
        <w:tab/>
      </w:r>
      <w:r w:rsidRPr="00EF1E8C">
        <w:rPr>
          <w:strike/>
          <w:lang w:val="de-DE"/>
        </w:rPr>
        <w:t>Der</w:t>
      </w:r>
      <w:r w:rsidRPr="00EF1E8C">
        <w:rPr>
          <w:lang w:val="de-DE"/>
        </w:rPr>
        <w:t xml:space="preserve"> </w:t>
      </w:r>
      <w:r w:rsidRPr="00EF1E8C">
        <w:rPr>
          <w:u w:val="single"/>
          <w:lang w:val="de-DE"/>
        </w:rPr>
        <w:t>Für</w:t>
      </w:r>
      <w:r w:rsidRPr="00EF1E8C">
        <w:rPr>
          <w:lang w:val="de-DE"/>
        </w:rPr>
        <w:t xml:space="preserve"> </w:t>
      </w:r>
      <w:r w:rsidRPr="00EF1E8C">
        <w:rPr>
          <w:u w:val="single"/>
          <w:lang w:val="de-DE"/>
        </w:rPr>
        <w:t xml:space="preserve">Schiffe, bei denen ein </w:t>
      </w:r>
      <w:r w:rsidRPr="00EF1E8C">
        <w:rPr>
          <w:lang w:val="de-DE"/>
        </w:rPr>
        <w:t xml:space="preserve">Umbau </w:t>
      </w:r>
      <w:r w:rsidRPr="00EF1E8C">
        <w:rPr>
          <w:strike/>
          <w:lang w:val="de-DE"/>
        </w:rPr>
        <w:t>eines Schiffes</w:t>
      </w:r>
      <w:r w:rsidRPr="00EF1E8C">
        <w:rPr>
          <w:lang w:val="de-DE"/>
        </w:rPr>
        <w:t xml:space="preserve"> im Bereich der Ladung zum Erreichen eines Schiffstyps N Doppelhülle </w:t>
      </w:r>
      <w:r w:rsidRPr="00EF1E8C">
        <w:rPr>
          <w:strike/>
          <w:lang w:val="de-DE"/>
        </w:rPr>
        <w:t>ist</w:t>
      </w:r>
      <w:r w:rsidRPr="00EF1E8C">
        <w:rPr>
          <w:lang w:val="de-DE"/>
        </w:rPr>
        <w:t xml:space="preserve"> bis zum 31. Dezember 2018 unter folgenden Bedingungen zulässig </w:t>
      </w:r>
      <w:r w:rsidRPr="00EF1E8C">
        <w:rPr>
          <w:u w:val="single"/>
          <w:lang w:val="de-DE"/>
        </w:rPr>
        <w:t>war, gelten folgende Bedingungen</w:t>
      </w:r>
      <w:r w:rsidRPr="00EF1E8C">
        <w:rPr>
          <w:lang w:val="de-DE"/>
        </w:rPr>
        <w:t>:</w:t>
      </w:r>
    </w:p>
    <w:p w:rsidR="00EF1E8C" w:rsidRPr="00EF1E8C" w:rsidRDefault="00EF1E8C" w:rsidP="00EF1E8C">
      <w:pPr>
        <w:pStyle w:val="SingleTxtG"/>
        <w:ind w:left="2835" w:hanging="567"/>
        <w:rPr>
          <w:rFonts w:cs="Arial"/>
          <w:lang w:val="de-DE"/>
        </w:rPr>
      </w:pPr>
      <w:r w:rsidRPr="00EF1E8C">
        <w:rPr>
          <w:lang w:val="de-DE"/>
        </w:rPr>
        <w:t>a)</w:t>
      </w:r>
      <w:r w:rsidRPr="00EF1E8C">
        <w:rPr>
          <w:lang w:val="de-DE"/>
        </w:rPr>
        <w:tab/>
        <w:t xml:space="preserve">Der umgebaute oder neue Bereich der Ladung muss den Vorschriften </w:t>
      </w:r>
      <w:r w:rsidRPr="00EF1E8C">
        <w:rPr>
          <w:strike/>
          <w:lang w:val="de-DE"/>
        </w:rPr>
        <w:t>des ADN</w:t>
      </w:r>
      <w:r w:rsidRPr="00EF1E8C">
        <w:rPr>
          <w:lang w:val="de-DE"/>
        </w:rPr>
        <w:t xml:space="preserve"> </w:t>
      </w:r>
      <w:r w:rsidRPr="00EF1E8C">
        <w:rPr>
          <w:u w:val="single"/>
          <w:lang w:val="de-DE"/>
        </w:rPr>
        <w:t xml:space="preserve">dieser Verordnung </w:t>
      </w:r>
      <w:r w:rsidRPr="00EF1E8C">
        <w:rPr>
          <w:lang w:val="de-DE"/>
        </w:rPr>
        <w:t>entsprechen. Übergangsvorschriften gemäß Absatz 1.6.7.2.2 dürfen für den Bereich der Ladung nicht in Anspruch genommen werden.</w:t>
      </w:r>
    </w:p>
    <w:p w:rsidR="00EF1E8C" w:rsidRPr="00EF1E8C" w:rsidRDefault="00EF1E8C" w:rsidP="00EF1E8C">
      <w:pPr>
        <w:pStyle w:val="SingleTxtG"/>
        <w:ind w:left="2835" w:hanging="567"/>
        <w:rPr>
          <w:lang w:val="de-DE"/>
        </w:rPr>
      </w:pPr>
      <w:bookmarkStart w:id="1" w:name="_Hlk528743038"/>
      <w:r w:rsidRPr="00EF1E8C">
        <w:rPr>
          <w:lang w:val="de-DE"/>
        </w:rPr>
        <w:t>b)</w:t>
      </w:r>
      <w:r w:rsidRPr="00EF1E8C">
        <w:rPr>
          <w:lang w:val="de-DE"/>
        </w:rPr>
        <w:tab/>
      </w:r>
      <w:r w:rsidRPr="00EF1E8C">
        <w:rPr>
          <w:u w:val="single"/>
          <w:lang w:val="de-DE"/>
        </w:rPr>
        <w:t xml:space="preserve">Auch die Bereiche des </w:t>
      </w:r>
      <w:proofErr w:type="spellStart"/>
      <w:r w:rsidRPr="00EF1E8C">
        <w:rPr>
          <w:u w:val="single"/>
          <w:lang w:val="de-DE"/>
        </w:rPr>
        <w:t>Schiffes</w:t>
      </w:r>
      <w:r w:rsidRPr="00EF1E8C">
        <w:rPr>
          <w:strike/>
          <w:lang w:val="de-DE"/>
        </w:rPr>
        <w:t>Die</w:t>
      </w:r>
      <w:proofErr w:type="spellEnd"/>
      <w:r w:rsidRPr="00EF1E8C">
        <w:rPr>
          <w:lang w:val="de-DE"/>
        </w:rPr>
        <w:t xml:space="preserve"> </w:t>
      </w:r>
      <w:r w:rsidRPr="00EF1E8C">
        <w:rPr>
          <w:strike/>
          <w:lang w:val="de-DE"/>
        </w:rPr>
        <w:t>Schiffsteile</w:t>
      </w:r>
      <w:r w:rsidRPr="00EF1E8C">
        <w:rPr>
          <w:lang w:val="de-DE"/>
        </w:rPr>
        <w:t xml:space="preserve"> außerhalb des Bereichs der Ladung müssen den Vorschriften des ADN entsprechen. </w:t>
      </w:r>
      <w:r w:rsidRPr="00EF1E8C">
        <w:rPr>
          <w:strike/>
          <w:lang w:val="de-DE"/>
        </w:rPr>
        <w:t>Außerdem</w:t>
      </w:r>
      <w:r w:rsidRPr="00EF1E8C">
        <w:rPr>
          <w:lang w:val="de-DE"/>
        </w:rPr>
        <w:t xml:space="preserve"> </w:t>
      </w:r>
      <w:r w:rsidRPr="00EF1E8C">
        <w:rPr>
          <w:u w:val="single"/>
          <w:lang w:val="de-DE"/>
        </w:rPr>
        <w:t xml:space="preserve">Es </w:t>
      </w:r>
      <w:r w:rsidRPr="00EF1E8C">
        <w:rPr>
          <w:lang w:val="de-DE"/>
        </w:rPr>
        <w:t xml:space="preserve">dürfen </w:t>
      </w:r>
      <w:r w:rsidRPr="00EF1E8C">
        <w:rPr>
          <w:u w:val="single"/>
          <w:lang w:val="de-DE"/>
        </w:rPr>
        <w:t xml:space="preserve">aber </w:t>
      </w:r>
      <w:r w:rsidRPr="00EF1E8C">
        <w:rPr>
          <w:lang w:val="de-DE"/>
        </w:rPr>
        <w:t xml:space="preserve">folgende Übergangsvorschriften gemäß Absatz 1.6.7.2.2 </w:t>
      </w:r>
      <w:r w:rsidRPr="00EF1E8C">
        <w:rPr>
          <w:u w:val="single"/>
          <w:lang w:val="de-DE"/>
        </w:rPr>
        <w:t>in der bis zum 31. Dezember 2018 geltenden Fassung</w:t>
      </w:r>
      <w:r w:rsidRPr="00EF1E8C">
        <w:rPr>
          <w:lang w:val="de-DE"/>
        </w:rPr>
        <w:t xml:space="preserve"> in Anspruch genommen werden: 1.2.1, 9.3.3.0.3 d), 9.3.3.51.3, 9.3.3.52.4 letzter Satz.</w:t>
      </w:r>
    </w:p>
    <w:p w:rsidR="00EF1E8C" w:rsidRPr="00EF1E8C" w:rsidRDefault="00EF1E8C" w:rsidP="00EF1E8C">
      <w:pPr>
        <w:pStyle w:val="SingleTxtG"/>
        <w:ind w:left="2835" w:hanging="567"/>
        <w:rPr>
          <w:rFonts w:asciiTheme="majorBidi" w:hAnsiTheme="majorBidi" w:cstheme="majorBidi"/>
          <w:lang w:val="de-DE"/>
        </w:rPr>
      </w:pPr>
      <w:r w:rsidRPr="00EF1E8C">
        <w:rPr>
          <w:rFonts w:asciiTheme="majorBidi" w:hAnsiTheme="majorBidi"/>
          <w:lang w:val="de-DE"/>
        </w:rPr>
        <w:t>[b)</w:t>
      </w:r>
      <w:r w:rsidRPr="00EF1E8C">
        <w:rPr>
          <w:rFonts w:asciiTheme="majorBidi" w:hAnsiTheme="majorBidi"/>
          <w:lang w:val="de-DE"/>
        </w:rPr>
        <w:tab/>
      </w:r>
      <w:r w:rsidRPr="00EF1E8C">
        <w:rPr>
          <w:strike/>
          <w:u w:val="single"/>
          <w:lang w:val="de-DE"/>
        </w:rPr>
        <w:t xml:space="preserve">Auch </w:t>
      </w:r>
      <w:r w:rsidRPr="00EF1E8C">
        <w:rPr>
          <w:lang w:val="de-DE"/>
        </w:rPr>
        <w:t>Die Schiffsteile außerhalb des Bereichs der Ladung müssen den Vorschriften des ADN entsprechen.</w:t>
      </w:r>
      <w:r w:rsidRPr="00EF1E8C">
        <w:rPr>
          <w:rFonts w:asciiTheme="majorBidi" w:hAnsiTheme="majorBidi"/>
          <w:lang w:val="de-DE"/>
        </w:rPr>
        <w:t xml:space="preserve"> </w:t>
      </w:r>
      <w:r w:rsidRPr="00EF1E8C">
        <w:rPr>
          <w:rFonts w:asciiTheme="majorBidi" w:hAnsiTheme="majorBidi"/>
          <w:u w:val="single"/>
          <w:lang w:val="de-DE"/>
        </w:rPr>
        <w:t xml:space="preserve">Es </w:t>
      </w:r>
      <w:r w:rsidRPr="00EF1E8C">
        <w:rPr>
          <w:rFonts w:asciiTheme="majorBidi" w:hAnsiTheme="majorBidi"/>
          <w:lang w:val="de-DE"/>
        </w:rPr>
        <w:t xml:space="preserve">dürfen </w:t>
      </w:r>
      <w:r w:rsidRPr="00EF1E8C">
        <w:rPr>
          <w:rFonts w:asciiTheme="majorBidi" w:hAnsiTheme="majorBidi"/>
          <w:u w:val="single"/>
          <w:lang w:val="de-DE"/>
        </w:rPr>
        <w:t xml:space="preserve">aber </w:t>
      </w:r>
      <w:r w:rsidRPr="00EF1E8C">
        <w:rPr>
          <w:rFonts w:asciiTheme="majorBidi" w:hAnsiTheme="majorBidi"/>
          <w:lang w:val="de-DE"/>
        </w:rPr>
        <w:t>folgende Übergangsvorschriften gemäß Absatz 1.6.7.2.2 zu 1.2.1, 9.3.3.0.3 d), 9.3.3.51.3, 9.3.3.52.4 letzter Satz in der bis zum 31. Dezember 2018 geltenden Fassung in Anspruch genommen werden.</w:t>
      </w:r>
    </w:p>
    <w:p w:rsidR="00EF1E8C" w:rsidRPr="00EF1E8C" w:rsidRDefault="00EF1E8C" w:rsidP="00EF1E8C">
      <w:pPr>
        <w:pStyle w:val="SingleTxtG"/>
        <w:ind w:left="2835" w:hanging="567"/>
        <w:rPr>
          <w:rFonts w:cs="Arial"/>
          <w:lang w:val="de-DE"/>
        </w:rPr>
      </w:pPr>
      <w:r w:rsidRPr="00EF1E8C">
        <w:rPr>
          <w:lang w:val="de-DE"/>
        </w:rPr>
        <w:t>c)</w:t>
      </w:r>
      <w:r w:rsidRPr="00EF1E8C">
        <w:rPr>
          <w:lang w:val="de-DE"/>
        </w:rPr>
        <w:tab/>
        <w:t>Wenn die Stoffliste nach Absatz 1.16.1.2.5 Güter enthält, für die Explosionsschutz verlangt wird, müssen die Wohnungen und das Steuerhaus mit einem Feuermeldesystem nach Absatz 9.3.3.40.2.3 versehen sein.</w:t>
      </w:r>
    </w:p>
    <w:p w:rsidR="00EF1E8C" w:rsidRPr="00EF1E8C" w:rsidRDefault="00EF1E8C" w:rsidP="00EF1E8C">
      <w:pPr>
        <w:pStyle w:val="SingleTxtG"/>
        <w:ind w:left="2835" w:hanging="567"/>
        <w:rPr>
          <w:rFonts w:cs="Arial"/>
          <w:lang w:val="de-DE"/>
        </w:rPr>
      </w:pPr>
      <w:r w:rsidRPr="00EF1E8C">
        <w:rPr>
          <w:lang w:val="de-DE"/>
        </w:rPr>
        <w:t>d)</w:t>
      </w:r>
      <w:r w:rsidRPr="00EF1E8C">
        <w:rPr>
          <w:lang w:val="de-DE"/>
        </w:rPr>
        <w:tab/>
        <w:t xml:space="preserve">Die Inanspruchnahme dieses Unterabschnitts ist in das Zulassungszeugnis im Feld </w:t>
      </w:r>
      <w:r w:rsidRPr="00EF1E8C">
        <w:rPr>
          <w:strike/>
          <w:lang w:val="de-DE"/>
        </w:rPr>
        <w:t>12</w:t>
      </w:r>
      <w:r w:rsidRPr="00EF1E8C">
        <w:rPr>
          <w:lang w:val="de-DE"/>
        </w:rPr>
        <w:t xml:space="preserve"> </w:t>
      </w:r>
      <w:r w:rsidRPr="00EF1E8C">
        <w:rPr>
          <w:u w:val="single"/>
          <w:lang w:val="de-DE"/>
        </w:rPr>
        <w:t xml:space="preserve">13 </w:t>
      </w:r>
      <w:r w:rsidRPr="00EF1E8C">
        <w:rPr>
          <w:lang w:val="de-DE"/>
        </w:rPr>
        <w:t>(Zusätzliche Bemerkungen) einzutragen.</w:t>
      </w:r>
    </w:p>
    <w:p w:rsidR="00EF1E8C" w:rsidRPr="00EF1E8C" w:rsidRDefault="00EF1E8C" w:rsidP="00EF1E8C">
      <w:pPr>
        <w:pStyle w:val="SingleTxtG"/>
        <w:rPr>
          <w:lang w:val="de-DE"/>
        </w:rPr>
      </w:pPr>
      <w:r w:rsidRPr="00EF1E8C">
        <w:rPr>
          <w:b/>
          <w:lang w:val="de-DE"/>
        </w:rPr>
        <w:t>1.6.7.5.2</w:t>
      </w:r>
      <w:r w:rsidRPr="00EF1E8C">
        <w:rPr>
          <w:lang w:val="de-DE"/>
        </w:rPr>
        <w:tab/>
        <w:t xml:space="preserve">Die umgebauten Schiffe dürfen über den 31. Dezember 2018 hinaus weiter betrieben werden. Dabei sind die Fristen der in Anspruch genommenen Übergangsvorschriften gemäß Absatz 1.6.7.2.2 </w:t>
      </w:r>
      <w:r w:rsidRPr="00EF1E8C">
        <w:rPr>
          <w:u w:val="single"/>
          <w:lang w:val="de-DE"/>
        </w:rPr>
        <w:t>in der bis zum 31. Dezember 2018 geltenden Fassung</w:t>
      </w:r>
      <w:r w:rsidRPr="00EF1E8C">
        <w:rPr>
          <w:lang w:val="de-DE"/>
        </w:rPr>
        <w:t xml:space="preserve">  einzuhalten.“.</w:t>
      </w:r>
      <w:bookmarkEnd w:id="1"/>
    </w:p>
    <w:p w:rsidR="00EF1E8C" w:rsidRDefault="00EF1E8C" w:rsidP="00520DB8">
      <w:pPr>
        <w:pStyle w:val="SingleTxtG"/>
        <w:rPr>
          <w:lang w:val="de-DE"/>
        </w:rPr>
      </w:pPr>
      <w:r w:rsidRPr="00EF1E8C">
        <w:rPr>
          <w:rFonts w:asciiTheme="majorBidi" w:hAnsiTheme="majorBidi"/>
          <w:b/>
          <w:lang w:val="de-DE"/>
        </w:rPr>
        <w:t>[1.6.7.5.2</w:t>
      </w:r>
      <w:r w:rsidRPr="00EF1E8C">
        <w:rPr>
          <w:rFonts w:asciiTheme="majorBidi" w:hAnsiTheme="majorBidi"/>
          <w:lang w:val="de-DE"/>
        </w:rPr>
        <w:tab/>
        <w:t>Die umgebauten Schiffe dürfen über den 31. Dezember 2018 hinaus weiter betrieben werden. Die Fristen der in Anspruch genommenen Übergangsvorschriften gemäß Absatz 1.6.7.2.2 [zu 1.2.1, 9.3.3.0.3 (d), 9.3.3.51.3, 9.3.3.52.4 letzter Satz] sind in der bis zum 31. Dezember 2018 geltenden Fassung einzuhalten.]</w:t>
      </w:r>
    </w:p>
    <w:p w:rsidR="00EF1E8C" w:rsidRDefault="00EF1E8C">
      <w:pPr>
        <w:widowControl/>
        <w:overflowPunct/>
        <w:autoSpaceDE/>
        <w:autoSpaceDN/>
        <w:adjustRightInd/>
        <w:ind w:left="0" w:firstLine="0"/>
        <w:jc w:val="left"/>
        <w:textAlignment w:val="auto"/>
        <w:rPr>
          <w:b/>
          <w:sz w:val="24"/>
        </w:rPr>
      </w:pPr>
      <w:r>
        <w:br w:type="page"/>
      </w:r>
    </w:p>
    <w:p w:rsidR="00EF1E8C" w:rsidRPr="00EF1E8C" w:rsidRDefault="00EF1E8C" w:rsidP="00EF1E8C">
      <w:pPr>
        <w:pStyle w:val="H1G"/>
        <w:rPr>
          <w:lang w:val="de-DE"/>
        </w:rPr>
      </w:pPr>
      <w:r>
        <w:rPr>
          <w:lang w:val="de-DE"/>
        </w:rPr>
        <w:lastRenderedPageBreak/>
        <w:tab/>
      </w:r>
      <w:r w:rsidRPr="00EF1E8C">
        <w:rPr>
          <w:lang w:val="de-DE"/>
        </w:rPr>
        <w:t>H.</w:t>
      </w:r>
      <w:r w:rsidRPr="00EF1E8C">
        <w:rPr>
          <w:lang w:val="de-DE"/>
        </w:rPr>
        <w:tab/>
        <w:t xml:space="preserve">Zusammenladeverbot in Absatz 7.1.4.4.4 </w:t>
      </w:r>
    </w:p>
    <w:p w:rsidR="00EF1E8C" w:rsidRPr="00EF1E8C" w:rsidRDefault="00EF1E8C" w:rsidP="00520DB8">
      <w:pPr>
        <w:pStyle w:val="SingleTxtG"/>
        <w:tabs>
          <w:tab w:val="left" w:pos="1701"/>
        </w:tabs>
        <w:rPr>
          <w:lang w:val="de-DE"/>
        </w:rPr>
      </w:pPr>
      <w:r w:rsidRPr="00EF1E8C">
        <w:rPr>
          <w:lang w:val="de-DE"/>
        </w:rPr>
        <w:t>24.</w:t>
      </w:r>
      <w:r w:rsidRPr="00EF1E8C">
        <w:rPr>
          <w:lang w:val="de-DE"/>
        </w:rPr>
        <w:tab/>
        <w:t xml:space="preserve">Der aktuelle Text hat folgenden Wortlaut: </w:t>
      </w:r>
    </w:p>
    <w:p w:rsidR="00EF1E8C" w:rsidRPr="00EF1E8C" w:rsidRDefault="00EF1E8C" w:rsidP="00EF1E8C">
      <w:pPr>
        <w:pStyle w:val="SingleTxtG"/>
        <w:ind w:left="1701"/>
        <w:rPr>
          <w:lang w:val="de-DE"/>
        </w:rPr>
      </w:pPr>
      <w:r w:rsidRPr="00EF1E8C">
        <w:rPr>
          <w:lang w:val="de-DE"/>
        </w:rPr>
        <w:t xml:space="preserve">„Außen an einem geschlossenen Container angebrachte elektrische Anlagen </w:t>
      </w:r>
      <w:r w:rsidR="00396038">
        <w:rPr>
          <w:lang w:val="de-DE"/>
        </w:rPr>
        <w:t xml:space="preserve">und Geräte </w:t>
      </w:r>
      <w:r w:rsidRPr="00EF1E8C">
        <w:rPr>
          <w:lang w:val="de-DE"/>
        </w:rPr>
        <w:t xml:space="preserve">dürfen mit beweglichen elektrischen Kabeln nach </w:t>
      </w:r>
      <w:r w:rsidR="00396038" w:rsidRPr="00396038">
        <w:rPr>
          <w:bCs/>
          <w:lang w:val="de-DE"/>
        </w:rPr>
        <w:t xml:space="preserve">Absatz 9.1.0.53.5 </w:t>
      </w:r>
      <w:r w:rsidRPr="00EF1E8C">
        <w:rPr>
          <w:lang w:val="de-DE"/>
        </w:rPr>
        <w:t xml:space="preserve"> verbunden </w:t>
      </w:r>
      <w:r w:rsidR="00396038">
        <w:rPr>
          <w:lang w:val="de-DE"/>
        </w:rPr>
        <w:t>oder</w:t>
      </w:r>
      <w:r w:rsidR="00396038" w:rsidRPr="00EF1E8C">
        <w:rPr>
          <w:lang w:val="de-DE"/>
        </w:rPr>
        <w:t xml:space="preserve"> </w:t>
      </w:r>
      <w:r w:rsidRPr="00EF1E8C">
        <w:rPr>
          <w:lang w:val="de-DE"/>
        </w:rPr>
        <w:t>in Betrieb genommen werden, wenn ...“</w:t>
      </w:r>
    </w:p>
    <w:p w:rsidR="00EF1E8C" w:rsidRPr="00EF1E8C" w:rsidRDefault="00EF1E8C" w:rsidP="00520DB8">
      <w:pPr>
        <w:pStyle w:val="SingleTxtG"/>
        <w:tabs>
          <w:tab w:val="left" w:pos="1701"/>
        </w:tabs>
        <w:rPr>
          <w:lang w:val="de-DE"/>
        </w:rPr>
      </w:pPr>
      <w:r w:rsidRPr="00EF1E8C">
        <w:rPr>
          <w:lang w:val="de-DE"/>
        </w:rPr>
        <w:t>25.</w:t>
      </w:r>
      <w:r w:rsidRPr="00EF1E8C">
        <w:rPr>
          <w:lang w:val="de-DE"/>
        </w:rPr>
        <w:tab/>
        <w:t>Im Einleitungssatz wurde der Begriff „Anlagen“ durch „Anlagen und Geräte“ ersetzt. Der Begriff „Anlagen“ wird in der Folge aber auch in den Buchstaben a) und b) sowie im zweiten Satz verwendet. Es ist nicht klar, warum dort die „Geräte“ nicht ebenfalls angesprochen werden sollen.</w:t>
      </w:r>
      <w:r w:rsidR="00C52CFA">
        <w:rPr>
          <w:rStyle w:val="FootnoteReference"/>
          <w:lang w:val="de-DE"/>
        </w:rPr>
        <w:footnoteReference w:id="3"/>
      </w:r>
    </w:p>
    <w:p w:rsidR="00EF1E8C" w:rsidRPr="00F76250" w:rsidRDefault="00EF1E8C" w:rsidP="00EF1E8C">
      <w:pPr>
        <w:pStyle w:val="H4G"/>
        <w:rPr>
          <w:b/>
          <w:bCs/>
        </w:rPr>
      </w:pPr>
      <w:r>
        <w:rPr>
          <w:b/>
          <w:bCs/>
        </w:rPr>
        <w:tab/>
      </w:r>
      <w:r>
        <w:rPr>
          <w:b/>
          <w:bCs/>
        </w:rPr>
        <w:tab/>
        <w:t xml:space="preserve">Änderungsvorschlag </w:t>
      </w:r>
    </w:p>
    <w:p w:rsidR="00EF1E8C" w:rsidRPr="00EF1E8C" w:rsidRDefault="00EF1E8C" w:rsidP="00EF1E8C">
      <w:pPr>
        <w:pStyle w:val="SingleTxtG"/>
        <w:rPr>
          <w:lang w:val="de-DE"/>
        </w:rPr>
      </w:pPr>
      <w:r w:rsidRPr="00EF1E8C">
        <w:rPr>
          <w:lang w:val="de-DE"/>
        </w:rPr>
        <w:t>[Der Änderungsvorschlag in der Vorschrift 7.1.4.4.4, „Geräte“ durch „Anlagen und Geräte“ zu ersetzen, bezieht sich nicht auf die englische und französische Fassung</w:t>
      </w:r>
      <w:r w:rsidR="00C52CFA">
        <w:rPr>
          <w:rStyle w:val="FootnoteReference"/>
          <w:lang w:val="de-DE"/>
        </w:rPr>
        <w:footnoteReference w:id="4"/>
      </w:r>
      <w:r w:rsidRPr="00EF1E8C">
        <w:rPr>
          <w:lang w:val="de-DE"/>
        </w:rPr>
        <w:t>].</w:t>
      </w:r>
    </w:p>
    <w:p w:rsidR="00EF1E8C" w:rsidRPr="00EF1E8C" w:rsidRDefault="00EF1E8C" w:rsidP="00520DB8">
      <w:pPr>
        <w:pStyle w:val="SingleTxtG"/>
        <w:tabs>
          <w:tab w:val="left" w:pos="1701"/>
        </w:tabs>
        <w:rPr>
          <w:lang w:val="de-DE"/>
        </w:rPr>
      </w:pPr>
      <w:r w:rsidRPr="00EF1E8C">
        <w:rPr>
          <w:lang w:val="de-DE"/>
        </w:rPr>
        <w:t>26.</w:t>
      </w:r>
      <w:r w:rsidRPr="00EF1E8C">
        <w:rPr>
          <w:lang w:val="de-DE"/>
        </w:rPr>
        <w:tab/>
        <w:t>Bei der Entwicklung der Vorschrift 7.1.4.4.4 ADN wurde insbesondere an Kühlcontainer (Reefer) gedacht, die an ihrer Außenseite elektrisch betriebene Kühlanlagen haben.</w:t>
      </w:r>
    </w:p>
    <w:p w:rsidR="00EF1E8C" w:rsidRPr="00EF1E8C" w:rsidRDefault="00EF1E8C" w:rsidP="00520DB8">
      <w:pPr>
        <w:pStyle w:val="SingleTxtG"/>
        <w:tabs>
          <w:tab w:val="left" w:pos="1701"/>
        </w:tabs>
        <w:rPr>
          <w:lang w:val="de-DE"/>
        </w:rPr>
      </w:pPr>
      <w:r w:rsidRPr="00EF1E8C">
        <w:rPr>
          <w:lang w:val="de-DE"/>
        </w:rPr>
        <w:t>27.</w:t>
      </w:r>
      <w:r w:rsidRPr="00EF1E8C">
        <w:rPr>
          <w:lang w:val="de-DE"/>
        </w:rPr>
        <w:tab/>
        <w:t xml:space="preserve">Eine aktuelle Diskussion im ECOSOC Sub-Committee </w:t>
      </w:r>
      <w:proofErr w:type="spellStart"/>
      <w:r w:rsidRPr="00EF1E8C">
        <w:rPr>
          <w:lang w:val="de-DE"/>
        </w:rPr>
        <w:t>of</w:t>
      </w:r>
      <w:proofErr w:type="spellEnd"/>
      <w:r w:rsidRPr="00EF1E8C">
        <w:rPr>
          <w:lang w:val="de-DE"/>
        </w:rPr>
        <w:t xml:space="preserve"> </w:t>
      </w:r>
      <w:proofErr w:type="spellStart"/>
      <w:r w:rsidRPr="00EF1E8C">
        <w:rPr>
          <w:lang w:val="de-DE"/>
        </w:rPr>
        <w:t>Experts</w:t>
      </w:r>
      <w:proofErr w:type="spellEnd"/>
      <w:r w:rsidRPr="00EF1E8C">
        <w:rPr>
          <w:lang w:val="de-DE"/>
        </w:rPr>
        <w:t xml:space="preserve"> on </w:t>
      </w:r>
      <w:proofErr w:type="spellStart"/>
      <w:r w:rsidRPr="00EF1E8C">
        <w:rPr>
          <w:lang w:val="de-DE"/>
        </w:rPr>
        <w:t>the</w:t>
      </w:r>
      <w:proofErr w:type="spellEnd"/>
      <w:r w:rsidRPr="00EF1E8C">
        <w:rPr>
          <w:lang w:val="de-DE"/>
        </w:rPr>
        <w:t xml:space="preserve"> Transport </w:t>
      </w:r>
      <w:proofErr w:type="spellStart"/>
      <w:r w:rsidRPr="00EF1E8C">
        <w:rPr>
          <w:lang w:val="de-DE"/>
        </w:rPr>
        <w:t>of</w:t>
      </w:r>
      <w:proofErr w:type="spellEnd"/>
      <w:r w:rsidRPr="00EF1E8C">
        <w:rPr>
          <w:lang w:val="de-DE"/>
        </w:rPr>
        <w:t xml:space="preserve"> </w:t>
      </w:r>
      <w:proofErr w:type="spellStart"/>
      <w:r w:rsidRPr="00EF1E8C">
        <w:rPr>
          <w:lang w:val="de-DE"/>
        </w:rPr>
        <w:t>Dangerous</w:t>
      </w:r>
      <w:proofErr w:type="spellEnd"/>
      <w:r w:rsidRPr="00EF1E8C">
        <w:rPr>
          <w:lang w:val="de-DE"/>
        </w:rPr>
        <w:t xml:space="preserve"> </w:t>
      </w:r>
      <w:proofErr w:type="spellStart"/>
      <w:r w:rsidRPr="00EF1E8C">
        <w:rPr>
          <w:lang w:val="de-DE"/>
        </w:rPr>
        <w:t>Goods</w:t>
      </w:r>
      <w:proofErr w:type="spellEnd"/>
      <w:r w:rsidRPr="00EF1E8C">
        <w:rPr>
          <w:lang w:val="de-DE"/>
        </w:rPr>
        <w:t xml:space="preserve"> (TDG Sub-Committee) bezieht sich darauf, dass Container oder andere Versandstücke zunehmend mit </w:t>
      </w:r>
      <w:r w:rsidRPr="00EF1E8C">
        <w:rPr>
          <w:i/>
          <w:lang w:val="de-DE"/>
        </w:rPr>
        <w:t>cargo-monitoring devices</w:t>
      </w:r>
      <w:r w:rsidRPr="00EF1E8C">
        <w:rPr>
          <w:lang w:val="de-DE"/>
        </w:rPr>
        <w:t xml:space="preserve">, </w:t>
      </w:r>
      <w:r w:rsidRPr="00EF1E8C">
        <w:rPr>
          <w:i/>
          <w:lang w:val="de-DE"/>
        </w:rPr>
        <w:t>data loggers</w:t>
      </w:r>
      <w:r w:rsidRPr="00EF1E8C">
        <w:rPr>
          <w:lang w:val="de-DE"/>
        </w:rPr>
        <w:t xml:space="preserve"> oder </w:t>
      </w:r>
      <w:r w:rsidRPr="00EF1E8C">
        <w:rPr>
          <w:i/>
          <w:lang w:val="de-DE"/>
        </w:rPr>
        <w:t>electronic shipping labels</w:t>
      </w:r>
      <w:r w:rsidRPr="00EF1E8C">
        <w:rPr>
          <w:lang w:val="de-DE"/>
        </w:rPr>
        <w:t xml:space="preserve"> ausgestattet werden, die während der Beförderung von Lithium-Metall oder –Ionen-Batterien betrieben werden. Auch diese können eine Zündquelle darstellen. (Siehe http://www.rmmagazine.com/2018/05/21/developing-new-safety-rules-for-cargo-tracking-devices/).</w:t>
      </w:r>
    </w:p>
    <w:p w:rsidR="00EF1E8C" w:rsidRPr="00EF1E8C" w:rsidRDefault="00EF1E8C" w:rsidP="00520DB8">
      <w:pPr>
        <w:pStyle w:val="SingleTxtG"/>
        <w:tabs>
          <w:tab w:val="left" w:pos="1701"/>
        </w:tabs>
        <w:rPr>
          <w:lang w:val="de-DE"/>
        </w:rPr>
      </w:pPr>
      <w:r w:rsidRPr="00EF1E8C">
        <w:rPr>
          <w:lang w:val="de-DE"/>
        </w:rPr>
        <w:t>28.</w:t>
      </w:r>
      <w:r w:rsidRPr="00EF1E8C">
        <w:rPr>
          <w:lang w:val="de-DE"/>
        </w:rPr>
        <w:tab/>
        <w:t xml:space="preserve">Der ADN-Sicherheitsausschuss könnte darüber beraten, ob diese </w:t>
      </w:r>
      <w:r w:rsidRPr="00EF1E8C">
        <w:rPr>
          <w:i/>
          <w:lang w:val="de-DE"/>
        </w:rPr>
        <w:t>cargo-monitoring devices</w:t>
      </w:r>
      <w:r w:rsidRPr="00EF1E8C">
        <w:rPr>
          <w:lang w:val="de-DE"/>
        </w:rPr>
        <w:t xml:space="preserve">, </w:t>
      </w:r>
      <w:r w:rsidRPr="00EF1E8C">
        <w:rPr>
          <w:i/>
          <w:lang w:val="de-DE"/>
        </w:rPr>
        <w:t>data loggers</w:t>
      </w:r>
      <w:r w:rsidRPr="00EF1E8C">
        <w:rPr>
          <w:lang w:val="de-DE"/>
        </w:rPr>
        <w:t xml:space="preserve"> und </w:t>
      </w:r>
      <w:r w:rsidRPr="00EF1E8C">
        <w:rPr>
          <w:i/>
          <w:lang w:val="de-DE"/>
        </w:rPr>
        <w:t>electronic shipping labels</w:t>
      </w:r>
      <w:r w:rsidRPr="00EF1E8C">
        <w:rPr>
          <w:lang w:val="de-DE"/>
        </w:rPr>
        <w:t xml:space="preserve"> unter den Begriff der „Anlagen und Geräte“ fallen, ob es solche </w:t>
      </w:r>
      <w:r w:rsidRPr="00EF1E8C">
        <w:rPr>
          <w:i/>
          <w:lang w:val="de-DE"/>
        </w:rPr>
        <w:t>cargo-monitoring devices</w:t>
      </w:r>
      <w:r w:rsidRPr="00EF1E8C">
        <w:rPr>
          <w:lang w:val="de-DE"/>
        </w:rPr>
        <w:t xml:space="preserve">, </w:t>
      </w:r>
      <w:r w:rsidRPr="00EF1E8C">
        <w:rPr>
          <w:i/>
          <w:lang w:val="de-DE"/>
        </w:rPr>
        <w:t>data loggers</w:t>
      </w:r>
      <w:r w:rsidRPr="00EF1E8C">
        <w:rPr>
          <w:lang w:val="de-DE"/>
        </w:rPr>
        <w:t xml:space="preserve"> und </w:t>
      </w:r>
      <w:r w:rsidRPr="00EF1E8C">
        <w:rPr>
          <w:i/>
          <w:lang w:val="de-DE"/>
        </w:rPr>
        <w:t>electronic shipping labels</w:t>
      </w:r>
      <w:r w:rsidRPr="00EF1E8C">
        <w:rPr>
          <w:lang w:val="de-DE"/>
        </w:rPr>
        <w:t xml:space="preserve"> auch vom Typ „bescheinigte Sicherheit“ gibt oder ob für diesen Fall aus Gründen des Explosionsschutzes eine neue Stauvorschrift erforderlich ist.</w:t>
      </w:r>
    </w:p>
    <w:p w:rsidR="00EF1E8C" w:rsidRPr="00EF1E8C" w:rsidRDefault="00EF1E8C" w:rsidP="00EF1E8C">
      <w:pPr>
        <w:pStyle w:val="H1G"/>
        <w:rPr>
          <w:lang w:val="de-DE"/>
        </w:rPr>
      </w:pPr>
      <w:r w:rsidRPr="00EF1E8C">
        <w:rPr>
          <w:lang w:val="de-DE"/>
        </w:rPr>
        <w:tab/>
        <w:t>I.</w:t>
      </w:r>
      <w:r w:rsidRPr="00EF1E8C">
        <w:rPr>
          <w:lang w:val="de-DE"/>
        </w:rPr>
        <w:tab/>
        <w:t xml:space="preserve">Maßnahmen während des Ladens, Beförderns, Löschens und Handhabens der Ladung in 7.2.4.16.4 </w:t>
      </w:r>
    </w:p>
    <w:p w:rsidR="00EF1E8C" w:rsidRPr="00EF1E8C" w:rsidRDefault="00EF1E8C" w:rsidP="00520DB8">
      <w:pPr>
        <w:pStyle w:val="SingleTxtG"/>
        <w:tabs>
          <w:tab w:val="left" w:pos="1701"/>
        </w:tabs>
        <w:rPr>
          <w:lang w:val="de-DE"/>
        </w:rPr>
      </w:pPr>
      <w:r w:rsidRPr="00EF1E8C">
        <w:rPr>
          <w:lang w:val="de-DE"/>
        </w:rPr>
        <w:t>29.</w:t>
      </w:r>
      <w:r w:rsidRPr="00EF1E8C">
        <w:rPr>
          <w:lang w:val="de-DE"/>
        </w:rPr>
        <w:tab/>
        <w:t>Der aktuelle Text hat folgenden Wortlaut: „Wenn das Schiff mit einem Querschott gemäß Absatz 9.3.1.25.3, 9.3.2.25.3 oder 9.3.3.25.3 versehen ist, müssen die Türen in diesem Schott während des Ladens oder Löschens geschlossen sein.“</w:t>
      </w:r>
    </w:p>
    <w:p w:rsidR="00EF1E8C" w:rsidRPr="00EF1E8C" w:rsidRDefault="00EF1E8C" w:rsidP="00520DB8">
      <w:pPr>
        <w:pStyle w:val="SingleTxtG"/>
        <w:tabs>
          <w:tab w:val="left" w:pos="1701"/>
        </w:tabs>
        <w:rPr>
          <w:lang w:val="de-DE"/>
        </w:rPr>
      </w:pPr>
      <w:r w:rsidRPr="00EF1E8C">
        <w:rPr>
          <w:lang w:val="de-DE"/>
        </w:rPr>
        <w:t>30.</w:t>
      </w:r>
      <w:r w:rsidRPr="00EF1E8C">
        <w:rPr>
          <w:lang w:val="de-DE"/>
        </w:rPr>
        <w:tab/>
        <w:t>Absatz 7.2.4.16.4 verweist auf 9.3.x.25.3, der in seiner bis zum 31. Dezember 2018 geltenden Fassung seinerseits auf ein „Querschott gemäß Absatz 9.3.x.10.2.“ verwies.</w:t>
      </w:r>
    </w:p>
    <w:p w:rsidR="00EF1E8C" w:rsidRPr="00EF1E8C" w:rsidRDefault="00EF1E8C" w:rsidP="00520DB8">
      <w:pPr>
        <w:pStyle w:val="SingleTxtG"/>
        <w:tabs>
          <w:tab w:val="left" w:pos="1701"/>
        </w:tabs>
        <w:rPr>
          <w:lang w:val="de-DE"/>
        </w:rPr>
      </w:pPr>
      <w:r w:rsidRPr="00EF1E8C">
        <w:rPr>
          <w:lang w:val="de-DE"/>
        </w:rPr>
        <w:t>31.</w:t>
      </w:r>
      <w:r w:rsidRPr="00EF1E8C">
        <w:rPr>
          <w:lang w:val="de-DE"/>
        </w:rPr>
        <w:tab/>
        <w:t xml:space="preserve">Absatz 9.3.x.25.3 wurde gestrichen. Absatz 9.3.x.10.2 erhielt einen neuen Text, der nichts mehr mit einem „Querschott“ zu tun hat. Die Übergangsvorschrift 1.6.7.2.2.2 zu 9.3.x.10.2 wurde in Übergangsvorschrift zu 9.3.x.10.4 umnummeriert. </w:t>
      </w:r>
      <w:r w:rsidRPr="00EF1E8C">
        <w:rPr>
          <w:lang w:val="de-DE"/>
        </w:rPr>
        <w:lastRenderedPageBreak/>
        <w:t>Auch in diesem Absatz geht es nicht mehr um Querschotte im Sinne von 9.3.x.10.2 ADN 2017.</w:t>
      </w:r>
    </w:p>
    <w:p w:rsidR="00EF1E8C" w:rsidRPr="00EF1E8C" w:rsidRDefault="00EF1E8C" w:rsidP="00520DB8">
      <w:pPr>
        <w:pStyle w:val="SingleTxtG"/>
        <w:tabs>
          <w:tab w:val="left" w:pos="1701"/>
        </w:tabs>
        <w:rPr>
          <w:lang w:val="de-DE"/>
        </w:rPr>
      </w:pPr>
      <w:r w:rsidRPr="00EF1E8C">
        <w:rPr>
          <w:lang w:val="de-DE"/>
        </w:rPr>
        <w:t>32.</w:t>
      </w:r>
      <w:r w:rsidRPr="00EF1E8C">
        <w:rPr>
          <w:lang w:val="de-DE"/>
        </w:rPr>
        <w:tab/>
        <w:t>Die Begriffe „Querschott“ oder „Querwand“ erscheinen an keiner anderen Stelle des ADN in der ab 1. Januar 2019 geltenden Fassung.</w:t>
      </w:r>
    </w:p>
    <w:p w:rsidR="00EF1E8C" w:rsidRPr="00A27FCC" w:rsidRDefault="00EF1E8C" w:rsidP="00EF1E8C">
      <w:pPr>
        <w:pStyle w:val="H4G"/>
        <w:rPr>
          <w:b/>
          <w:bCs/>
        </w:rPr>
      </w:pPr>
      <w:r>
        <w:rPr>
          <w:b/>
          <w:bCs/>
        </w:rPr>
        <w:tab/>
      </w:r>
      <w:r>
        <w:rPr>
          <w:b/>
          <w:bCs/>
        </w:rPr>
        <w:tab/>
        <w:t>Änderungsvorschlag</w:t>
      </w:r>
    </w:p>
    <w:p w:rsidR="00EF1E8C" w:rsidRPr="00EF1E8C" w:rsidRDefault="00EF1E8C" w:rsidP="00EF1E8C">
      <w:pPr>
        <w:pStyle w:val="SingleTxtG"/>
        <w:rPr>
          <w:lang w:val="de-DE"/>
        </w:rPr>
      </w:pPr>
      <w:r w:rsidRPr="00EF1E8C">
        <w:rPr>
          <w:lang w:val="de-DE"/>
        </w:rPr>
        <w:t>7.2.4.16.4</w:t>
      </w:r>
      <w:r w:rsidRPr="00EF1E8C">
        <w:rPr>
          <w:lang w:val="de-DE"/>
        </w:rPr>
        <w:tab/>
      </w:r>
      <w:r w:rsidR="00A26FBF">
        <w:rPr>
          <w:lang w:val="de-DE"/>
        </w:rPr>
        <w:t>Erhält folgenden Wortlaut:</w:t>
      </w:r>
      <w:r w:rsidRPr="00EF1E8C">
        <w:rPr>
          <w:lang w:val="de-DE"/>
        </w:rPr>
        <w:t xml:space="preserve"> „(gestrichen)“.</w:t>
      </w:r>
    </w:p>
    <w:p w:rsidR="00EF1E8C" w:rsidRPr="00EF1E8C" w:rsidRDefault="00EF1E8C" w:rsidP="00EF1E8C">
      <w:pPr>
        <w:pStyle w:val="H1G"/>
        <w:rPr>
          <w:lang w:val="de-DE"/>
        </w:rPr>
      </w:pPr>
      <w:r w:rsidRPr="00EF1E8C">
        <w:rPr>
          <w:lang w:val="de-DE"/>
        </w:rPr>
        <w:tab/>
        <w:t>J.</w:t>
      </w:r>
      <w:r w:rsidRPr="00EF1E8C">
        <w:rPr>
          <w:lang w:val="de-DE"/>
        </w:rPr>
        <w:tab/>
        <w:t xml:space="preserve">Dokumente, 8.1.2.1 e) </w:t>
      </w:r>
    </w:p>
    <w:p w:rsidR="00EF1E8C" w:rsidRPr="00EF1E8C" w:rsidRDefault="00EF1E8C" w:rsidP="00520DB8">
      <w:pPr>
        <w:pStyle w:val="SingleTxtG"/>
        <w:tabs>
          <w:tab w:val="left" w:pos="1701"/>
        </w:tabs>
        <w:rPr>
          <w:lang w:val="de-DE"/>
        </w:rPr>
      </w:pPr>
      <w:r w:rsidRPr="00EF1E8C">
        <w:rPr>
          <w:lang w:val="de-DE"/>
        </w:rPr>
        <w:t>33.</w:t>
      </w:r>
      <w:r w:rsidRPr="00EF1E8C">
        <w:rPr>
          <w:lang w:val="de-DE"/>
        </w:rPr>
        <w:tab/>
        <w:t>Der aktuelle Text hat folgenden Wortlaut: „die in Unterabschnitt 8.1.7.1 vorgeschriebene Bescheinigung der Isolationswiderstände der elektrischen Einrichtungen</w:t>
      </w:r>
      <w:r w:rsidR="00396038" w:rsidRPr="00396038">
        <w:rPr>
          <w:rFonts w:ascii="Arial" w:hAnsi="Arial"/>
          <w:bCs/>
          <w:sz w:val="18"/>
          <w:szCs w:val="18"/>
          <w:lang w:val="de-DE" w:eastAsia="de-DE"/>
        </w:rPr>
        <w:t xml:space="preserve"> </w:t>
      </w:r>
      <w:r w:rsidR="00396038" w:rsidRPr="00396038">
        <w:rPr>
          <w:rFonts w:ascii="Arial" w:hAnsi="Arial" w:cs="Arial"/>
          <w:sz w:val="18"/>
          <w:szCs w:val="18"/>
          <w:lang w:val="de-DE" w:eastAsia="fr-FR"/>
        </w:rPr>
        <w:t>und die nach Unterabschnitt 8.1.7.2 vorgeschriebenen Bescheinigungen über die Prüfung der Anlagen und Geräte und autonomen Schutzsysteme sowie zur Übereinstimmung der nach Absatz 8.1.2.2 e) bis h) bzw. 8.1.2.3 Buchstabe r) bis v) geforderten Unterlagen mit den Gegebenheiten an Bord</w:t>
      </w:r>
      <w:r w:rsidRPr="00EF1E8C">
        <w:rPr>
          <w:lang w:val="de-DE"/>
        </w:rPr>
        <w:t>;“</w:t>
      </w:r>
    </w:p>
    <w:p w:rsidR="00EF1E8C" w:rsidRPr="00EF1E8C" w:rsidRDefault="00EF1E8C" w:rsidP="00520DB8">
      <w:pPr>
        <w:pStyle w:val="SingleTxtG"/>
        <w:tabs>
          <w:tab w:val="left" w:pos="1701"/>
        </w:tabs>
        <w:rPr>
          <w:lang w:val="de-DE"/>
        </w:rPr>
      </w:pPr>
      <w:r w:rsidRPr="00EF1E8C">
        <w:rPr>
          <w:lang w:val="de-DE"/>
        </w:rPr>
        <w:t>34.</w:t>
      </w:r>
      <w:r w:rsidRPr="00EF1E8C">
        <w:rPr>
          <w:lang w:val="de-DE"/>
        </w:rPr>
        <w:tab/>
        <w:t>In Unterabschnitt 8.1.7.1 wird das Begriffspaar „Anlagen und Geräte“ anstelle von „Einrichtungen“ verwendet.</w:t>
      </w:r>
    </w:p>
    <w:p w:rsidR="00EF1E8C" w:rsidRPr="00A27FCC" w:rsidRDefault="00EF1E8C" w:rsidP="00EF1E8C">
      <w:pPr>
        <w:pStyle w:val="H4G"/>
        <w:rPr>
          <w:b/>
          <w:bCs/>
        </w:rPr>
      </w:pPr>
      <w:r>
        <w:rPr>
          <w:b/>
          <w:bCs/>
        </w:rPr>
        <w:tab/>
      </w:r>
      <w:r>
        <w:rPr>
          <w:b/>
          <w:bCs/>
        </w:rPr>
        <w:tab/>
        <w:t>Änderungsvorschlag</w:t>
      </w:r>
    </w:p>
    <w:p w:rsidR="00EF1E8C" w:rsidRPr="00EF1E8C" w:rsidRDefault="00EF1E8C" w:rsidP="00EF1E8C">
      <w:pPr>
        <w:pStyle w:val="SingleTxtG"/>
        <w:rPr>
          <w:lang w:val="de-DE"/>
        </w:rPr>
      </w:pPr>
      <w:r w:rsidRPr="00EF1E8C">
        <w:rPr>
          <w:lang w:val="de-DE"/>
        </w:rPr>
        <w:t>8.1.2.1 e)</w:t>
      </w:r>
      <w:r w:rsidRPr="00EF1E8C">
        <w:rPr>
          <w:lang w:val="de-DE"/>
        </w:rPr>
        <w:tab/>
        <w:t xml:space="preserve">„Einrichtungen“ </w:t>
      </w:r>
      <w:r w:rsidR="00A26FBF">
        <w:rPr>
          <w:lang w:val="de-DE"/>
        </w:rPr>
        <w:t>ändern in:</w:t>
      </w:r>
      <w:r w:rsidR="00A26FBF" w:rsidRPr="00EF1E8C">
        <w:rPr>
          <w:lang w:val="de-DE"/>
        </w:rPr>
        <w:t xml:space="preserve"> </w:t>
      </w:r>
      <w:r w:rsidRPr="00EF1E8C">
        <w:rPr>
          <w:lang w:val="de-DE"/>
        </w:rPr>
        <w:t>„Anlagen und Geräte“.</w:t>
      </w:r>
    </w:p>
    <w:p w:rsidR="00EF1E8C" w:rsidRPr="00EF1E8C" w:rsidRDefault="00EF1E8C" w:rsidP="00EF1E8C">
      <w:pPr>
        <w:pStyle w:val="H1G"/>
        <w:rPr>
          <w:lang w:val="de-DE"/>
        </w:rPr>
      </w:pPr>
      <w:r w:rsidRPr="00EF1E8C">
        <w:rPr>
          <w:lang w:val="de-DE"/>
        </w:rPr>
        <w:tab/>
        <w:t>K.</w:t>
      </w:r>
      <w:r w:rsidRPr="00EF1E8C">
        <w:rPr>
          <w:lang w:val="de-DE"/>
        </w:rPr>
        <w:tab/>
        <w:t>Dokumente, 8.1.2.2 e) – h), 8.1.2.3 r) – v)</w:t>
      </w:r>
    </w:p>
    <w:p w:rsidR="00EF1E8C" w:rsidRPr="00EF1E8C" w:rsidRDefault="00EF1E8C" w:rsidP="00520DB8">
      <w:pPr>
        <w:pStyle w:val="SingleTxtG"/>
        <w:tabs>
          <w:tab w:val="left" w:pos="1701"/>
        </w:tabs>
        <w:rPr>
          <w:lang w:val="de-DE"/>
        </w:rPr>
      </w:pPr>
      <w:r w:rsidRPr="00EF1E8C">
        <w:rPr>
          <w:lang w:val="de-DE"/>
        </w:rPr>
        <w:t>35.</w:t>
      </w:r>
      <w:r w:rsidRPr="00EF1E8C">
        <w:rPr>
          <w:lang w:val="de-DE"/>
        </w:rPr>
        <w:tab/>
        <w:t>Der aktuelle Text hat folgenden Wortlaut:</w:t>
      </w:r>
    </w:p>
    <w:p w:rsidR="00EF1E8C" w:rsidRPr="00EF1E8C" w:rsidRDefault="00EF1E8C" w:rsidP="00EF1E8C">
      <w:pPr>
        <w:pStyle w:val="SingleTxtG"/>
        <w:ind w:left="1701"/>
        <w:rPr>
          <w:lang w:val="de-DE"/>
        </w:rPr>
      </w:pPr>
      <w:r w:rsidRPr="00EF1E8C">
        <w:rPr>
          <w:lang w:val="de-DE"/>
        </w:rPr>
        <w:t>„Die unter e) bis h) genannten Unterlagen müssen mit dem Sichtvermerk der zuständigen Behörde versehen sein, die das Zulassungszeugnis erteilt.“</w:t>
      </w:r>
    </w:p>
    <w:p w:rsidR="00EF1E8C" w:rsidRPr="00EF1E8C" w:rsidRDefault="00EF1E8C" w:rsidP="00EF1E8C">
      <w:pPr>
        <w:pStyle w:val="SingleTxtG"/>
        <w:ind w:left="1701"/>
        <w:rPr>
          <w:lang w:val="de-DE"/>
        </w:rPr>
      </w:pPr>
      <w:r w:rsidRPr="00EF1E8C">
        <w:rPr>
          <w:lang w:val="de-DE"/>
        </w:rPr>
        <w:t>„Die vorstehend in r) bis v) genannten Unterlagen müssen mit dem Sichtvermerk der zuständigen Behörde versehen sein, die das Zulassungszeugnis erteilt hat.“</w:t>
      </w:r>
    </w:p>
    <w:p w:rsidR="00EF1E8C" w:rsidRPr="00EF1E8C" w:rsidRDefault="00EF1E8C" w:rsidP="00520DB8">
      <w:pPr>
        <w:pStyle w:val="SingleTxtG"/>
        <w:tabs>
          <w:tab w:val="left" w:pos="1701"/>
        </w:tabs>
        <w:rPr>
          <w:b/>
          <w:lang w:val="de-DE"/>
        </w:rPr>
      </w:pPr>
      <w:r w:rsidRPr="00EF1E8C">
        <w:rPr>
          <w:lang w:val="de-DE"/>
        </w:rPr>
        <w:t>36.</w:t>
      </w:r>
      <w:r w:rsidRPr="00EF1E8C">
        <w:rPr>
          <w:lang w:val="de-DE"/>
        </w:rPr>
        <w:tab/>
        <w:t>Es ist nicht klar, ob die Dokumente, bei jeder Erneuerung des Zulassungszeugnisses mit einem neuen Sichtvermerk versehen werden müssen, auch wenn sie nicht geändert wurden. Der Sicherheitsausschuss wird dazu aufgefordert, die Vorgabe näher zu erläutern.</w:t>
      </w:r>
    </w:p>
    <w:p w:rsidR="00EF1E8C" w:rsidRPr="00EF1E8C" w:rsidRDefault="00EF1E8C" w:rsidP="00EF1E8C">
      <w:pPr>
        <w:pStyle w:val="H1G"/>
        <w:rPr>
          <w:lang w:val="de-DE"/>
        </w:rPr>
      </w:pPr>
      <w:r w:rsidRPr="00EF1E8C">
        <w:rPr>
          <w:lang w:val="de-DE"/>
        </w:rPr>
        <w:tab/>
        <w:t>L.</w:t>
      </w:r>
      <w:r w:rsidRPr="00EF1E8C">
        <w:rPr>
          <w:lang w:val="de-DE"/>
        </w:rPr>
        <w:tab/>
        <w:t xml:space="preserve">Muster des Zulassungszeugnisses/Vorläufigen Zulassungszeugnisses „Trockengüterschiffe“, Unterabschnitte 8.6.1.1 und 8.6.1.2 </w:t>
      </w:r>
    </w:p>
    <w:p w:rsidR="00EF1E8C" w:rsidRPr="00EF1E8C" w:rsidRDefault="00EF1E8C" w:rsidP="00520DB8">
      <w:pPr>
        <w:pStyle w:val="SingleTxtG"/>
        <w:tabs>
          <w:tab w:val="left" w:pos="1701"/>
        </w:tabs>
        <w:rPr>
          <w:lang w:val="de-DE"/>
        </w:rPr>
      </w:pPr>
      <w:r w:rsidRPr="00EF1E8C">
        <w:rPr>
          <w:lang w:val="de-DE"/>
        </w:rPr>
        <w:t>37.</w:t>
      </w:r>
      <w:r w:rsidRPr="00EF1E8C">
        <w:rPr>
          <w:lang w:val="de-DE"/>
        </w:rPr>
        <w:tab/>
        <w:t>Der aktuelle Text hat folgenden Wortlaut: „Nr. 4 Elektrische und nicht-elektrische Anlagen und Geräte für den Einsatz in geschützten Bereichen:“</w:t>
      </w:r>
    </w:p>
    <w:p w:rsidR="00EF1E8C" w:rsidRPr="00EF1E8C" w:rsidRDefault="00EF1E8C" w:rsidP="00520DB8">
      <w:pPr>
        <w:pStyle w:val="SingleTxtG"/>
        <w:tabs>
          <w:tab w:val="left" w:pos="1701"/>
        </w:tabs>
        <w:rPr>
          <w:lang w:val="de-DE"/>
        </w:rPr>
      </w:pPr>
      <w:r w:rsidRPr="00EF1E8C">
        <w:rPr>
          <w:lang w:val="de-DE"/>
        </w:rPr>
        <w:t>38.</w:t>
      </w:r>
      <w:r w:rsidRPr="00EF1E8C">
        <w:rPr>
          <w:lang w:val="de-DE"/>
        </w:rPr>
        <w:tab/>
        <w:t>Der Eintrag unter Nr. 4 wurde mit Wirkung vom 1. Januar 2019 neu in die Muster der Zulassungszeugnisse aufgenommen. Die deutsche Delegation schlägt vor, wie bei den Zulassungszeugnissen für Tankschiffe (siehe nachfolgender Abschnitt XI.) diesen Eintrag nur auf die stationären, d.h. fest eingebauten Anlagen und Geräte zu beziehen (siehe Begriffsbestimmung „Gerät“ und Änderungsvorschlag in der Nr. 4 in diesem Dokument).</w:t>
      </w:r>
    </w:p>
    <w:p w:rsidR="00EF1E8C" w:rsidRPr="00A27FCC" w:rsidRDefault="00EF1E8C" w:rsidP="00EF1E8C">
      <w:pPr>
        <w:pStyle w:val="H4G"/>
        <w:rPr>
          <w:b/>
          <w:bCs/>
        </w:rPr>
      </w:pPr>
      <w:r>
        <w:rPr>
          <w:b/>
          <w:bCs/>
        </w:rPr>
        <w:lastRenderedPageBreak/>
        <w:tab/>
      </w:r>
      <w:r>
        <w:rPr>
          <w:b/>
          <w:bCs/>
        </w:rPr>
        <w:tab/>
        <w:t>Änderungsvorschlag</w:t>
      </w:r>
    </w:p>
    <w:p w:rsidR="00EF1E8C" w:rsidRPr="00EF1E8C" w:rsidRDefault="00EF1E8C" w:rsidP="00EF1E8C">
      <w:pPr>
        <w:pStyle w:val="SingleTxtG"/>
        <w:rPr>
          <w:lang w:val="de-DE"/>
        </w:rPr>
      </w:pPr>
      <w:r w:rsidRPr="00EF1E8C">
        <w:rPr>
          <w:lang w:val="de-DE"/>
        </w:rPr>
        <w:t xml:space="preserve">8.6.1.1 und 8.6.1.2 </w:t>
      </w:r>
      <w:r w:rsidRPr="00EF1E8C">
        <w:rPr>
          <w:lang w:val="de-DE"/>
        </w:rPr>
        <w:tab/>
        <w:t>Im Muster des Zulassungszeugnisses erhält Nr. 4 folgenden Wortlaut: „</w:t>
      </w:r>
      <w:r w:rsidRPr="00EF1E8C">
        <w:rPr>
          <w:i/>
          <w:lang w:val="de-DE"/>
        </w:rPr>
        <w:t>Stationäre elektrische und nicht-elektrische Anlagen und Geräte für den Einsatz in geschützten Bereichen</w:t>
      </w:r>
      <w:r w:rsidRPr="00EF1E8C">
        <w:rPr>
          <w:lang w:val="de-DE"/>
        </w:rPr>
        <w:t>“.</w:t>
      </w:r>
    </w:p>
    <w:p w:rsidR="00EF1E8C" w:rsidRPr="00EF1E8C" w:rsidRDefault="00EF1E8C" w:rsidP="00EF1E8C">
      <w:pPr>
        <w:pStyle w:val="H1G"/>
        <w:rPr>
          <w:lang w:val="de-DE"/>
        </w:rPr>
      </w:pPr>
      <w:r w:rsidRPr="00EF1E8C">
        <w:rPr>
          <w:lang w:val="de-DE"/>
        </w:rPr>
        <w:tab/>
        <w:t>M.</w:t>
      </w:r>
      <w:r w:rsidRPr="00EF1E8C">
        <w:rPr>
          <w:lang w:val="de-DE"/>
        </w:rPr>
        <w:tab/>
        <w:t xml:space="preserve">Muster des Zulassungszeugnisses/Vorläufigen Zulassungszeugnisses „Tankschiffe“, Unterabschnitte 8.6.1.3 und 8.6.1.4 </w:t>
      </w:r>
    </w:p>
    <w:p w:rsidR="00EF1E8C" w:rsidRPr="00EF1E8C" w:rsidRDefault="00EF1E8C" w:rsidP="00520DB8">
      <w:pPr>
        <w:pStyle w:val="SingleTxtG"/>
        <w:tabs>
          <w:tab w:val="left" w:pos="1701"/>
        </w:tabs>
        <w:rPr>
          <w:lang w:val="de-DE"/>
        </w:rPr>
      </w:pPr>
      <w:r w:rsidRPr="00EF1E8C">
        <w:rPr>
          <w:lang w:val="de-DE"/>
        </w:rPr>
        <w:t>39.</w:t>
      </w:r>
      <w:r w:rsidRPr="00EF1E8C">
        <w:rPr>
          <w:lang w:val="de-DE"/>
        </w:rPr>
        <w:tab/>
        <w:t>Der aktuelle Text hat folgenden Wortlaut: „Nr. 9 Elektrische und nicht-elektrische Anlagen und Geräte zum Einsatz in explosionsgefährdeten Bereichen:“</w:t>
      </w:r>
    </w:p>
    <w:p w:rsidR="00EF1E8C" w:rsidRPr="00EF1E8C" w:rsidRDefault="00EF1E8C" w:rsidP="00520DB8">
      <w:pPr>
        <w:pStyle w:val="SingleTxtG"/>
        <w:tabs>
          <w:tab w:val="left" w:pos="1701"/>
        </w:tabs>
        <w:rPr>
          <w:lang w:val="de-DE"/>
        </w:rPr>
      </w:pPr>
      <w:r w:rsidRPr="00EF1E8C">
        <w:rPr>
          <w:lang w:val="de-DE"/>
        </w:rPr>
        <w:t>40.</w:t>
      </w:r>
      <w:r w:rsidRPr="00EF1E8C">
        <w:rPr>
          <w:lang w:val="de-DE"/>
        </w:rPr>
        <w:tab/>
        <w:t xml:space="preserve">In der bis 31.12.2018 gültigen Fassung des Musters des Zulassungszeugnisses hat Nr. 9 folgenden Wortlaut: </w:t>
      </w:r>
      <w:r w:rsidRPr="00EF1E8C">
        <w:rPr>
          <w:i/>
          <w:lang w:val="de-DE"/>
        </w:rPr>
        <w:t>“9. Elektrische Einrichtungen“.</w:t>
      </w:r>
      <w:r w:rsidRPr="00EF1E8C">
        <w:rPr>
          <w:lang w:val="de-DE"/>
        </w:rPr>
        <w:t xml:space="preserve"> Dieser Eintrag bezog sich auf die Bauvorschrift 9.3.x.51 „Elektrische Einrichtungen“. Zusammen mit Unterabschnitt 9.x.1.52 war es offensichtlich, dass im Zulassungszeugnis nur die festinstallierten, ortsfesten Einrichtungen des Schiffes angesprochen wurden.</w:t>
      </w:r>
    </w:p>
    <w:p w:rsidR="00EF1E8C" w:rsidRPr="00EF1E8C" w:rsidRDefault="00EF1E8C" w:rsidP="00520DB8">
      <w:pPr>
        <w:pStyle w:val="SingleTxtG"/>
        <w:tabs>
          <w:tab w:val="left" w:pos="1701"/>
        </w:tabs>
        <w:rPr>
          <w:lang w:val="de-DE"/>
        </w:rPr>
      </w:pPr>
      <w:r w:rsidRPr="00EF1E8C">
        <w:rPr>
          <w:lang w:val="de-DE"/>
        </w:rPr>
        <w:t>41.</w:t>
      </w:r>
      <w:r w:rsidRPr="00EF1E8C">
        <w:rPr>
          <w:lang w:val="de-DE"/>
        </w:rPr>
        <w:tab/>
        <w:t>Die deutsche Delegation schlägt vor, auch ab dem 1. Januar 2019 einen Eintrag bei Nr. 9 des Zulassungszeugnisses nur auf die stationären, d.h. fest eingebauten Anlagen und Geräte zu beziehen (siehe Begriffsbestimmung „Gerät“ und Änderungsvorschlag Nr. 3 in diesem Dokument).</w:t>
      </w:r>
    </w:p>
    <w:p w:rsidR="00EF1E8C" w:rsidRPr="00EF1E8C" w:rsidRDefault="00EF1E8C" w:rsidP="00520DB8">
      <w:pPr>
        <w:pStyle w:val="SingleTxtG"/>
        <w:tabs>
          <w:tab w:val="left" w:pos="1701"/>
        </w:tabs>
        <w:rPr>
          <w:lang w:val="de-DE"/>
        </w:rPr>
      </w:pPr>
      <w:r w:rsidRPr="00EF1E8C">
        <w:rPr>
          <w:lang w:val="de-DE"/>
        </w:rPr>
        <w:t>42.</w:t>
      </w:r>
      <w:r w:rsidRPr="00EF1E8C">
        <w:rPr>
          <w:lang w:val="de-DE"/>
        </w:rPr>
        <w:tab/>
        <w:t xml:space="preserve">In den Mustern der Zulassungszeugnisse für Tankschiffe wurde eine neue Nummer 10 </w:t>
      </w:r>
      <w:r w:rsidRPr="00EF1E8C">
        <w:rPr>
          <w:i/>
          <w:lang w:val="de-DE"/>
        </w:rPr>
        <w:t>„Autonome Schutzsysteme“</w:t>
      </w:r>
      <w:r w:rsidRPr="00EF1E8C">
        <w:rPr>
          <w:lang w:val="de-DE"/>
        </w:rPr>
        <w:t xml:space="preserve"> eingefügt und die folgenden Einträge wurden entsprechend umnummeriert. Das macht eine Folgeänderung in Kapitel 1.16 erforderlich.</w:t>
      </w:r>
    </w:p>
    <w:p w:rsidR="00EF1E8C" w:rsidRPr="00A27FCC" w:rsidRDefault="00EF1E8C" w:rsidP="00EF1E8C">
      <w:pPr>
        <w:pStyle w:val="H4G"/>
        <w:rPr>
          <w:b/>
          <w:bCs/>
        </w:rPr>
      </w:pPr>
      <w:r>
        <w:rPr>
          <w:b/>
          <w:bCs/>
        </w:rPr>
        <w:tab/>
      </w:r>
      <w:r>
        <w:rPr>
          <w:b/>
          <w:bCs/>
        </w:rPr>
        <w:tab/>
        <w:t>Änderungsvorschläge</w:t>
      </w:r>
    </w:p>
    <w:p w:rsidR="00EF1E8C" w:rsidRPr="00EF1E8C" w:rsidRDefault="00EF1E8C" w:rsidP="00EF1E8C">
      <w:pPr>
        <w:pStyle w:val="SingleTxtG"/>
        <w:rPr>
          <w:lang w:val="de-DE"/>
        </w:rPr>
      </w:pPr>
      <w:r w:rsidRPr="00EF1E8C">
        <w:rPr>
          <w:lang w:val="de-DE"/>
        </w:rPr>
        <w:t xml:space="preserve">8.6.1.3 und 8.6.1.4 </w:t>
      </w:r>
      <w:r w:rsidRPr="00EF1E8C">
        <w:rPr>
          <w:lang w:val="de-DE"/>
        </w:rPr>
        <w:tab/>
        <w:t xml:space="preserve">Im Muster des Zulassungszeugnisses erhält Nr. 9 folgenden Wortlaut: </w:t>
      </w:r>
      <w:r w:rsidRPr="00EF1E8C">
        <w:rPr>
          <w:i/>
          <w:lang w:val="de-DE"/>
        </w:rPr>
        <w:t>„Stationäre elektrische Anlagen und Geräte“.</w:t>
      </w:r>
    </w:p>
    <w:p w:rsidR="00EF1E8C" w:rsidRPr="00EF1E8C" w:rsidRDefault="00EF1E8C" w:rsidP="00EF1E8C">
      <w:pPr>
        <w:pStyle w:val="SingleTxtG"/>
        <w:rPr>
          <w:lang w:val="de-DE"/>
        </w:rPr>
      </w:pPr>
      <w:r w:rsidRPr="00EF1E8C">
        <w:rPr>
          <w:lang w:val="de-DE"/>
        </w:rPr>
        <w:t>1.16.1.3.2</w:t>
      </w:r>
      <w:r w:rsidRPr="00EF1E8C">
        <w:rPr>
          <w:lang w:val="de-DE"/>
        </w:rPr>
        <w:tab/>
        <w:t xml:space="preserve"> Im letzten Satz „Nummer 12“ </w:t>
      </w:r>
      <w:r w:rsidR="00A2078A">
        <w:rPr>
          <w:lang w:val="de-DE"/>
        </w:rPr>
        <w:t>ändern in:</w:t>
      </w:r>
      <w:r w:rsidR="00A2078A" w:rsidRPr="00EF1E8C">
        <w:rPr>
          <w:lang w:val="de-DE"/>
        </w:rPr>
        <w:t xml:space="preserve"> </w:t>
      </w:r>
      <w:r w:rsidRPr="00EF1E8C">
        <w:rPr>
          <w:lang w:val="de-DE"/>
        </w:rPr>
        <w:t>„Nummer 13“.</w:t>
      </w:r>
    </w:p>
    <w:p w:rsidR="00EF1E8C" w:rsidRPr="00EF1E8C" w:rsidRDefault="00EF1E8C" w:rsidP="00EF1E8C">
      <w:pPr>
        <w:pStyle w:val="H1G"/>
        <w:rPr>
          <w:lang w:val="de-DE"/>
        </w:rPr>
      </w:pPr>
      <w:r w:rsidRPr="00EF1E8C">
        <w:rPr>
          <w:lang w:val="de-DE"/>
        </w:rPr>
        <w:tab/>
        <w:t>N.</w:t>
      </w:r>
      <w:r w:rsidRPr="00EF1E8C">
        <w:rPr>
          <w:lang w:val="de-DE"/>
        </w:rPr>
        <w:tab/>
        <w:t>Prüfliste (8.6.3)</w:t>
      </w:r>
    </w:p>
    <w:p w:rsidR="00EF1E8C" w:rsidRPr="00EF1E8C" w:rsidRDefault="00EF1E8C" w:rsidP="00520DB8">
      <w:pPr>
        <w:pStyle w:val="SingleTxtG"/>
        <w:tabs>
          <w:tab w:val="left" w:pos="1701"/>
        </w:tabs>
        <w:rPr>
          <w:lang w:val="de-DE"/>
        </w:rPr>
      </w:pPr>
      <w:r w:rsidRPr="00EF1E8C">
        <w:rPr>
          <w:lang w:val="de-DE"/>
        </w:rPr>
        <w:t>43.</w:t>
      </w:r>
      <w:r w:rsidRPr="00EF1E8C">
        <w:rPr>
          <w:lang w:val="de-DE"/>
        </w:rPr>
        <w:tab/>
        <w:t>Verbundene Texte: „14.</w:t>
      </w:r>
      <w:r w:rsidRPr="00EF1E8C">
        <w:rPr>
          <w:lang w:val="de-DE"/>
        </w:rPr>
        <w:tab/>
        <w:t>Kontrolle der wichtigsten Betriebsvorschriften:</w:t>
      </w:r>
    </w:p>
    <w:p w:rsidR="00EF1E8C" w:rsidRPr="00EF1E8C" w:rsidRDefault="00EF1E8C" w:rsidP="00EF1E8C">
      <w:pPr>
        <w:pStyle w:val="SingleTxtG"/>
        <w:tabs>
          <w:tab w:val="left" w:pos="1985"/>
        </w:tabs>
        <w:ind w:left="1701"/>
        <w:rPr>
          <w:lang w:val="de-DE"/>
        </w:rPr>
      </w:pPr>
      <w:r w:rsidRPr="00EF1E8C">
        <w:rPr>
          <w:lang w:val="de-DE"/>
        </w:rPr>
        <w:t>-</w:t>
      </w:r>
      <w:r w:rsidRPr="00EF1E8C">
        <w:rPr>
          <w:lang w:val="de-DE"/>
        </w:rPr>
        <w:tab/>
        <w:t>Sind alle elektrischen Einrichtungen mit roter Kennzeichnung abgeschaltet?“</w:t>
      </w:r>
    </w:p>
    <w:p w:rsidR="00EF1E8C" w:rsidRPr="00EF1E8C" w:rsidRDefault="00EF1E8C" w:rsidP="00EF1E8C">
      <w:pPr>
        <w:pStyle w:val="SingleTxtG"/>
        <w:tabs>
          <w:tab w:val="left" w:pos="1985"/>
        </w:tabs>
        <w:ind w:left="1701"/>
        <w:rPr>
          <w:lang w:val="de-DE"/>
        </w:rPr>
      </w:pPr>
      <w:r w:rsidRPr="00EF1E8C">
        <w:rPr>
          <w:lang w:val="de-DE"/>
        </w:rPr>
        <w:t>Erklärung zu Frage 11 Verständigung Schiff - Land</w:t>
      </w:r>
    </w:p>
    <w:p w:rsidR="00EF1E8C" w:rsidRPr="00EF1E8C" w:rsidRDefault="00EF1E8C" w:rsidP="00520DB8">
      <w:pPr>
        <w:pStyle w:val="SingleTxtG"/>
        <w:tabs>
          <w:tab w:val="left" w:pos="1701"/>
        </w:tabs>
        <w:rPr>
          <w:lang w:val="de-DE"/>
        </w:rPr>
      </w:pPr>
      <w:r w:rsidRPr="00EF1E8C">
        <w:rPr>
          <w:lang w:val="de-DE"/>
        </w:rPr>
        <w:t>44.</w:t>
      </w:r>
      <w:r w:rsidRPr="00EF1E8C">
        <w:rPr>
          <w:lang w:val="de-DE"/>
        </w:rPr>
        <w:tab/>
        <w:t>Diese Frage der Prüfliste bezieht sich nach dem Verständnis der deutschen Delegation auf die Vorschrift 9.3.x.52.3. Dort ist die Rede von „</w:t>
      </w:r>
      <w:r w:rsidR="00B71CEC">
        <w:rPr>
          <w:lang w:val="de-DE"/>
        </w:rPr>
        <w:t xml:space="preserve">elektrische </w:t>
      </w:r>
      <w:r w:rsidRPr="00EF1E8C">
        <w:rPr>
          <w:lang w:val="de-DE"/>
        </w:rPr>
        <w:t>Anlagen und Geräten“. Daher sollte auch in der Frage 14 der Prüfliste der Begriff „</w:t>
      </w:r>
      <w:r w:rsidR="00B71CEC">
        <w:rPr>
          <w:lang w:val="de-DE"/>
        </w:rPr>
        <w:t xml:space="preserve">elektrischen </w:t>
      </w:r>
      <w:r w:rsidRPr="00EF1E8C">
        <w:rPr>
          <w:lang w:val="de-DE"/>
        </w:rPr>
        <w:t>Einrichtungen“ durch „</w:t>
      </w:r>
      <w:r w:rsidR="00B71CEC">
        <w:rPr>
          <w:lang w:val="de-DE"/>
        </w:rPr>
        <w:t xml:space="preserve">elektrischen </w:t>
      </w:r>
      <w:r w:rsidRPr="00EF1E8C">
        <w:rPr>
          <w:lang w:val="de-DE"/>
        </w:rPr>
        <w:t>Anlagen und Geräte“ ersetzt werden.</w:t>
      </w:r>
    </w:p>
    <w:p w:rsidR="00EF1E8C" w:rsidRPr="00EF1E8C" w:rsidRDefault="00EF1E8C" w:rsidP="00520DB8">
      <w:pPr>
        <w:pStyle w:val="SingleTxtG"/>
        <w:tabs>
          <w:tab w:val="left" w:pos="1701"/>
        </w:tabs>
        <w:rPr>
          <w:lang w:val="de-DE"/>
        </w:rPr>
      </w:pPr>
      <w:r w:rsidRPr="00EF1E8C">
        <w:rPr>
          <w:lang w:val="de-DE"/>
        </w:rPr>
        <w:t>45.</w:t>
      </w:r>
      <w:r w:rsidRPr="00EF1E8C">
        <w:rPr>
          <w:lang w:val="de-DE"/>
        </w:rPr>
        <w:tab/>
        <w:t>Die Anforderungen an den Explosionsschutz werden davon abhängig gemacht, ob Stoffe befördert, geladen oder gelöscht werden, die nach Tabelle C Spalte (17) Explosionsschutz erfordern. Diese Differenzierung sollte auch in der Erklärung zu Frage 11 der Prüfliste darüber berücksichtigt werden, wann nur solche Telefon- und Funkgeräte verwendet werden dürfen, die explosionsgeschützt sind.</w:t>
      </w:r>
    </w:p>
    <w:p w:rsidR="00EF1E8C" w:rsidRPr="00A27FCC" w:rsidRDefault="00EF1E8C" w:rsidP="00EF1E8C">
      <w:pPr>
        <w:pStyle w:val="H4G"/>
        <w:rPr>
          <w:b/>
          <w:bCs/>
        </w:rPr>
      </w:pPr>
      <w:r>
        <w:rPr>
          <w:b/>
          <w:bCs/>
        </w:rPr>
        <w:lastRenderedPageBreak/>
        <w:tab/>
      </w:r>
      <w:r>
        <w:rPr>
          <w:b/>
          <w:bCs/>
        </w:rPr>
        <w:tab/>
        <w:t>Änderungsvorschläge</w:t>
      </w:r>
    </w:p>
    <w:p w:rsidR="00EF1E8C" w:rsidRPr="00EF1E8C" w:rsidRDefault="00EF1E8C" w:rsidP="00EF1E8C">
      <w:pPr>
        <w:pStyle w:val="SingleTxtG"/>
        <w:tabs>
          <w:tab w:val="left" w:pos="2127"/>
        </w:tabs>
        <w:rPr>
          <w:lang w:val="de-DE"/>
        </w:rPr>
      </w:pPr>
      <w:r w:rsidRPr="00EF1E8C">
        <w:rPr>
          <w:lang w:val="de-DE"/>
        </w:rPr>
        <w:t>8.6.3</w:t>
      </w:r>
      <w:r w:rsidRPr="00EF1E8C">
        <w:rPr>
          <w:lang w:val="de-DE"/>
        </w:rPr>
        <w:tab/>
        <w:t>In der Prüfliste, Frage 14, 6. Spiegelstrich „Einrichtungen“ durch „Anlagen und Geräte“ ersetzen.</w:t>
      </w:r>
    </w:p>
    <w:p w:rsidR="00EF1E8C" w:rsidRPr="00EF1E8C" w:rsidRDefault="00EF1E8C" w:rsidP="00EF1E8C">
      <w:pPr>
        <w:pStyle w:val="SingleTxtG"/>
        <w:tabs>
          <w:tab w:val="left" w:pos="2127"/>
        </w:tabs>
        <w:rPr>
          <w:lang w:val="de-DE"/>
        </w:rPr>
      </w:pPr>
      <w:r w:rsidRPr="00EF1E8C">
        <w:rPr>
          <w:lang w:val="de-DE"/>
        </w:rPr>
        <w:t>8.6.3</w:t>
      </w:r>
      <w:r w:rsidRPr="00EF1E8C">
        <w:rPr>
          <w:lang w:val="de-DE"/>
        </w:rPr>
        <w:tab/>
        <w:t>In der Prüfliste, Erklärung zu Frage 11, den zweiten Satz wie folgt ersetzen:</w:t>
      </w:r>
    </w:p>
    <w:p w:rsidR="00EF1E8C" w:rsidRPr="00EF1E8C" w:rsidRDefault="00EF1E8C" w:rsidP="00EF1E8C">
      <w:pPr>
        <w:pStyle w:val="SingleTxtG"/>
        <w:ind w:left="1701"/>
        <w:rPr>
          <w:lang w:val="de-DE"/>
        </w:rPr>
      </w:pPr>
      <w:r w:rsidRPr="00EF1E8C">
        <w:rPr>
          <w:lang w:val="de-DE"/>
        </w:rPr>
        <w:t>„Wenn nach Unterabschnitt 3.2.3.2 Tabelle C Spalte (17) Explosionsschutz erforderlich ist, dürfen zu diesem Zweck Telefon- und Funkgeräte nur verwendet werden, wenn sie explosionsgeschützt sind. Sie müssen in Reichweite der Aufsichtsperson angeordnet sein.“.</w:t>
      </w:r>
    </w:p>
    <w:p w:rsidR="00EF1E8C" w:rsidRPr="00EF1E8C" w:rsidRDefault="00EF1E8C" w:rsidP="00EF1E8C">
      <w:pPr>
        <w:pStyle w:val="H1G"/>
        <w:rPr>
          <w:lang w:val="de-DE"/>
        </w:rPr>
      </w:pPr>
      <w:r w:rsidRPr="00EF1E8C">
        <w:rPr>
          <w:lang w:val="de-DE"/>
        </w:rPr>
        <w:tab/>
        <w:t>O.</w:t>
      </w:r>
      <w:r w:rsidRPr="00EF1E8C">
        <w:rPr>
          <w:lang w:val="de-DE"/>
        </w:rPr>
        <w:tab/>
        <w:t xml:space="preserve">9.3.2.42.4, 9.3.3.42.4 (erster und dritter Satz) </w:t>
      </w:r>
    </w:p>
    <w:p w:rsidR="00EF1E8C" w:rsidRPr="00EF1E8C" w:rsidRDefault="00EF1E8C" w:rsidP="00520DB8">
      <w:pPr>
        <w:pStyle w:val="SingleTxtG"/>
        <w:tabs>
          <w:tab w:val="left" w:pos="1701"/>
        </w:tabs>
        <w:rPr>
          <w:lang w:val="de-DE"/>
        </w:rPr>
      </w:pPr>
      <w:r w:rsidRPr="00EF1E8C">
        <w:rPr>
          <w:lang w:val="de-DE"/>
        </w:rPr>
        <w:t>46.</w:t>
      </w:r>
      <w:r w:rsidRPr="00EF1E8C">
        <w:rPr>
          <w:lang w:val="de-DE"/>
        </w:rPr>
        <w:tab/>
        <w:t xml:space="preserve">Der aktuelle Text hat folgenden Wortlaut: </w:t>
      </w:r>
    </w:p>
    <w:p w:rsidR="00EF1E8C" w:rsidRPr="00EF1E8C" w:rsidRDefault="00EF1E8C" w:rsidP="00EF1E8C">
      <w:pPr>
        <w:pStyle w:val="SingleTxtG"/>
        <w:ind w:left="1701"/>
        <w:rPr>
          <w:lang w:val="de-DE"/>
        </w:rPr>
      </w:pPr>
      <w:r w:rsidRPr="00EF1E8C">
        <w:rPr>
          <w:lang w:val="de-DE"/>
        </w:rPr>
        <w:t>„Wenn die Ladungsheizungsanlage beim Laden, Löschen oder Entgasen bei einer aus der Ladung herrührenden Konzentration von 10 % der UEG oder mehr benutzt werden muss, muss der Betriebsraum, in dem diese Anlage aufgestellt ist, den Vorschriften des Absatzes 9.3.2.52.3 vollständig entsprechen. ...</w:t>
      </w:r>
    </w:p>
    <w:p w:rsidR="00EF1E8C" w:rsidRPr="00EF1E8C" w:rsidRDefault="00EF1E8C" w:rsidP="00EF1E8C">
      <w:pPr>
        <w:pStyle w:val="SingleTxtG"/>
        <w:ind w:left="1701"/>
        <w:rPr>
          <w:lang w:val="de-DE"/>
        </w:rPr>
      </w:pPr>
      <w:r w:rsidRPr="00EF1E8C">
        <w:rPr>
          <w:lang w:val="de-DE"/>
        </w:rPr>
        <w:t>Beim Löschen von Stoffen mit einem Flammpunkt ≥ 60 °C, wenn die Produkttemperatur mindestens 15 K unterhalb des Flammpunktes liegt, brauchen die Vorschriften des Absatzes 9.3.2.52.3 nicht eingehalten zu werden.“</w:t>
      </w:r>
    </w:p>
    <w:p w:rsidR="00EF1E8C" w:rsidRPr="00EF1E8C" w:rsidRDefault="00EF1E8C" w:rsidP="00520DB8">
      <w:pPr>
        <w:pStyle w:val="SingleTxtG"/>
        <w:tabs>
          <w:tab w:val="left" w:pos="1701"/>
        </w:tabs>
        <w:rPr>
          <w:lang w:val="de-DE"/>
        </w:rPr>
      </w:pPr>
      <w:r w:rsidRPr="00EF1E8C">
        <w:rPr>
          <w:lang w:val="de-DE"/>
        </w:rPr>
        <w:t>47.</w:t>
      </w:r>
      <w:r w:rsidRPr="00EF1E8C">
        <w:rPr>
          <w:lang w:val="de-DE"/>
        </w:rPr>
        <w:tab/>
        <w:t>Absatz 9.3.x.42.4 bezieht sich zweifach auf 9.3.x.52.3.</w:t>
      </w:r>
    </w:p>
    <w:p w:rsidR="00EF1E8C" w:rsidRPr="00EF1E8C" w:rsidRDefault="00EF1E8C" w:rsidP="00520DB8">
      <w:pPr>
        <w:pStyle w:val="SingleTxtG"/>
        <w:tabs>
          <w:tab w:val="left" w:pos="1701"/>
        </w:tabs>
        <w:rPr>
          <w:lang w:val="de-DE"/>
        </w:rPr>
      </w:pPr>
      <w:r w:rsidRPr="00EF1E8C">
        <w:rPr>
          <w:lang w:val="de-DE"/>
        </w:rPr>
        <w:t xml:space="preserve">48. </w:t>
      </w:r>
      <w:r w:rsidRPr="00EF1E8C">
        <w:rPr>
          <w:lang w:val="de-DE"/>
        </w:rPr>
        <w:tab/>
        <w:t>Bis 31.12.2018 enthielt dieser Absatz Vorschriften über „Elektrische Einrichtungen vom Typ „begrenzte Explosionsgefahr““. Mit Wirkung vom 1.1.2019 wurden diese Vorschriften in den Absatz 9.3.x.</w:t>
      </w:r>
      <w:r w:rsidR="00344701" w:rsidRPr="00EF1E8C">
        <w:rPr>
          <w:lang w:val="de-DE"/>
        </w:rPr>
        <w:t>5</w:t>
      </w:r>
      <w:r w:rsidR="00344701">
        <w:rPr>
          <w:lang w:val="de-DE"/>
        </w:rPr>
        <w:t>2</w:t>
      </w:r>
      <w:r w:rsidRPr="00EF1E8C">
        <w:rPr>
          <w:lang w:val="de-DE"/>
        </w:rPr>
        <w:t>.1 verschoben.</w:t>
      </w:r>
    </w:p>
    <w:p w:rsidR="00EF1E8C" w:rsidRPr="00A27FCC" w:rsidRDefault="00EF1E8C" w:rsidP="00EF1E8C">
      <w:pPr>
        <w:pStyle w:val="H4G"/>
        <w:rPr>
          <w:b/>
          <w:bCs/>
        </w:rPr>
      </w:pPr>
      <w:r>
        <w:rPr>
          <w:b/>
          <w:bCs/>
        </w:rPr>
        <w:tab/>
      </w:r>
      <w:r>
        <w:rPr>
          <w:b/>
          <w:bCs/>
        </w:rPr>
        <w:tab/>
        <w:t>Änderungsvorschlag</w:t>
      </w:r>
    </w:p>
    <w:p w:rsidR="00EF1E8C" w:rsidRPr="00EF1E8C" w:rsidRDefault="00EF1E8C" w:rsidP="00EF1E8C">
      <w:pPr>
        <w:pStyle w:val="SingleTxtG"/>
        <w:rPr>
          <w:lang w:val="de-DE"/>
        </w:rPr>
      </w:pPr>
      <w:r w:rsidRPr="00EF1E8C">
        <w:rPr>
          <w:lang w:val="de-DE"/>
        </w:rPr>
        <w:t>9.3.2.42.4</w:t>
      </w:r>
      <w:r w:rsidRPr="00EF1E8C">
        <w:rPr>
          <w:lang w:val="de-DE"/>
        </w:rPr>
        <w:tab/>
        <w:t xml:space="preserve">„9.3.2.52.3“ </w:t>
      </w:r>
      <w:r w:rsidR="00A26FBF">
        <w:rPr>
          <w:lang w:val="de-DE"/>
        </w:rPr>
        <w:t>ändern in:</w:t>
      </w:r>
      <w:r w:rsidR="00A26FBF" w:rsidRPr="00EF1E8C">
        <w:rPr>
          <w:lang w:val="de-DE"/>
        </w:rPr>
        <w:t xml:space="preserve"> </w:t>
      </w:r>
      <w:r w:rsidRPr="00EF1E8C">
        <w:rPr>
          <w:lang w:val="de-DE"/>
        </w:rPr>
        <w:t>„9.3.2.52.1“.</w:t>
      </w:r>
    </w:p>
    <w:p w:rsidR="00EF1E8C" w:rsidRPr="00EF1E8C" w:rsidRDefault="00EF1E8C" w:rsidP="00EF1E8C">
      <w:pPr>
        <w:pStyle w:val="SingleTxtG"/>
        <w:rPr>
          <w:lang w:val="de-DE"/>
        </w:rPr>
      </w:pPr>
      <w:r w:rsidRPr="00EF1E8C">
        <w:rPr>
          <w:lang w:val="de-DE"/>
        </w:rPr>
        <w:t xml:space="preserve">9.3.3.42.4 </w:t>
      </w:r>
      <w:r w:rsidRPr="00EF1E8C">
        <w:rPr>
          <w:lang w:val="de-DE"/>
        </w:rPr>
        <w:tab/>
        <w:t xml:space="preserve">„9.3.3.52.3“ </w:t>
      </w:r>
      <w:r w:rsidR="00A26FBF">
        <w:rPr>
          <w:lang w:val="de-DE"/>
        </w:rPr>
        <w:t>ändern in:</w:t>
      </w:r>
      <w:r w:rsidRPr="00EF1E8C">
        <w:rPr>
          <w:lang w:val="de-DE"/>
        </w:rPr>
        <w:t xml:space="preserve"> „9.3.3.52.1“.</w:t>
      </w:r>
    </w:p>
    <w:p w:rsidR="00EF1E8C" w:rsidRPr="00EF1E8C" w:rsidRDefault="00EF1E8C" w:rsidP="00EF1E8C">
      <w:pPr>
        <w:pStyle w:val="H1G"/>
        <w:rPr>
          <w:lang w:val="de-DE"/>
        </w:rPr>
      </w:pPr>
      <w:r w:rsidRPr="00EF1E8C">
        <w:rPr>
          <w:lang w:val="de-DE"/>
        </w:rPr>
        <w:tab/>
        <w:t>P.</w:t>
      </w:r>
      <w:r w:rsidRPr="00EF1E8C">
        <w:rPr>
          <w:lang w:val="de-DE"/>
        </w:rPr>
        <w:tab/>
        <w:t xml:space="preserve">Absatz 9.3.2.8.3 </w:t>
      </w:r>
    </w:p>
    <w:p w:rsidR="00EF1E8C" w:rsidRPr="00EF1E8C" w:rsidRDefault="00EF1E8C" w:rsidP="00520DB8">
      <w:pPr>
        <w:pStyle w:val="SingleTxtG"/>
        <w:tabs>
          <w:tab w:val="left" w:pos="1701"/>
        </w:tabs>
        <w:rPr>
          <w:lang w:val="de-DE"/>
        </w:rPr>
      </w:pPr>
      <w:r w:rsidRPr="00EF1E8C">
        <w:rPr>
          <w:lang w:val="de-DE"/>
        </w:rPr>
        <w:t>49.</w:t>
      </w:r>
      <w:r w:rsidRPr="00EF1E8C">
        <w:rPr>
          <w:lang w:val="de-DE"/>
        </w:rPr>
        <w:tab/>
        <w:t>Der aktuelle Text hat folgenden Wortlaut: „Der Zustand der Gasspüranlagen gemäß Absatz 9.3.2.52.3 muss bei jeder Erneuerung des Zulassungszeugnisses sowie innerhalb des dritten Jahres der Gültigkeit des Zulassungszeugnisses einmal von einer anerkannten Klassifikationsgesellschaft geprüft werden. Eine von der anerkannten Klassifikationsgesellschaft unterzeichnete Bescheinigung ist an Bord mitzuführen.“</w:t>
      </w:r>
      <w:r w:rsidR="00C52CFA">
        <w:rPr>
          <w:rStyle w:val="FootnoteReference"/>
          <w:lang w:val="de-DE"/>
        </w:rPr>
        <w:footnoteReference w:id="5"/>
      </w:r>
    </w:p>
    <w:p w:rsidR="00EF1E8C" w:rsidRPr="00EF1E8C" w:rsidRDefault="00EF1E8C" w:rsidP="00520DB8">
      <w:pPr>
        <w:pStyle w:val="SingleTxtG"/>
        <w:tabs>
          <w:tab w:val="left" w:pos="1701"/>
        </w:tabs>
        <w:rPr>
          <w:lang w:val="de-DE"/>
        </w:rPr>
      </w:pPr>
      <w:r w:rsidRPr="00EF1E8C">
        <w:rPr>
          <w:lang w:val="de-DE"/>
        </w:rPr>
        <w:t>50.</w:t>
      </w:r>
      <w:r w:rsidRPr="00EF1E8C">
        <w:rPr>
          <w:lang w:val="de-DE"/>
        </w:rPr>
        <w:tab/>
        <w:t>Absatz 9.3.2.8.3 bezieht sich auf 9.3.2.52.3.</w:t>
      </w:r>
    </w:p>
    <w:p w:rsidR="00EF1E8C" w:rsidRPr="00EF1E8C" w:rsidRDefault="00EF1E8C" w:rsidP="00520DB8">
      <w:pPr>
        <w:pStyle w:val="SingleTxtG"/>
        <w:tabs>
          <w:tab w:val="left" w:pos="1701"/>
        </w:tabs>
        <w:rPr>
          <w:lang w:val="de-DE"/>
        </w:rPr>
      </w:pPr>
      <w:r w:rsidRPr="00EF1E8C">
        <w:rPr>
          <w:lang w:val="de-DE"/>
        </w:rPr>
        <w:t>51.</w:t>
      </w:r>
      <w:r w:rsidRPr="00EF1E8C">
        <w:rPr>
          <w:lang w:val="de-DE"/>
        </w:rPr>
        <w:tab/>
        <w:t>Absatz 9.3.x.52.3 erwähnt ab 1. Januar 2019 die Gasspüranlagen nicht mehr. Die Vorschriften über die elektrischen Anlagen und Geräte wurden in den Absatz 9.3.x.51.1 verschoben.</w:t>
      </w:r>
    </w:p>
    <w:p w:rsidR="00EF1E8C" w:rsidRPr="00EF1E8C" w:rsidRDefault="00EF1E8C" w:rsidP="00520DB8">
      <w:pPr>
        <w:pStyle w:val="SingleTxtG"/>
        <w:tabs>
          <w:tab w:val="left" w:pos="1701"/>
        </w:tabs>
        <w:rPr>
          <w:lang w:val="de-DE"/>
        </w:rPr>
      </w:pPr>
      <w:r w:rsidRPr="00EF1E8C">
        <w:rPr>
          <w:lang w:val="de-DE"/>
        </w:rPr>
        <w:t>52.</w:t>
      </w:r>
      <w:r w:rsidRPr="00EF1E8C">
        <w:rPr>
          <w:lang w:val="de-DE"/>
        </w:rPr>
        <w:tab/>
        <w:t>Die Vorschriften zur Prüfung der Gasspüranlagen durch eine anerkannte Klassifikationsgesellschaft findet man ab 1. Januar 2019 in Unterabschnitt 8.1.6.3, Sätze 4 bis 7.</w:t>
      </w:r>
    </w:p>
    <w:p w:rsidR="00EF1E8C" w:rsidRPr="00EF1E8C" w:rsidRDefault="00EF1E8C" w:rsidP="00520DB8">
      <w:pPr>
        <w:pStyle w:val="SingleTxtG"/>
        <w:tabs>
          <w:tab w:val="left" w:pos="1701"/>
        </w:tabs>
        <w:rPr>
          <w:lang w:val="de-DE"/>
        </w:rPr>
      </w:pPr>
      <w:r w:rsidRPr="00EF1E8C">
        <w:rPr>
          <w:lang w:val="de-DE"/>
        </w:rPr>
        <w:t>53.</w:t>
      </w:r>
      <w:r w:rsidRPr="00EF1E8C">
        <w:rPr>
          <w:lang w:val="de-DE"/>
        </w:rPr>
        <w:tab/>
        <w:t>Die Regelung in Absatz 9.3.2.8.3 ist daher überflüssig geworden.</w:t>
      </w:r>
    </w:p>
    <w:p w:rsidR="00EF1E8C" w:rsidRPr="00A27FCC" w:rsidRDefault="00EF1E8C" w:rsidP="00EF1E8C">
      <w:pPr>
        <w:pStyle w:val="H4G"/>
        <w:rPr>
          <w:b/>
          <w:bCs/>
        </w:rPr>
      </w:pPr>
      <w:r>
        <w:rPr>
          <w:b/>
          <w:bCs/>
        </w:rPr>
        <w:lastRenderedPageBreak/>
        <w:tab/>
      </w:r>
      <w:r>
        <w:rPr>
          <w:b/>
          <w:bCs/>
        </w:rPr>
        <w:tab/>
        <w:t>Änderungsvorschlag</w:t>
      </w:r>
    </w:p>
    <w:p w:rsidR="00F025DE" w:rsidRDefault="00EF1E8C" w:rsidP="00C50598">
      <w:pPr>
        <w:pStyle w:val="SingleTxtG"/>
        <w:rPr>
          <w:lang w:val="de-DE"/>
        </w:rPr>
      </w:pPr>
      <w:r w:rsidRPr="00EF1E8C">
        <w:rPr>
          <w:lang w:val="de-DE"/>
        </w:rPr>
        <w:t>9.3.2.8.3</w:t>
      </w:r>
      <w:r w:rsidRPr="00EF1E8C">
        <w:rPr>
          <w:lang w:val="de-DE"/>
        </w:rPr>
        <w:tab/>
      </w:r>
      <w:r w:rsidR="00A26FBF">
        <w:rPr>
          <w:lang w:val="de-DE"/>
        </w:rPr>
        <w:t>Erhält folgenden Wortlaut:</w:t>
      </w:r>
      <w:r w:rsidRPr="00EF1E8C">
        <w:rPr>
          <w:lang w:val="de-DE"/>
        </w:rPr>
        <w:t xml:space="preserve"> „(gestrichen)“.</w:t>
      </w:r>
    </w:p>
    <w:p w:rsidR="00EF1E8C" w:rsidRPr="00EF1E8C" w:rsidRDefault="00EF1E8C" w:rsidP="00C50598">
      <w:pPr>
        <w:pStyle w:val="H1G"/>
        <w:spacing w:line="240" w:lineRule="atLeast"/>
        <w:rPr>
          <w:lang w:val="de-DE"/>
        </w:rPr>
      </w:pPr>
      <w:r w:rsidRPr="00EF1E8C">
        <w:rPr>
          <w:lang w:val="de-DE"/>
        </w:rPr>
        <w:tab/>
        <w:t xml:space="preserve">Q. </w:t>
      </w:r>
      <w:r w:rsidRPr="00EF1E8C">
        <w:rPr>
          <w:lang w:val="de-DE"/>
        </w:rPr>
        <w:tab/>
        <w:t xml:space="preserve">Unterabsatz 9.3.2.50.1 c) </w:t>
      </w:r>
    </w:p>
    <w:p w:rsidR="00EF1E8C" w:rsidRPr="00EF1E8C" w:rsidRDefault="00EF1E8C" w:rsidP="00520DB8">
      <w:pPr>
        <w:pStyle w:val="SingleTxtG"/>
        <w:tabs>
          <w:tab w:val="left" w:pos="1701"/>
        </w:tabs>
        <w:rPr>
          <w:lang w:val="de-DE"/>
        </w:rPr>
      </w:pPr>
      <w:r w:rsidRPr="00EF1E8C">
        <w:rPr>
          <w:lang w:val="de-DE"/>
        </w:rPr>
        <w:t>54.</w:t>
      </w:r>
      <w:r w:rsidRPr="00EF1E8C">
        <w:rPr>
          <w:lang w:val="de-DE"/>
        </w:rPr>
        <w:tab/>
        <w:t xml:space="preserve">Der aktuelle Text hat folgenden Wortlaut: </w:t>
      </w:r>
      <w:r w:rsidR="009B4801">
        <w:rPr>
          <w:rStyle w:val="FootnoteReference"/>
          <w:lang w:val="de-DE"/>
        </w:rPr>
        <w:footnoteReference w:id="6"/>
      </w:r>
    </w:p>
    <w:p w:rsidR="00EF1E8C" w:rsidRPr="00EF1E8C" w:rsidRDefault="00EF1E8C" w:rsidP="00EF1E8C">
      <w:pPr>
        <w:pStyle w:val="SingleTxtG"/>
        <w:ind w:left="1701"/>
        <w:rPr>
          <w:lang w:val="de-DE"/>
        </w:rPr>
      </w:pPr>
      <w:r w:rsidRPr="00EF1E8C">
        <w:rPr>
          <w:lang w:val="de-DE"/>
        </w:rPr>
        <w:t>„Zusätzlich zu den nach den in Unterabschnitt 1.1.4.6 genannten Vorschriften geforderten Unterlagen müssen an Bord vorhanden sein:</w:t>
      </w:r>
    </w:p>
    <w:p w:rsidR="00EF1E8C" w:rsidRPr="00EF1E8C" w:rsidRDefault="00EF1E8C" w:rsidP="00EF1E8C">
      <w:pPr>
        <w:pStyle w:val="SingleTxtG"/>
        <w:ind w:left="2127" w:hanging="426"/>
        <w:rPr>
          <w:lang w:val="de-DE"/>
        </w:rPr>
      </w:pPr>
      <w:r w:rsidRPr="00EF1E8C">
        <w:rPr>
          <w:lang w:val="de-DE"/>
        </w:rPr>
        <w:t xml:space="preserve">c) </w:t>
      </w:r>
      <w:r w:rsidRPr="00EF1E8C">
        <w:rPr>
          <w:lang w:val="de-DE"/>
        </w:rPr>
        <w:tab/>
        <w:t>eine Liste oder ein Übersichtsplan über die außerhalb des Bereichs der Ladung vorhandenen Betriebsmittel, die während des Ladens, Löschens und Entgasens betrieben werden dürfen. Alle anderen Betriebsmittel müssen rot gekennzeichnet sein. Siehe Absätze 9.3.2.52.3 und 9.3.2.52.4.“.</w:t>
      </w:r>
    </w:p>
    <w:p w:rsidR="00EF1E8C" w:rsidRPr="00EF1E8C" w:rsidRDefault="00EF1E8C" w:rsidP="00520DB8">
      <w:pPr>
        <w:pStyle w:val="SingleTxtG"/>
        <w:tabs>
          <w:tab w:val="left" w:pos="1701"/>
        </w:tabs>
        <w:rPr>
          <w:lang w:val="de-DE"/>
        </w:rPr>
      </w:pPr>
      <w:r w:rsidRPr="00EF1E8C">
        <w:rPr>
          <w:lang w:val="de-DE"/>
        </w:rPr>
        <w:t>55.</w:t>
      </w:r>
      <w:r w:rsidRPr="00EF1E8C">
        <w:rPr>
          <w:lang w:val="de-DE"/>
        </w:rPr>
        <w:tab/>
        <w:t>Absatz 9.3.2.50.1 verweist in Buchstabe c) auf die Absätze 9.3.2.52.3 und 9.3.2.52.4.</w:t>
      </w:r>
    </w:p>
    <w:p w:rsidR="00EF1E8C" w:rsidRPr="00EF1E8C" w:rsidRDefault="00EF1E8C" w:rsidP="00520DB8">
      <w:pPr>
        <w:pStyle w:val="SingleTxtG"/>
        <w:tabs>
          <w:tab w:val="left" w:pos="1701"/>
        </w:tabs>
        <w:rPr>
          <w:lang w:val="de-DE"/>
        </w:rPr>
      </w:pPr>
      <w:r w:rsidRPr="00EF1E8C">
        <w:rPr>
          <w:lang w:val="de-DE"/>
        </w:rPr>
        <w:t xml:space="preserve">56. </w:t>
      </w:r>
      <w:r w:rsidRPr="00EF1E8C">
        <w:rPr>
          <w:lang w:val="de-DE"/>
        </w:rPr>
        <w:tab/>
        <w:t>Absatz 9.3.2.52.3 enthält ab 1. Januar 2019 nur mehr Vorschriften über die rote Kennzeichnung und das Abschalten von Geräten. Die Vorschriften über die elektrischen Anlagen und Geräte wurden in den Absatz 9.3.x.51.1 verschoben.</w:t>
      </w:r>
    </w:p>
    <w:p w:rsidR="00EF1E8C" w:rsidRPr="00EF1E8C" w:rsidRDefault="00EF1E8C" w:rsidP="00520DB8">
      <w:pPr>
        <w:pStyle w:val="SingleTxtG"/>
        <w:tabs>
          <w:tab w:val="left" w:pos="1701"/>
        </w:tabs>
        <w:rPr>
          <w:lang w:val="de-DE"/>
        </w:rPr>
      </w:pPr>
      <w:r w:rsidRPr="00EF1E8C">
        <w:rPr>
          <w:lang w:val="de-DE"/>
        </w:rPr>
        <w:t>57.</w:t>
      </w:r>
      <w:r w:rsidRPr="00EF1E8C">
        <w:rPr>
          <w:lang w:val="de-DE"/>
        </w:rPr>
        <w:tab/>
        <w:t>Bis 31.12.2018 enthielt Absatz 9.3.2.52.4 Vorschriften über die rote Kennzeichnung und das Abschalten von elektrischen Einrichtungen. Diese Vorschriftenwurden in den Absatz 9.3.x.52.3 verschoben.</w:t>
      </w:r>
    </w:p>
    <w:p w:rsidR="00EF1E8C" w:rsidRPr="00A27FCC" w:rsidRDefault="00EF1E8C" w:rsidP="00EF1E8C">
      <w:pPr>
        <w:pStyle w:val="H4G"/>
        <w:rPr>
          <w:b/>
          <w:bCs/>
        </w:rPr>
      </w:pPr>
      <w:r>
        <w:rPr>
          <w:b/>
          <w:bCs/>
        </w:rPr>
        <w:tab/>
      </w:r>
      <w:r>
        <w:rPr>
          <w:b/>
          <w:bCs/>
        </w:rPr>
        <w:tab/>
        <w:t>Änderungsvorschlag</w:t>
      </w:r>
    </w:p>
    <w:p w:rsidR="00EF1E8C" w:rsidRPr="00EF1E8C" w:rsidRDefault="00EF1E8C" w:rsidP="00EF1E8C">
      <w:pPr>
        <w:pStyle w:val="SingleTxtG"/>
        <w:rPr>
          <w:lang w:val="de-DE"/>
        </w:rPr>
      </w:pPr>
      <w:r w:rsidRPr="00EF1E8C">
        <w:rPr>
          <w:lang w:val="de-DE"/>
        </w:rPr>
        <w:t>9.3.2.50.1 c)</w:t>
      </w:r>
      <w:r w:rsidRPr="00EF1E8C">
        <w:rPr>
          <w:lang w:val="de-DE"/>
        </w:rPr>
        <w:tab/>
        <w:t xml:space="preserve">„9.3.2.52.3“ </w:t>
      </w:r>
      <w:r w:rsidR="00A26FBF">
        <w:rPr>
          <w:lang w:val="de-DE"/>
        </w:rPr>
        <w:t>ändern in:</w:t>
      </w:r>
      <w:r w:rsidR="00A26FBF" w:rsidRPr="00EF1E8C">
        <w:rPr>
          <w:lang w:val="de-DE"/>
        </w:rPr>
        <w:t xml:space="preserve"> </w:t>
      </w:r>
      <w:r w:rsidRPr="00EF1E8C">
        <w:rPr>
          <w:lang w:val="de-DE"/>
        </w:rPr>
        <w:t xml:space="preserve">„9.3.2.52.1“ und „9.3.2.52.4“ </w:t>
      </w:r>
      <w:r w:rsidR="00A26FBF">
        <w:rPr>
          <w:lang w:val="de-DE"/>
        </w:rPr>
        <w:t>ändern:</w:t>
      </w:r>
      <w:r w:rsidR="00A26FBF" w:rsidRPr="00EF1E8C">
        <w:rPr>
          <w:lang w:val="de-DE"/>
        </w:rPr>
        <w:t xml:space="preserve"> </w:t>
      </w:r>
      <w:r w:rsidRPr="00EF1E8C">
        <w:rPr>
          <w:lang w:val="de-DE"/>
        </w:rPr>
        <w:t>„9.3.2.52.3“.</w:t>
      </w:r>
    </w:p>
    <w:p w:rsidR="00EF1E8C" w:rsidRPr="00EF1E8C" w:rsidRDefault="00EF1E8C" w:rsidP="00EF1E8C">
      <w:pPr>
        <w:pStyle w:val="H1G"/>
        <w:rPr>
          <w:lang w:val="de-DE"/>
        </w:rPr>
      </w:pPr>
      <w:r w:rsidRPr="00EF1E8C">
        <w:rPr>
          <w:lang w:val="de-DE"/>
        </w:rPr>
        <w:tab/>
        <w:t>R.</w:t>
      </w:r>
      <w:r w:rsidRPr="00EF1E8C">
        <w:rPr>
          <w:lang w:val="de-DE"/>
        </w:rPr>
        <w:tab/>
        <w:t>Hinweis zu ECE/ADN/45 Englisch:</w:t>
      </w:r>
    </w:p>
    <w:p w:rsidR="00EF1E8C" w:rsidRPr="00EF1E8C" w:rsidRDefault="00EF1E8C" w:rsidP="00520DB8">
      <w:pPr>
        <w:pStyle w:val="SingleTxtG"/>
        <w:tabs>
          <w:tab w:val="left" w:pos="1701"/>
        </w:tabs>
        <w:rPr>
          <w:lang w:val="de-DE"/>
        </w:rPr>
      </w:pPr>
      <w:r w:rsidRPr="00EF1E8C">
        <w:rPr>
          <w:lang w:val="de-DE"/>
        </w:rPr>
        <w:t>58.</w:t>
      </w:r>
      <w:r w:rsidRPr="00EF1E8C">
        <w:rPr>
          <w:lang w:val="de-DE"/>
        </w:rPr>
        <w:tab/>
        <w:t>In Abschnitt 1.2.1 wird der deutsche Begriff „Autonome Schutzsysteme“, im Französischen gleichbedeutend mit „</w:t>
      </w:r>
      <w:proofErr w:type="spellStart"/>
      <w:r w:rsidRPr="00EF1E8C">
        <w:rPr>
          <w:lang w:val="de-DE"/>
        </w:rPr>
        <w:t>Systèmes</w:t>
      </w:r>
      <w:proofErr w:type="spellEnd"/>
      <w:r w:rsidRPr="00EF1E8C">
        <w:rPr>
          <w:lang w:val="de-DE"/>
        </w:rPr>
        <w:t xml:space="preserve"> de </w:t>
      </w:r>
      <w:proofErr w:type="spellStart"/>
      <w:r w:rsidRPr="00EF1E8C">
        <w:rPr>
          <w:lang w:val="de-DE"/>
        </w:rPr>
        <w:t>protection</w:t>
      </w:r>
      <w:proofErr w:type="spellEnd"/>
      <w:r w:rsidRPr="00EF1E8C">
        <w:rPr>
          <w:lang w:val="de-DE"/>
        </w:rPr>
        <w:t xml:space="preserve"> autonomes“ mit „Self-</w:t>
      </w:r>
      <w:proofErr w:type="spellStart"/>
      <w:r w:rsidRPr="00EF1E8C">
        <w:rPr>
          <w:lang w:val="de-DE"/>
        </w:rPr>
        <w:t>contained</w:t>
      </w:r>
      <w:proofErr w:type="spellEnd"/>
      <w:r w:rsidRPr="00EF1E8C">
        <w:rPr>
          <w:lang w:val="de-DE"/>
        </w:rPr>
        <w:t xml:space="preserve"> </w:t>
      </w:r>
      <w:proofErr w:type="spellStart"/>
      <w:r w:rsidRPr="00EF1E8C">
        <w:rPr>
          <w:lang w:val="de-DE"/>
        </w:rPr>
        <w:t>protection</w:t>
      </w:r>
      <w:proofErr w:type="spellEnd"/>
      <w:r w:rsidRPr="00EF1E8C">
        <w:rPr>
          <w:lang w:val="de-DE"/>
        </w:rPr>
        <w:t xml:space="preserve"> </w:t>
      </w:r>
      <w:proofErr w:type="spellStart"/>
      <w:r w:rsidRPr="00EF1E8C">
        <w:rPr>
          <w:lang w:val="de-DE"/>
        </w:rPr>
        <w:t>systems</w:t>
      </w:r>
      <w:proofErr w:type="spellEnd"/>
      <w:r w:rsidRPr="00EF1E8C">
        <w:rPr>
          <w:lang w:val="de-DE"/>
        </w:rPr>
        <w:t>“ übersetzt.</w:t>
      </w:r>
    </w:p>
    <w:p w:rsidR="00EF1E8C" w:rsidRPr="00EF1E8C" w:rsidRDefault="00EF1E8C" w:rsidP="00520DB8">
      <w:pPr>
        <w:pStyle w:val="SingleTxtG"/>
        <w:tabs>
          <w:tab w:val="left" w:pos="1701"/>
        </w:tabs>
        <w:rPr>
          <w:lang w:val="de-DE"/>
        </w:rPr>
      </w:pPr>
      <w:r w:rsidRPr="00EF1E8C">
        <w:rPr>
          <w:lang w:val="de-DE"/>
        </w:rPr>
        <w:t>59.</w:t>
      </w:r>
      <w:r w:rsidRPr="00EF1E8C">
        <w:rPr>
          <w:lang w:val="de-DE"/>
        </w:rPr>
        <w:tab/>
        <w:t>Bis einschließlich Unterabschnitt 8.1.7.2 wird dieser Begriff an 9 weiteren Stellen verwendet. An fünf anderen Stellen ab einschließlich Unterabschnitt 8.1.7.3 wird für das gleiche Konzept der Begriff „</w:t>
      </w:r>
      <w:proofErr w:type="spellStart"/>
      <w:r w:rsidRPr="00EF1E8C">
        <w:rPr>
          <w:lang w:val="de-DE"/>
        </w:rPr>
        <w:t>autonomous</w:t>
      </w:r>
      <w:proofErr w:type="spellEnd"/>
      <w:r w:rsidRPr="00EF1E8C">
        <w:rPr>
          <w:lang w:val="de-DE"/>
        </w:rPr>
        <w:t xml:space="preserve"> </w:t>
      </w:r>
      <w:proofErr w:type="spellStart"/>
      <w:r w:rsidRPr="00EF1E8C">
        <w:rPr>
          <w:lang w:val="de-DE"/>
        </w:rPr>
        <w:t>protection</w:t>
      </w:r>
      <w:proofErr w:type="spellEnd"/>
      <w:r w:rsidRPr="00EF1E8C">
        <w:rPr>
          <w:lang w:val="de-DE"/>
        </w:rPr>
        <w:t xml:space="preserve"> </w:t>
      </w:r>
      <w:proofErr w:type="spellStart"/>
      <w:r w:rsidRPr="00EF1E8C">
        <w:rPr>
          <w:lang w:val="de-DE"/>
        </w:rPr>
        <w:t>systems</w:t>
      </w:r>
      <w:proofErr w:type="spellEnd"/>
      <w:r w:rsidRPr="00EF1E8C">
        <w:rPr>
          <w:lang w:val="de-DE"/>
        </w:rPr>
        <w:t>“ verwendet (einschließlich der Muster für die Zulassungszeugnisse).</w:t>
      </w:r>
    </w:p>
    <w:p w:rsidR="00EF1E8C" w:rsidRPr="00EF1E8C" w:rsidRDefault="00EF1E8C" w:rsidP="00520DB8">
      <w:pPr>
        <w:pStyle w:val="SingleTxtG"/>
        <w:tabs>
          <w:tab w:val="left" w:pos="1701"/>
        </w:tabs>
        <w:rPr>
          <w:lang w:val="de-DE"/>
        </w:rPr>
      </w:pPr>
      <w:r w:rsidRPr="00EF1E8C">
        <w:rPr>
          <w:lang w:val="de-DE"/>
        </w:rPr>
        <w:t>60.</w:t>
      </w:r>
      <w:r w:rsidRPr="00EF1E8C">
        <w:rPr>
          <w:lang w:val="de-DE"/>
        </w:rPr>
        <w:tab/>
        <w:t>Es wird vorgeschlagen, in der englischen Fassung durchgehend den Begriff nach 1.2.1 „Self-</w:t>
      </w:r>
      <w:proofErr w:type="spellStart"/>
      <w:r w:rsidRPr="00EF1E8C">
        <w:rPr>
          <w:lang w:val="de-DE"/>
        </w:rPr>
        <w:t>contained</w:t>
      </w:r>
      <w:proofErr w:type="spellEnd"/>
      <w:r w:rsidRPr="00EF1E8C">
        <w:rPr>
          <w:lang w:val="de-DE"/>
        </w:rPr>
        <w:t xml:space="preserve"> </w:t>
      </w:r>
      <w:proofErr w:type="spellStart"/>
      <w:r w:rsidRPr="00EF1E8C">
        <w:rPr>
          <w:lang w:val="de-DE"/>
        </w:rPr>
        <w:t>protection</w:t>
      </w:r>
      <w:proofErr w:type="spellEnd"/>
      <w:r w:rsidRPr="00EF1E8C">
        <w:rPr>
          <w:lang w:val="de-DE"/>
        </w:rPr>
        <w:t xml:space="preserve"> </w:t>
      </w:r>
      <w:proofErr w:type="spellStart"/>
      <w:r w:rsidRPr="00EF1E8C">
        <w:rPr>
          <w:lang w:val="de-DE"/>
        </w:rPr>
        <w:t>system</w:t>
      </w:r>
      <w:proofErr w:type="spellEnd"/>
      <w:r w:rsidRPr="00EF1E8C">
        <w:rPr>
          <w:lang w:val="de-DE"/>
        </w:rPr>
        <w:t>“ zu verwenden. Dann bestehen keine Zweifel, worum es sich bei dem im Zulassungszeugnis so genannten „</w:t>
      </w:r>
      <w:proofErr w:type="spellStart"/>
      <w:r w:rsidRPr="00EF1E8C">
        <w:rPr>
          <w:lang w:val="de-DE"/>
        </w:rPr>
        <w:t>autonomous</w:t>
      </w:r>
      <w:proofErr w:type="spellEnd"/>
      <w:r w:rsidRPr="00EF1E8C">
        <w:rPr>
          <w:lang w:val="de-DE"/>
        </w:rPr>
        <w:t xml:space="preserve"> </w:t>
      </w:r>
      <w:proofErr w:type="spellStart"/>
      <w:r w:rsidRPr="00EF1E8C">
        <w:rPr>
          <w:lang w:val="de-DE"/>
        </w:rPr>
        <w:t>protection</w:t>
      </w:r>
      <w:proofErr w:type="spellEnd"/>
      <w:r w:rsidRPr="00EF1E8C">
        <w:rPr>
          <w:lang w:val="de-DE"/>
        </w:rPr>
        <w:t xml:space="preserve"> </w:t>
      </w:r>
      <w:proofErr w:type="spellStart"/>
      <w:r w:rsidRPr="00EF1E8C">
        <w:rPr>
          <w:lang w:val="de-DE"/>
        </w:rPr>
        <w:t>systems</w:t>
      </w:r>
      <w:proofErr w:type="spellEnd"/>
      <w:r w:rsidRPr="00EF1E8C">
        <w:rPr>
          <w:lang w:val="de-DE"/>
        </w:rPr>
        <w:t>“ handelt.</w:t>
      </w:r>
    </w:p>
    <w:p w:rsidR="00EF1E8C" w:rsidRPr="00EF1E8C" w:rsidRDefault="00EF1E8C" w:rsidP="00EF1E8C">
      <w:pPr>
        <w:pStyle w:val="HChG"/>
        <w:rPr>
          <w:rFonts w:eastAsia="SimSun"/>
          <w:lang w:val="de-DE"/>
        </w:rPr>
      </w:pPr>
      <w:r w:rsidRPr="00EF1E8C">
        <w:rPr>
          <w:lang w:val="de-DE"/>
        </w:rPr>
        <w:tab/>
        <w:t>III.</w:t>
      </w:r>
      <w:r w:rsidRPr="00EF1E8C">
        <w:rPr>
          <w:lang w:val="de-DE"/>
        </w:rPr>
        <w:tab/>
        <w:t>Umsetzbarkeit</w:t>
      </w:r>
    </w:p>
    <w:p w:rsidR="00EF1E8C" w:rsidRPr="00EF1E8C" w:rsidRDefault="00EF1E8C" w:rsidP="00520DB8">
      <w:pPr>
        <w:pStyle w:val="SingleTxtG"/>
        <w:tabs>
          <w:tab w:val="left" w:pos="1701"/>
        </w:tabs>
        <w:rPr>
          <w:lang w:val="de-DE"/>
        </w:rPr>
      </w:pPr>
      <w:r w:rsidRPr="00EF1E8C">
        <w:rPr>
          <w:lang w:val="de-DE"/>
        </w:rPr>
        <w:t>61.</w:t>
      </w:r>
      <w:r w:rsidRPr="00EF1E8C">
        <w:rPr>
          <w:lang w:val="de-DE"/>
        </w:rPr>
        <w:tab/>
        <w:t>Es handelt sich ausschließlich um redaktionelle Änderungen am Vorschriftentext, die keine technischen oder organisatorischen Änderungen für die Schiffe oder für die Durchführung der Beförderung darstellen.</w:t>
      </w:r>
    </w:p>
    <w:p w:rsidR="00EF1E8C" w:rsidRPr="00EA381F" w:rsidRDefault="00EF1E8C" w:rsidP="00C50598">
      <w:pPr>
        <w:pStyle w:val="HChG"/>
        <w:spacing w:before="240"/>
        <w:rPr>
          <w:rFonts w:eastAsia="SimSun"/>
          <w:lang w:val="de-DE"/>
        </w:rPr>
      </w:pPr>
      <w:r w:rsidRPr="00EF1E8C">
        <w:rPr>
          <w:lang w:val="de-DE"/>
        </w:rPr>
        <w:lastRenderedPageBreak/>
        <w:tab/>
      </w:r>
      <w:r w:rsidRPr="00EA381F">
        <w:rPr>
          <w:lang w:val="de-DE"/>
        </w:rPr>
        <w:t>IV.</w:t>
      </w:r>
      <w:r w:rsidRPr="00EA381F">
        <w:rPr>
          <w:lang w:val="de-DE"/>
        </w:rPr>
        <w:tab/>
        <w:t>Sicherheit</w:t>
      </w:r>
    </w:p>
    <w:p w:rsidR="00C50598" w:rsidRDefault="00EF1E8C" w:rsidP="00C50598">
      <w:pPr>
        <w:pStyle w:val="SingleTxtG"/>
        <w:tabs>
          <w:tab w:val="left" w:pos="1701"/>
        </w:tabs>
        <w:rPr>
          <w:lang w:val="de-DE"/>
        </w:rPr>
      </w:pPr>
      <w:r w:rsidRPr="00EF1E8C">
        <w:rPr>
          <w:lang w:val="de-DE"/>
        </w:rPr>
        <w:t>62.</w:t>
      </w:r>
      <w:r w:rsidRPr="00EF1E8C">
        <w:rPr>
          <w:lang w:val="de-DE"/>
        </w:rPr>
        <w:tab/>
        <w:t>Die Sicherheit der Beförderung wird verbessert, wenn die Vorschriften widerspruchsfrei und verständlich formuliert und dadurch ihre Beachtung erleichtert wird.</w:t>
      </w:r>
    </w:p>
    <w:p w:rsidR="00902FD0" w:rsidRPr="00520DB8" w:rsidRDefault="00520DB8" w:rsidP="00C50598">
      <w:pPr>
        <w:pStyle w:val="SingleTxtG"/>
        <w:tabs>
          <w:tab w:val="left" w:pos="1701"/>
        </w:tabs>
        <w:jc w:val="center"/>
      </w:pPr>
      <w:r w:rsidRPr="00520DB8">
        <w:t>***</w:t>
      </w:r>
    </w:p>
    <w:sectPr w:rsidR="00902FD0" w:rsidRPr="00520DB8" w:rsidSect="00E064BD">
      <w:headerReference w:type="even" r:id="rId9"/>
      <w:headerReference w:type="default" r:id="rId10"/>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25F" w:rsidRDefault="00A3425F" w:rsidP="0011702A">
      <w:r>
        <w:separator/>
      </w:r>
    </w:p>
  </w:endnote>
  <w:endnote w:type="continuationSeparator" w:id="0">
    <w:p w:rsidR="00A3425F" w:rsidRDefault="00A3425F"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B4D" w:rsidRPr="00232B4D" w:rsidRDefault="00232B4D" w:rsidP="00232B4D">
    <w:pPr>
      <w:widowControl/>
      <w:suppressAutoHyphens/>
      <w:overflowPunct/>
      <w:autoSpaceDE/>
      <w:autoSpaceDN/>
      <w:adjustRightInd/>
      <w:ind w:left="0" w:firstLine="0"/>
      <w:jc w:val="right"/>
      <w:textAlignment w:val="auto"/>
      <w:rPr>
        <w:lang w:val="en-US"/>
      </w:rPr>
    </w:pPr>
    <w:r>
      <w:rPr>
        <w:rFonts w:ascii="Arial" w:hAnsi="Arial"/>
        <w:noProof/>
        <w:snapToGrid w:val="0"/>
        <w:sz w:val="12"/>
        <w:szCs w:val="24"/>
        <w:lang w:val="en-US"/>
      </w:rPr>
      <w:t>m</w:t>
    </w:r>
    <w:r w:rsidRPr="004F60A5">
      <w:rPr>
        <w:rFonts w:ascii="Arial" w:hAnsi="Arial"/>
        <w:noProof/>
        <w:snapToGrid w:val="0"/>
        <w:sz w:val="12"/>
        <w:szCs w:val="24"/>
        <w:lang w:val="en-US"/>
      </w:rPr>
      <w:t>m/adn_wp15_ac2_2019_</w:t>
    </w:r>
    <w:r>
      <w:rPr>
        <w:rFonts w:ascii="Arial" w:hAnsi="Arial"/>
        <w:noProof/>
        <w:snapToGrid w:val="0"/>
        <w:sz w:val="12"/>
        <w:szCs w:val="24"/>
        <w:lang w:val="en-US"/>
      </w:rPr>
      <w:t>4</w:t>
    </w:r>
    <w:r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B4D" w:rsidRDefault="00232B4D" w:rsidP="00232B4D">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m/adn_wp15_ac2_2019_</w:t>
    </w:r>
    <w:r>
      <w:rPr>
        <w:rFonts w:ascii="Arial" w:hAnsi="Arial"/>
        <w:noProof/>
        <w:snapToGrid w:val="0"/>
        <w:sz w:val="12"/>
        <w:szCs w:val="24"/>
        <w:lang w:val="en-US"/>
      </w:rPr>
      <w:t>4</w:t>
    </w:r>
    <w:r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25F" w:rsidRDefault="00A3425F" w:rsidP="0011702A">
      <w:r>
        <w:separator/>
      </w:r>
    </w:p>
  </w:footnote>
  <w:footnote w:type="continuationSeparator" w:id="0">
    <w:p w:rsidR="00A3425F" w:rsidRDefault="00A3425F" w:rsidP="0011702A">
      <w:r>
        <w:continuationSeparator/>
      </w:r>
    </w:p>
  </w:footnote>
  <w:footnote w:id="1">
    <w:p w:rsidR="00EF1E8C" w:rsidRDefault="00EF1E8C" w:rsidP="00E574A2">
      <w:pPr>
        <w:pStyle w:val="FootnoteText"/>
        <w:ind w:left="426" w:right="990" w:hanging="426"/>
      </w:pPr>
      <w:r>
        <w:rPr>
          <w:rStyle w:val="FootnoteReference"/>
        </w:rPr>
        <w:t>*</w:t>
      </w:r>
      <w:r>
        <w:tab/>
        <w:t>Deutsche Fassung vorgelegt durch die Zentralkommission für die Rheinschifffahrt unter Aktenzeichen: CCNR/ZKR/ADN/WP.15/AC.2/2019/</w:t>
      </w:r>
      <w:r w:rsidR="009F29BF">
        <w:t>4</w:t>
      </w:r>
      <w:r>
        <w:t>.</w:t>
      </w:r>
    </w:p>
  </w:footnote>
  <w:footnote w:id="2">
    <w:p w:rsidR="00EF1E8C" w:rsidRDefault="00EF1E8C" w:rsidP="00E574A2">
      <w:pPr>
        <w:pStyle w:val="FootnoteText"/>
        <w:ind w:left="426" w:right="990" w:hanging="426"/>
      </w:pPr>
      <w:r>
        <w:t>**</w:t>
      </w:r>
      <w:r>
        <w:tab/>
        <w:t>Entsprechend dem Arbeitsprogramm des Binnenverkehrsausschusses für 2018-2019, (ECE/TRANS/2018/21/Add.1 (9.3)).</w:t>
      </w:r>
    </w:p>
  </w:footnote>
  <w:footnote w:id="3">
    <w:p w:rsidR="00C52CFA" w:rsidRPr="00C52CFA" w:rsidRDefault="00C52CFA" w:rsidP="00F025DE">
      <w:pPr>
        <w:pStyle w:val="FootnoteText"/>
        <w:tabs>
          <w:tab w:val="left" w:pos="284"/>
        </w:tabs>
        <w:ind w:left="3261" w:right="1132" w:hanging="3261"/>
      </w:pPr>
      <w:r>
        <w:rPr>
          <w:rStyle w:val="FootnoteReference"/>
        </w:rPr>
        <w:footnoteRef/>
      </w:r>
      <w:r>
        <w:t xml:space="preserve"> </w:t>
      </w:r>
      <w:r w:rsidR="00BE584E">
        <w:tab/>
      </w:r>
      <w:r>
        <w:t>Anmerkung des ZKR Sekretariats:</w:t>
      </w:r>
      <w:r>
        <w:tab/>
        <w:t>I</w:t>
      </w:r>
      <w:r w:rsidR="00480219">
        <w:t>n der deutschen Fassung des</w:t>
      </w:r>
      <w:r w:rsidRPr="00C52CFA">
        <w:t xml:space="preserve"> ADN 2019 </w:t>
      </w:r>
      <w:r>
        <w:t xml:space="preserve">wird </w:t>
      </w:r>
      <w:r w:rsidRPr="00C52CFA">
        <w:t xml:space="preserve">in a), b) und im zweiten Satz </w:t>
      </w:r>
      <w:r>
        <w:t>„</w:t>
      </w:r>
      <w:r w:rsidRPr="00C52CFA">
        <w:t>Anlagen und Geräte</w:t>
      </w:r>
      <w:r>
        <w:t>“ bereits</w:t>
      </w:r>
      <w:r w:rsidRPr="00C52CFA">
        <w:t xml:space="preserve"> verwendet.</w:t>
      </w:r>
    </w:p>
  </w:footnote>
  <w:footnote w:id="4">
    <w:p w:rsidR="00C52CFA" w:rsidRPr="00C52CFA" w:rsidRDefault="00C52CFA" w:rsidP="00F025DE">
      <w:pPr>
        <w:pStyle w:val="FootnoteText"/>
        <w:tabs>
          <w:tab w:val="left" w:pos="284"/>
        </w:tabs>
        <w:ind w:left="3261" w:right="1132" w:hanging="3261"/>
      </w:pPr>
      <w:r>
        <w:rPr>
          <w:rStyle w:val="FootnoteReference"/>
        </w:rPr>
        <w:footnoteRef/>
      </w:r>
      <w:r w:rsidR="00BE584E">
        <w:tab/>
      </w:r>
      <w:r>
        <w:t>Anmerkung des ZKR Sekretariats:</w:t>
      </w:r>
      <w:r>
        <w:tab/>
      </w:r>
      <w:r w:rsidRPr="00C52CFA">
        <w:t>Der Änderungsvorschlag in der Vorschrift 7.1.4.4.4, „Geräte“ durch „Anlagen und Geräte“ zu ersetzen, bezieht sich</w:t>
      </w:r>
      <w:r>
        <w:t xml:space="preserve"> auch</w:t>
      </w:r>
      <w:r w:rsidRPr="00C52CFA">
        <w:t xml:space="preserve"> nicht auf die </w:t>
      </w:r>
      <w:r>
        <w:t>deutsch Fassung, da bereits im ADN 2019 berücksichtigt.</w:t>
      </w:r>
    </w:p>
  </w:footnote>
  <w:footnote w:id="5">
    <w:p w:rsidR="00C52CFA" w:rsidRPr="00C52CFA" w:rsidRDefault="00C52CFA" w:rsidP="00F025DE">
      <w:pPr>
        <w:pStyle w:val="FootnoteText"/>
        <w:tabs>
          <w:tab w:val="left" w:pos="284"/>
        </w:tabs>
        <w:ind w:left="3261" w:right="1132" w:hanging="3261"/>
      </w:pPr>
      <w:r>
        <w:rPr>
          <w:rStyle w:val="FootnoteReference"/>
        </w:rPr>
        <w:footnoteRef/>
      </w:r>
      <w:r>
        <w:t xml:space="preserve"> </w:t>
      </w:r>
      <w:r w:rsidR="00BE584E">
        <w:tab/>
      </w:r>
      <w:r w:rsidRPr="00C52CFA">
        <w:t>Anmerkung des ZKR Sekretariats:</w:t>
      </w:r>
      <w:r>
        <w:tab/>
      </w:r>
      <w:r w:rsidR="009B4801" w:rsidRPr="009B4801">
        <w:t xml:space="preserve">Im ADN 2019 </w:t>
      </w:r>
      <w:r w:rsidR="00703F25">
        <w:t>hat</w:t>
      </w:r>
      <w:r w:rsidR="009B4801" w:rsidRPr="009B4801">
        <w:t xml:space="preserve"> der Absatz 9.3.2.8.3 bereits folgenden Wortlaut: „(gestrichen)“.</w:t>
      </w:r>
    </w:p>
  </w:footnote>
  <w:footnote w:id="6">
    <w:p w:rsidR="009B4801" w:rsidRPr="00C52CFA" w:rsidRDefault="009B4801" w:rsidP="00BE584E">
      <w:pPr>
        <w:pStyle w:val="FootnoteText"/>
        <w:ind w:left="284" w:hanging="284"/>
      </w:pPr>
      <w:r>
        <w:rPr>
          <w:rStyle w:val="FootnoteReference"/>
        </w:rPr>
        <w:footnoteRef/>
      </w:r>
      <w:r>
        <w:t xml:space="preserve"> </w:t>
      </w:r>
      <w:r w:rsidR="00BE584E">
        <w:tab/>
      </w:r>
      <w:r w:rsidRPr="00C52CFA">
        <w:t>Anmerkung des ZKR Sekretariats:</w:t>
      </w:r>
      <w:r w:rsidR="00BE584E">
        <w:t xml:space="preserve"> i</w:t>
      </w:r>
      <w:r w:rsidRPr="009B4801">
        <w:t>m ADN 2019 wurde 9.3.2.50.1 komplett gestrichen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7C" w:rsidRPr="00FF3208" w:rsidRDefault="00FE497C" w:rsidP="00FF3208">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CCNR-ZKR/ADN/WP.15/AC.2/201</w:t>
    </w:r>
    <w:r w:rsidR="00DA41E7">
      <w:rPr>
        <w:rFonts w:ascii="Arial" w:hAnsi="Arial"/>
        <w:snapToGrid w:val="0"/>
        <w:sz w:val="16"/>
        <w:szCs w:val="16"/>
        <w:lang w:val="en-US"/>
      </w:rPr>
      <w:t>9</w:t>
    </w:r>
    <w:r w:rsidRPr="00FF3208">
      <w:rPr>
        <w:rFonts w:ascii="Arial" w:hAnsi="Arial"/>
        <w:snapToGrid w:val="0"/>
        <w:sz w:val="16"/>
        <w:szCs w:val="16"/>
        <w:lang w:val="en-US"/>
      </w:rPr>
      <w:t>/</w:t>
    </w:r>
    <w:r w:rsidR="00EF1E8C">
      <w:rPr>
        <w:rFonts w:ascii="Arial" w:hAnsi="Arial"/>
        <w:snapToGrid w:val="0"/>
        <w:sz w:val="16"/>
        <w:szCs w:val="16"/>
        <w:lang w:val="en-US"/>
      </w:rPr>
      <w:t>4</w:t>
    </w:r>
  </w:p>
  <w:p w:rsidR="00FE497C" w:rsidRPr="00FF3208" w:rsidRDefault="00FE497C" w:rsidP="00FF3208">
    <w:pPr>
      <w:widowControl/>
      <w:suppressAutoHyphens/>
      <w:overflowPunct/>
      <w:autoSpaceDE/>
      <w:autoSpaceDN/>
      <w:adjustRightInd/>
      <w:ind w:left="0" w:firstLine="0"/>
      <w:jc w:val="left"/>
      <w:textAlignment w:val="auto"/>
      <w:rPr>
        <w:rFonts w:ascii="Arial" w:hAnsi="Arial"/>
        <w:snapToGrid w:val="0"/>
        <w:sz w:val="16"/>
        <w:szCs w:val="16"/>
      </w:rPr>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232B4D">
      <w:rPr>
        <w:rFonts w:ascii="Arial" w:hAnsi="Arial"/>
        <w:noProof/>
        <w:snapToGrid w:val="0"/>
        <w:sz w:val="16"/>
        <w:szCs w:val="16"/>
      </w:rPr>
      <w:t>2</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97C" w:rsidRPr="00FF3208" w:rsidRDefault="00FE497C" w:rsidP="00FF3208">
    <w:pPr>
      <w:widowControl/>
      <w:suppressAutoHyphens/>
      <w:overflowPunct/>
      <w:autoSpaceDE/>
      <w:autoSpaceDN/>
      <w:adjustRightInd/>
      <w:ind w:left="0" w:firstLine="0"/>
      <w:jc w:val="right"/>
      <w:textAlignment w:val="auto"/>
      <w:rPr>
        <w:rFonts w:ascii="Arial" w:hAnsi="Arial"/>
        <w:snapToGrid w:val="0"/>
        <w:sz w:val="16"/>
        <w:szCs w:val="16"/>
        <w:lang w:val="en-US"/>
      </w:rPr>
    </w:pPr>
    <w:r w:rsidRPr="00FF3208">
      <w:rPr>
        <w:rFonts w:ascii="Arial" w:hAnsi="Arial"/>
        <w:snapToGrid w:val="0"/>
        <w:sz w:val="16"/>
        <w:szCs w:val="16"/>
        <w:lang w:val="en-US"/>
      </w:rPr>
      <w:t>CCNR-ZKR/ADN/WP.15/AC.2/</w:t>
    </w:r>
    <w:r w:rsidR="00DA41E7">
      <w:rPr>
        <w:rFonts w:ascii="Arial" w:hAnsi="Arial"/>
        <w:snapToGrid w:val="0"/>
        <w:sz w:val="16"/>
        <w:szCs w:val="16"/>
        <w:lang w:val="en-US"/>
      </w:rPr>
      <w:t>2019/</w:t>
    </w:r>
    <w:r w:rsidR="00EF1E8C">
      <w:rPr>
        <w:rFonts w:ascii="Arial" w:hAnsi="Arial"/>
        <w:snapToGrid w:val="0"/>
        <w:sz w:val="16"/>
        <w:szCs w:val="16"/>
        <w:lang w:val="en-US"/>
      </w:rPr>
      <w:t>4</w:t>
    </w:r>
  </w:p>
  <w:p w:rsidR="00FE497C" w:rsidRPr="00FF3208" w:rsidRDefault="00FE497C" w:rsidP="00FF3208">
    <w:pPr>
      <w:widowControl/>
      <w:suppressAutoHyphens/>
      <w:overflowPunct/>
      <w:autoSpaceDE/>
      <w:autoSpaceDN/>
      <w:adjustRightInd/>
      <w:ind w:left="0" w:firstLine="0"/>
      <w:jc w:val="right"/>
      <w:textAlignment w:val="auto"/>
      <w:rPr>
        <w:rFonts w:ascii="Arial" w:hAnsi="Arial"/>
        <w:snapToGrid w:val="0"/>
        <w:sz w:val="16"/>
        <w:szCs w:val="16"/>
      </w:rPr>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232B4D">
      <w:rPr>
        <w:rFonts w:ascii="Arial" w:hAnsi="Arial"/>
        <w:noProof/>
        <w:snapToGrid w:val="0"/>
        <w:sz w:val="16"/>
        <w:szCs w:val="16"/>
      </w:rPr>
      <w:t>3</w:t>
    </w:r>
    <w:r w:rsidRPr="00FF320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323"/>
    <w:multiLevelType w:val="hybridMultilevel"/>
    <w:tmpl w:val="2C40E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B81433"/>
    <w:multiLevelType w:val="hybridMultilevel"/>
    <w:tmpl w:val="3D207480"/>
    <w:lvl w:ilvl="0" w:tplc="ABC67A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A62228"/>
    <w:multiLevelType w:val="hybridMultilevel"/>
    <w:tmpl w:val="38D0E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5B"/>
    <w:rsid w:val="000049F5"/>
    <w:rsid w:val="00006820"/>
    <w:rsid w:val="000143A3"/>
    <w:rsid w:val="00014D4F"/>
    <w:rsid w:val="00016593"/>
    <w:rsid w:val="00026176"/>
    <w:rsid w:val="0003284B"/>
    <w:rsid w:val="00034828"/>
    <w:rsid w:val="0003543D"/>
    <w:rsid w:val="00035EF8"/>
    <w:rsid w:val="0004134B"/>
    <w:rsid w:val="0004436E"/>
    <w:rsid w:val="00047E84"/>
    <w:rsid w:val="00052040"/>
    <w:rsid w:val="00052E7E"/>
    <w:rsid w:val="000563D5"/>
    <w:rsid w:val="00056B10"/>
    <w:rsid w:val="000610A7"/>
    <w:rsid w:val="000625E5"/>
    <w:rsid w:val="0006293A"/>
    <w:rsid w:val="00072FB1"/>
    <w:rsid w:val="00074A94"/>
    <w:rsid w:val="00076F9A"/>
    <w:rsid w:val="00080275"/>
    <w:rsid w:val="00080487"/>
    <w:rsid w:val="00080F60"/>
    <w:rsid w:val="00090A58"/>
    <w:rsid w:val="0009215A"/>
    <w:rsid w:val="00095D13"/>
    <w:rsid w:val="00097410"/>
    <w:rsid w:val="000A1A85"/>
    <w:rsid w:val="000A324C"/>
    <w:rsid w:val="000A6549"/>
    <w:rsid w:val="000B1F29"/>
    <w:rsid w:val="000B3573"/>
    <w:rsid w:val="000C108A"/>
    <w:rsid w:val="000C6E63"/>
    <w:rsid w:val="000C72ED"/>
    <w:rsid w:val="000C754F"/>
    <w:rsid w:val="000C795B"/>
    <w:rsid w:val="000D3D4C"/>
    <w:rsid w:val="000D3DA4"/>
    <w:rsid w:val="000D4406"/>
    <w:rsid w:val="000D4F22"/>
    <w:rsid w:val="000D5D27"/>
    <w:rsid w:val="000D7FD6"/>
    <w:rsid w:val="000E4620"/>
    <w:rsid w:val="000E4CDE"/>
    <w:rsid w:val="000E610B"/>
    <w:rsid w:val="000E6786"/>
    <w:rsid w:val="000F076B"/>
    <w:rsid w:val="000F6242"/>
    <w:rsid w:val="000F79E4"/>
    <w:rsid w:val="001013D7"/>
    <w:rsid w:val="001026A0"/>
    <w:rsid w:val="00105DF1"/>
    <w:rsid w:val="00106FC3"/>
    <w:rsid w:val="00113A60"/>
    <w:rsid w:val="00114102"/>
    <w:rsid w:val="001141CF"/>
    <w:rsid w:val="0011545F"/>
    <w:rsid w:val="0011549C"/>
    <w:rsid w:val="0011702A"/>
    <w:rsid w:val="0012236C"/>
    <w:rsid w:val="00124B75"/>
    <w:rsid w:val="00126AA9"/>
    <w:rsid w:val="00131CD7"/>
    <w:rsid w:val="0013626E"/>
    <w:rsid w:val="0014167F"/>
    <w:rsid w:val="00143354"/>
    <w:rsid w:val="00144FA5"/>
    <w:rsid w:val="00156782"/>
    <w:rsid w:val="00156903"/>
    <w:rsid w:val="00156ACE"/>
    <w:rsid w:val="0016790C"/>
    <w:rsid w:val="00171E38"/>
    <w:rsid w:val="001729A2"/>
    <w:rsid w:val="001738C0"/>
    <w:rsid w:val="001739E9"/>
    <w:rsid w:val="00176072"/>
    <w:rsid w:val="0017767A"/>
    <w:rsid w:val="001878DE"/>
    <w:rsid w:val="00190390"/>
    <w:rsid w:val="001A078E"/>
    <w:rsid w:val="001A18A6"/>
    <w:rsid w:val="001A7AC2"/>
    <w:rsid w:val="001B28F2"/>
    <w:rsid w:val="001B4F22"/>
    <w:rsid w:val="001B7B3E"/>
    <w:rsid w:val="001C0E5C"/>
    <w:rsid w:val="001C1D1B"/>
    <w:rsid w:val="001C269B"/>
    <w:rsid w:val="001C4ED8"/>
    <w:rsid w:val="001D1B0A"/>
    <w:rsid w:val="001E4D07"/>
    <w:rsid w:val="001F6ABC"/>
    <w:rsid w:val="0020240A"/>
    <w:rsid w:val="00202E6D"/>
    <w:rsid w:val="0020431D"/>
    <w:rsid w:val="00205465"/>
    <w:rsid w:val="0021025D"/>
    <w:rsid w:val="0021296C"/>
    <w:rsid w:val="002132D2"/>
    <w:rsid w:val="00215EA5"/>
    <w:rsid w:val="00223DF9"/>
    <w:rsid w:val="002265F5"/>
    <w:rsid w:val="00227367"/>
    <w:rsid w:val="0023288F"/>
    <w:rsid w:val="00232B4D"/>
    <w:rsid w:val="00235B56"/>
    <w:rsid w:val="00240203"/>
    <w:rsid w:val="002431F2"/>
    <w:rsid w:val="00245675"/>
    <w:rsid w:val="0024675B"/>
    <w:rsid w:val="002473E1"/>
    <w:rsid w:val="00250138"/>
    <w:rsid w:val="00250FDB"/>
    <w:rsid w:val="00255192"/>
    <w:rsid w:val="00257C39"/>
    <w:rsid w:val="00272277"/>
    <w:rsid w:val="0027414F"/>
    <w:rsid w:val="00282C43"/>
    <w:rsid w:val="00283323"/>
    <w:rsid w:val="00291CB3"/>
    <w:rsid w:val="00296C76"/>
    <w:rsid w:val="00296F8B"/>
    <w:rsid w:val="002A0C52"/>
    <w:rsid w:val="002A337E"/>
    <w:rsid w:val="002A53A6"/>
    <w:rsid w:val="002B6697"/>
    <w:rsid w:val="002C0469"/>
    <w:rsid w:val="002D1BFB"/>
    <w:rsid w:val="002E04EF"/>
    <w:rsid w:val="002E3745"/>
    <w:rsid w:val="002E6A16"/>
    <w:rsid w:val="002E7227"/>
    <w:rsid w:val="002F2AF9"/>
    <w:rsid w:val="002F4FC6"/>
    <w:rsid w:val="003033DD"/>
    <w:rsid w:val="00305CDB"/>
    <w:rsid w:val="00316D5A"/>
    <w:rsid w:val="0031787B"/>
    <w:rsid w:val="0032045B"/>
    <w:rsid w:val="00322637"/>
    <w:rsid w:val="003233C8"/>
    <w:rsid w:val="00325D76"/>
    <w:rsid w:val="00326B14"/>
    <w:rsid w:val="00326DE9"/>
    <w:rsid w:val="003307BA"/>
    <w:rsid w:val="00330B4B"/>
    <w:rsid w:val="003317A7"/>
    <w:rsid w:val="003362E9"/>
    <w:rsid w:val="00337284"/>
    <w:rsid w:val="00337795"/>
    <w:rsid w:val="003439FC"/>
    <w:rsid w:val="00344701"/>
    <w:rsid w:val="00344C19"/>
    <w:rsid w:val="003472CA"/>
    <w:rsid w:val="00357412"/>
    <w:rsid w:val="00361725"/>
    <w:rsid w:val="00364E68"/>
    <w:rsid w:val="003702C7"/>
    <w:rsid w:val="00370BB8"/>
    <w:rsid w:val="00377CE8"/>
    <w:rsid w:val="0038428F"/>
    <w:rsid w:val="00387545"/>
    <w:rsid w:val="00392C80"/>
    <w:rsid w:val="003931FE"/>
    <w:rsid w:val="00394C7F"/>
    <w:rsid w:val="00396038"/>
    <w:rsid w:val="00396369"/>
    <w:rsid w:val="00397E52"/>
    <w:rsid w:val="003A2337"/>
    <w:rsid w:val="003A3C57"/>
    <w:rsid w:val="003B0DF4"/>
    <w:rsid w:val="003B23DA"/>
    <w:rsid w:val="003B243F"/>
    <w:rsid w:val="003B71D0"/>
    <w:rsid w:val="003C61C4"/>
    <w:rsid w:val="003D3605"/>
    <w:rsid w:val="003E319F"/>
    <w:rsid w:val="003E6E61"/>
    <w:rsid w:val="003F39ED"/>
    <w:rsid w:val="003F3F2D"/>
    <w:rsid w:val="003F4348"/>
    <w:rsid w:val="00400ADD"/>
    <w:rsid w:val="00401179"/>
    <w:rsid w:val="004016BA"/>
    <w:rsid w:val="00401DA8"/>
    <w:rsid w:val="00406965"/>
    <w:rsid w:val="004077BF"/>
    <w:rsid w:val="00410285"/>
    <w:rsid w:val="0041481A"/>
    <w:rsid w:val="00415DCE"/>
    <w:rsid w:val="004176F9"/>
    <w:rsid w:val="00422321"/>
    <w:rsid w:val="00427609"/>
    <w:rsid w:val="00427804"/>
    <w:rsid w:val="004278D5"/>
    <w:rsid w:val="00430CD0"/>
    <w:rsid w:val="00432779"/>
    <w:rsid w:val="00436386"/>
    <w:rsid w:val="00446085"/>
    <w:rsid w:val="00447E79"/>
    <w:rsid w:val="00460E79"/>
    <w:rsid w:val="00466FB5"/>
    <w:rsid w:val="00472198"/>
    <w:rsid w:val="00473EB9"/>
    <w:rsid w:val="00476E9E"/>
    <w:rsid w:val="00480219"/>
    <w:rsid w:val="004819A4"/>
    <w:rsid w:val="0048292C"/>
    <w:rsid w:val="004836F9"/>
    <w:rsid w:val="004847DC"/>
    <w:rsid w:val="00485BB7"/>
    <w:rsid w:val="0048645E"/>
    <w:rsid w:val="00490887"/>
    <w:rsid w:val="00492FA6"/>
    <w:rsid w:val="004937B0"/>
    <w:rsid w:val="004940D0"/>
    <w:rsid w:val="0049746A"/>
    <w:rsid w:val="004A0752"/>
    <w:rsid w:val="004A3FE7"/>
    <w:rsid w:val="004A46B8"/>
    <w:rsid w:val="004B0D93"/>
    <w:rsid w:val="004B6597"/>
    <w:rsid w:val="004B7EA6"/>
    <w:rsid w:val="004C128D"/>
    <w:rsid w:val="004C18DE"/>
    <w:rsid w:val="004C6017"/>
    <w:rsid w:val="004D4CA5"/>
    <w:rsid w:val="004D4E53"/>
    <w:rsid w:val="004D5E15"/>
    <w:rsid w:val="004E1919"/>
    <w:rsid w:val="004E622A"/>
    <w:rsid w:val="004F4DE3"/>
    <w:rsid w:val="004F5608"/>
    <w:rsid w:val="00501E02"/>
    <w:rsid w:val="00506BFE"/>
    <w:rsid w:val="005100DD"/>
    <w:rsid w:val="0051476B"/>
    <w:rsid w:val="00515377"/>
    <w:rsid w:val="00516CD1"/>
    <w:rsid w:val="005173C9"/>
    <w:rsid w:val="00520DB8"/>
    <w:rsid w:val="00534340"/>
    <w:rsid w:val="00540683"/>
    <w:rsid w:val="00545F88"/>
    <w:rsid w:val="00546FC1"/>
    <w:rsid w:val="00550E70"/>
    <w:rsid w:val="005533B4"/>
    <w:rsid w:val="005533C3"/>
    <w:rsid w:val="005601D1"/>
    <w:rsid w:val="00561447"/>
    <w:rsid w:val="0056605A"/>
    <w:rsid w:val="00573D3E"/>
    <w:rsid w:val="00573FC4"/>
    <w:rsid w:val="00576807"/>
    <w:rsid w:val="0057786D"/>
    <w:rsid w:val="00582B60"/>
    <w:rsid w:val="00583496"/>
    <w:rsid w:val="00585999"/>
    <w:rsid w:val="00586819"/>
    <w:rsid w:val="0058753C"/>
    <w:rsid w:val="00591A7D"/>
    <w:rsid w:val="005926B2"/>
    <w:rsid w:val="00593E26"/>
    <w:rsid w:val="00595B2E"/>
    <w:rsid w:val="00595C5C"/>
    <w:rsid w:val="00596953"/>
    <w:rsid w:val="005A1A44"/>
    <w:rsid w:val="005A1BA1"/>
    <w:rsid w:val="005A5B6A"/>
    <w:rsid w:val="005A7D7E"/>
    <w:rsid w:val="005B6280"/>
    <w:rsid w:val="005C1940"/>
    <w:rsid w:val="005C558D"/>
    <w:rsid w:val="005C7246"/>
    <w:rsid w:val="005D3B31"/>
    <w:rsid w:val="005E1804"/>
    <w:rsid w:val="005E1F16"/>
    <w:rsid w:val="005E3600"/>
    <w:rsid w:val="005E5104"/>
    <w:rsid w:val="005E5EF7"/>
    <w:rsid w:val="005F26AD"/>
    <w:rsid w:val="005F58DF"/>
    <w:rsid w:val="005F644D"/>
    <w:rsid w:val="0060269E"/>
    <w:rsid w:val="006047AC"/>
    <w:rsid w:val="00607B11"/>
    <w:rsid w:val="006111A3"/>
    <w:rsid w:val="00611C20"/>
    <w:rsid w:val="0061668A"/>
    <w:rsid w:val="00620982"/>
    <w:rsid w:val="0062294D"/>
    <w:rsid w:val="006256AF"/>
    <w:rsid w:val="00626C86"/>
    <w:rsid w:val="00630422"/>
    <w:rsid w:val="0063444B"/>
    <w:rsid w:val="00637818"/>
    <w:rsid w:val="00642215"/>
    <w:rsid w:val="00643AEA"/>
    <w:rsid w:val="00651386"/>
    <w:rsid w:val="00651DFA"/>
    <w:rsid w:val="00661FED"/>
    <w:rsid w:val="0066280E"/>
    <w:rsid w:val="0066312D"/>
    <w:rsid w:val="006634B2"/>
    <w:rsid w:val="00666284"/>
    <w:rsid w:val="00670028"/>
    <w:rsid w:val="0068608E"/>
    <w:rsid w:val="00690A5F"/>
    <w:rsid w:val="0069164E"/>
    <w:rsid w:val="006924C5"/>
    <w:rsid w:val="006970A1"/>
    <w:rsid w:val="006A0959"/>
    <w:rsid w:val="006A37B8"/>
    <w:rsid w:val="006A507B"/>
    <w:rsid w:val="006A73AD"/>
    <w:rsid w:val="006A7F94"/>
    <w:rsid w:val="006B57B7"/>
    <w:rsid w:val="006B5B8A"/>
    <w:rsid w:val="006B6FC7"/>
    <w:rsid w:val="006B7C55"/>
    <w:rsid w:val="006D06B3"/>
    <w:rsid w:val="006D1972"/>
    <w:rsid w:val="006D78CA"/>
    <w:rsid w:val="006E1542"/>
    <w:rsid w:val="006E27AB"/>
    <w:rsid w:val="006E2982"/>
    <w:rsid w:val="006E498C"/>
    <w:rsid w:val="006F3C42"/>
    <w:rsid w:val="007021B4"/>
    <w:rsid w:val="00702BE6"/>
    <w:rsid w:val="00703F25"/>
    <w:rsid w:val="00706883"/>
    <w:rsid w:val="007151F5"/>
    <w:rsid w:val="007225A1"/>
    <w:rsid w:val="00740447"/>
    <w:rsid w:val="00742BD3"/>
    <w:rsid w:val="00751575"/>
    <w:rsid w:val="00753690"/>
    <w:rsid w:val="00754516"/>
    <w:rsid w:val="0075583E"/>
    <w:rsid w:val="0076007D"/>
    <w:rsid w:val="00760FB2"/>
    <w:rsid w:val="007652AB"/>
    <w:rsid w:val="007705CB"/>
    <w:rsid w:val="00773B7E"/>
    <w:rsid w:val="007774CF"/>
    <w:rsid w:val="007877DE"/>
    <w:rsid w:val="0079124E"/>
    <w:rsid w:val="0079193E"/>
    <w:rsid w:val="00792E94"/>
    <w:rsid w:val="007A07B3"/>
    <w:rsid w:val="007A19A7"/>
    <w:rsid w:val="007A4339"/>
    <w:rsid w:val="007A584D"/>
    <w:rsid w:val="007B5D5A"/>
    <w:rsid w:val="007C1AA7"/>
    <w:rsid w:val="007C4E98"/>
    <w:rsid w:val="007D1EF9"/>
    <w:rsid w:val="007D2FA0"/>
    <w:rsid w:val="007D4EE5"/>
    <w:rsid w:val="007D6265"/>
    <w:rsid w:val="007D716D"/>
    <w:rsid w:val="007E6863"/>
    <w:rsid w:val="007E7F2A"/>
    <w:rsid w:val="007F7716"/>
    <w:rsid w:val="00801EB9"/>
    <w:rsid w:val="00805AEB"/>
    <w:rsid w:val="00810504"/>
    <w:rsid w:val="0081450F"/>
    <w:rsid w:val="00826787"/>
    <w:rsid w:val="00834438"/>
    <w:rsid w:val="00835551"/>
    <w:rsid w:val="00837FB8"/>
    <w:rsid w:val="00841328"/>
    <w:rsid w:val="00852BEF"/>
    <w:rsid w:val="00854209"/>
    <w:rsid w:val="0086267A"/>
    <w:rsid w:val="0086477D"/>
    <w:rsid w:val="00876F50"/>
    <w:rsid w:val="008808AA"/>
    <w:rsid w:val="008864F8"/>
    <w:rsid w:val="00894221"/>
    <w:rsid w:val="00896081"/>
    <w:rsid w:val="008967B7"/>
    <w:rsid w:val="008A16E9"/>
    <w:rsid w:val="008A4F3D"/>
    <w:rsid w:val="008A683C"/>
    <w:rsid w:val="008B14F8"/>
    <w:rsid w:val="008B2D55"/>
    <w:rsid w:val="008B3106"/>
    <w:rsid w:val="008B3F84"/>
    <w:rsid w:val="008B5544"/>
    <w:rsid w:val="008B5EF0"/>
    <w:rsid w:val="008B7C4B"/>
    <w:rsid w:val="008C14D8"/>
    <w:rsid w:val="008C3113"/>
    <w:rsid w:val="008D03C5"/>
    <w:rsid w:val="008D3CEC"/>
    <w:rsid w:val="008D57B5"/>
    <w:rsid w:val="008E6069"/>
    <w:rsid w:val="008E6B36"/>
    <w:rsid w:val="008F4B57"/>
    <w:rsid w:val="00902FD0"/>
    <w:rsid w:val="00903D48"/>
    <w:rsid w:val="009067D0"/>
    <w:rsid w:val="0090748A"/>
    <w:rsid w:val="009102B8"/>
    <w:rsid w:val="00912A46"/>
    <w:rsid w:val="009156BB"/>
    <w:rsid w:val="00920ACF"/>
    <w:rsid w:val="00927AC3"/>
    <w:rsid w:val="00935C84"/>
    <w:rsid w:val="009422FA"/>
    <w:rsid w:val="0094733D"/>
    <w:rsid w:val="00952272"/>
    <w:rsid w:val="00953866"/>
    <w:rsid w:val="00962147"/>
    <w:rsid w:val="00962E31"/>
    <w:rsid w:val="00965DC5"/>
    <w:rsid w:val="00966C68"/>
    <w:rsid w:val="00966CE6"/>
    <w:rsid w:val="009730E6"/>
    <w:rsid w:val="00975B09"/>
    <w:rsid w:val="009771C0"/>
    <w:rsid w:val="009777E8"/>
    <w:rsid w:val="0098158C"/>
    <w:rsid w:val="00981925"/>
    <w:rsid w:val="00984227"/>
    <w:rsid w:val="0099031A"/>
    <w:rsid w:val="00991BA0"/>
    <w:rsid w:val="009A4FC8"/>
    <w:rsid w:val="009B08B3"/>
    <w:rsid w:val="009B2E9E"/>
    <w:rsid w:val="009B32C5"/>
    <w:rsid w:val="009B4801"/>
    <w:rsid w:val="009C79C4"/>
    <w:rsid w:val="009D395F"/>
    <w:rsid w:val="009D3C60"/>
    <w:rsid w:val="009E281C"/>
    <w:rsid w:val="009E3EBD"/>
    <w:rsid w:val="009E795B"/>
    <w:rsid w:val="009F0973"/>
    <w:rsid w:val="009F29BF"/>
    <w:rsid w:val="009F2DD9"/>
    <w:rsid w:val="00A005D6"/>
    <w:rsid w:val="00A0723D"/>
    <w:rsid w:val="00A10B99"/>
    <w:rsid w:val="00A1389E"/>
    <w:rsid w:val="00A13C90"/>
    <w:rsid w:val="00A17F67"/>
    <w:rsid w:val="00A2078A"/>
    <w:rsid w:val="00A208AB"/>
    <w:rsid w:val="00A21A7D"/>
    <w:rsid w:val="00A2645D"/>
    <w:rsid w:val="00A26FBF"/>
    <w:rsid w:val="00A27409"/>
    <w:rsid w:val="00A3425F"/>
    <w:rsid w:val="00A410D7"/>
    <w:rsid w:val="00A425D3"/>
    <w:rsid w:val="00A44AF1"/>
    <w:rsid w:val="00A57CE8"/>
    <w:rsid w:val="00A61472"/>
    <w:rsid w:val="00A62126"/>
    <w:rsid w:val="00A6655E"/>
    <w:rsid w:val="00A71FAE"/>
    <w:rsid w:val="00A72CE1"/>
    <w:rsid w:val="00A7621C"/>
    <w:rsid w:val="00A77993"/>
    <w:rsid w:val="00A77C4E"/>
    <w:rsid w:val="00A81D2D"/>
    <w:rsid w:val="00A849B8"/>
    <w:rsid w:val="00A917C1"/>
    <w:rsid w:val="00A92623"/>
    <w:rsid w:val="00A94B80"/>
    <w:rsid w:val="00AA0D24"/>
    <w:rsid w:val="00AA3039"/>
    <w:rsid w:val="00AB23F2"/>
    <w:rsid w:val="00AB6055"/>
    <w:rsid w:val="00AC0F57"/>
    <w:rsid w:val="00AC1577"/>
    <w:rsid w:val="00AC3059"/>
    <w:rsid w:val="00AC7465"/>
    <w:rsid w:val="00AC7991"/>
    <w:rsid w:val="00AD14D7"/>
    <w:rsid w:val="00AD1997"/>
    <w:rsid w:val="00AD27B5"/>
    <w:rsid w:val="00AD2BE8"/>
    <w:rsid w:val="00AD35C0"/>
    <w:rsid w:val="00AD68F2"/>
    <w:rsid w:val="00AD69C2"/>
    <w:rsid w:val="00AE1F7E"/>
    <w:rsid w:val="00AE50D2"/>
    <w:rsid w:val="00AE73A7"/>
    <w:rsid w:val="00AE7E9E"/>
    <w:rsid w:val="00AF7DC9"/>
    <w:rsid w:val="00B02145"/>
    <w:rsid w:val="00B041A6"/>
    <w:rsid w:val="00B0464D"/>
    <w:rsid w:val="00B12922"/>
    <w:rsid w:val="00B12D49"/>
    <w:rsid w:val="00B17A15"/>
    <w:rsid w:val="00B17A75"/>
    <w:rsid w:val="00B2269A"/>
    <w:rsid w:val="00B239F4"/>
    <w:rsid w:val="00B26810"/>
    <w:rsid w:val="00B30626"/>
    <w:rsid w:val="00B31C1B"/>
    <w:rsid w:val="00B326BE"/>
    <w:rsid w:val="00B3498B"/>
    <w:rsid w:val="00B40836"/>
    <w:rsid w:val="00B45122"/>
    <w:rsid w:val="00B4533C"/>
    <w:rsid w:val="00B54C7A"/>
    <w:rsid w:val="00B5558F"/>
    <w:rsid w:val="00B65AA2"/>
    <w:rsid w:val="00B71545"/>
    <w:rsid w:val="00B71CEC"/>
    <w:rsid w:val="00B72D51"/>
    <w:rsid w:val="00B737F6"/>
    <w:rsid w:val="00B76FC3"/>
    <w:rsid w:val="00B7779D"/>
    <w:rsid w:val="00B83CEA"/>
    <w:rsid w:val="00B8463B"/>
    <w:rsid w:val="00B86696"/>
    <w:rsid w:val="00B87AB9"/>
    <w:rsid w:val="00B9072B"/>
    <w:rsid w:val="00B92BF7"/>
    <w:rsid w:val="00B9368D"/>
    <w:rsid w:val="00B940F8"/>
    <w:rsid w:val="00B9413E"/>
    <w:rsid w:val="00B951E1"/>
    <w:rsid w:val="00BA358B"/>
    <w:rsid w:val="00BA49CF"/>
    <w:rsid w:val="00BA6693"/>
    <w:rsid w:val="00BB0A40"/>
    <w:rsid w:val="00BB1891"/>
    <w:rsid w:val="00BC224B"/>
    <w:rsid w:val="00BC2A16"/>
    <w:rsid w:val="00BD6076"/>
    <w:rsid w:val="00BD77CE"/>
    <w:rsid w:val="00BE584E"/>
    <w:rsid w:val="00BF6A72"/>
    <w:rsid w:val="00BF7D16"/>
    <w:rsid w:val="00C01D3D"/>
    <w:rsid w:val="00C05CED"/>
    <w:rsid w:val="00C1260A"/>
    <w:rsid w:val="00C161A1"/>
    <w:rsid w:val="00C16233"/>
    <w:rsid w:val="00C24FA8"/>
    <w:rsid w:val="00C27690"/>
    <w:rsid w:val="00C32E06"/>
    <w:rsid w:val="00C44B44"/>
    <w:rsid w:val="00C4703A"/>
    <w:rsid w:val="00C50598"/>
    <w:rsid w:val="00C509C1"/>
    <w:rsid w:val="00C52CFA"/>
    <w:rsid w:val="00C532C5"/>
    <w:rsid w:val="00C56C4E"/>
    <w:rsid w:val="00C573FA"/>
    <w:rsid w:val="00C64A71"/>
    <w:rsid w:val="00C674A9"/>
    <w:rsid w:val="00C7003A"/>
    <w:rsid w:val="00C72A39"/>
    <w:rsid w:val="00C75E20"/>
    <w:rsid w:val="00C82985"/>
    <w:rsid w:val="00C8580F"/>
    <w:rsid w:val="00C90787"/>
    <w:rsid w:val="00C93A09"/>
    <w:rsid w:val="00C945EC"/>
    <w:rsid w:val="00C95218"/>
    <w:rsid w:val="00CA0D50"/>
    <w:rsid w:val="00CA2B03"/>
    <w:rsid w:val="00CA2D86"/>
    <w:rsid w:val="00CA71CC"/>
    <w:rsid w:val="00CA73CC"/>
    <w:rsid w:val="00CB17EE"/>
    <w:rsid w:val="00CB257D"/>
    <w:rsid w:val="00CC2417"/>
    <w:rsid w:val="00CC5370"/>
    <w:rsid w:val="00CC546D"/>
    <w:rsid w:val="00CC62F9"/>
    <w:rsid w:val="00CD654F"/>
    <w:rsid w:val="00CD7A4F"/>
    <w:rsid w:val="00CE1B1D"/>
    <w:rsid w:val="00CE1F32"/>
    <w:rsid w:val="00CE77BC"/>
    <w:rsid w:val="00CF2359"/>
    <w:rsid w:val="00CF32AE"/>
    <w:rsid w:val="00CF3E33"/>
    <w:rsid w:val="00CF40E0"/>
    <w:rsid w:val="00CF645B"/>
    <w:rsid w:val="00D03FC5"/>
    <w:rsid w:val="00D04570"/>
    <w:rsid w:val="00D04647"/>
    <w:rsid w:val="00D064E0"/>
    <w:rsid w:val="00D12EA3"/>
    <w:rsid w:val="00D169DA"/>
    <w:rsid w:val="00D16A29"/>
    <w:rsid w:val="00D174D8"/>
    <w:rsid w:val="00D230F7"/>
    <w:rsid w:val="00D2514D"/>
    <w:rsid w:val="00D258E0"/>
    <w:rsid w:val="00D33B77"/>
    <w:rsid w:val="00D35074"/>
    <w:rsid w:val="00D4056A"/>
    <w:rsid w:val="00D52AF0"/>
    <w:rsid w:val="00D52F95"/>
    <w:rsid w:val="00D6320C"/>
    <w:rsid w:val="00D65991"/>
    <w:rsid w:val="00D7150D"/>
    <w:rsid w:val="00D7156C"/>
    <w:rsid w:val="00D76307"/>
    <w:rsid w:val="00D80CB1"/>
    <w:rsid w:val="00D83F2A"/>
    <w:rsid w:val="00D8467E"/>
    <w:rsid w:val="00D84987"/>
    <w:rsid w:val="00D90FA5"/>
    <w:rsid w:val="00D92E0F"/>
    <w:rsid w:val="00D9723D"/>
    <w:rsid w:val="00D97C9F"/>
    <w:rsid w:val="00DA1F2E"/>
    <w:rsid w:val="00DA1F54"/>
    <w:rsid w:val="00DA28E2"/>
    <w:rsid w:val="00DA312C"/>
    <w:rsid w:val="00DA3AF6"/>
    <w:rsid w:val="00DA41E7"/>
    <w:rsid w:val="00DA54C3"/>
    <w:rsid w:val="00DB57E7"/>
    <w:rsid w:val="00DB5BC2"/>
    <w:rsid w:val="00DC66D9"/>
    <w:rsid w:val="00DE273B"/>
    <w:rsid w:val="00DF003A"/>
    <w:rsid w:val="00DF02ED"/>
    <w:rsid w:val="00DF426C"/>
    <w:rsid w:val="00E053BA"/>
    <w:rsid w:val="00E05D41"/>
    <w:rsid w:val="00E064BD"/>
    <w:rsid w:val="00E1103A"/>
    <w:rsid w:val="00E135BE"/>
    <w:rsid w:val="00E14568"/>
    <w:rsid w:val="00E22556"/>
    <w:rsid w:val="00E22A7D"/>
    <w:rsid w:val="00E2343F"/>
    <w:rsid w:val="00E236E5"/>
    <w:rsid w:val="00E240AE"/>
    <w:rsid w:val="00E30097"/>
    <w:rsid w:val="00E30C9D"/>
    <w:rsid w:val="00E31826"/>
    <w:rsid w:val="00E40062"/>
    <w:rsid w:val="00E42BF7"/>
    <w:rsid w:val="00E45BA1"/>
    <w:rsid w:val="00E50FC6"/>
    <w:rsid w:val="00E521C8"/>
    <w:rsid w:val="00E54A29"/>
    <w:rsid w:val="00E568C0"/>
    <w:rsid w:val="00E574A2"/>
    <w:rsid w:val="00E619C6"/>
    <w:rsid w:val="00E626D1"/>
    <w:rsid w:val="00E66171"/>
    <w:rsid w:val="00E7153C"/>
    <w:rsid w:val="00E71A53"/>
    <w:rsid w:val="00E75433"/>
    <w:rsid w:val="00E75440"/>
    <w:rsid w:val="00E7548D"/>
    <w:rsid w:val="00E77B16"/>
    <w:rsid w:val="00E804E2"/>
    <w:rsid w:val="00E8265B"/>
    <w:rsid w:val="00E82915"/>
    <w:rsid w:val="00E82CF7"/>
    <w:rsid w:val="00E82F3B"/>
    <w:rsid w:val="00E8511E"/>
    <w:rsid w:val="00E8770E"/>
    <w:rsid w:val="00E93819"/>
    <w:rsid w:val="00EA0422"/>
    <w:rsid w:val="00EA2C25"/>
    <w:rsid w:val="00EA381F"/>
    <w:rsid w:val="00EA7A70"/>
    <w:rsid w:val="00EB2A25"/>
    <w:rsid w:val="00EB4ADF"/>
    <w:rsid w:val="00EB4D3D"/>
    <w:rsid w:val="00EC0142"/>
    <w:rsid w:val="00EC1907"/>
    <w:rsid w:val="00EC26DD"/>
    <w:rsid w:val="00EC5B0D"/>
    <w:rsid w:val="00EC7F49"/>
    <w:rsid w:val="00ED281E"/>
    <w:rsid w:val="00ED2901"/>
    <w:rsid w:val="00ED49D7"/>
    <w:rsid w:val="00ED557F"/>
    <w:rsid w:val="00EE4226"/>
    <w:rsid w:val="00EE457F"/>
    <w:rsid w:val="00EE5CAB"/>
    <w:rsid w:val="00EE6BD6"/>
    <w:rsid w:val="00EF00ED"/>
    <w:rsid w:val="00EF022A"/>
    <w:rsid w:val="00EF1E8C"/>
    <w:rsid w:val="00EF7231"/>
    <w:rsid w:val="00F025DE"/>
    <w:rsid w:val="00F02F34"/>
    <w:rsid w:val="00F04331"/>
    <w:rsid w:val="00F054E5"/>
    <w:rsid w:val="00F07812"/>
    <w:rsid w:val="00F10D47"/>
    <w:rsid w:val="00F12E99"/>
    <w:rsid w:val="00F1470A"/>
    <w:rsid w:val="00F21E94"/>
    <w:rsid w:val="00F22B91"/>
    <w:rsid w:val="00F265D6"/>
    <w:rsid w:val="00F27173"/>
    <w:rsid w:val="00F31FEF"/>
    <w:rsid w:val="00F330E1"/>
    <w:rsid w:val="00F42DC0"/>
    <w:rsid w:val="00F45EF2"/>
    <w:rsid w:val="00F4792F"/>
    <w:rsid w:val="00F50932"/>
    <w:rsid w:val="00F524CA"/>
    <w:rsid w:val="00F52E19"/>
    <w:rsid w:val="00F53223"/>
    <w:rsid w:val="00F54B5E"/>
    <w:rsid w:val="00F555D1"/>
    <w:rsid w:val="00F55DD3"/>
    <w:rsid w:val="00F5700E"/>
    <w:rsid w:val="00F607DC"/>
    <w:rsid w:val="00F64C6F"/>
    <w:rsid w:val="00F64FD3"/>
    <w:rsid w:val="00F65E8C"/>
    <w:rsid w:val="00F70B1D"/>
    <w:rsid w:val="00F70D98"/>
    <w:rsid w:val="00F736DE"/>
    <w:rsid w:val="00F73A99"/>
    <w:rsid w:val="00F74646"/>
    <w:rsid w:val="00F773EC"/>
    <w:rsid w:val="00F801E0"/>
    <w:rsid w:val="00F81F4E"/>
    <w:rsid w:val="00F85476"/>
    <w:rsid w:val="00F8608C"/>
    <w:rsid w:val="00F868E4"/>
    <w:rsid w:val="00F87B83"/>
    <w:rsid w:val="00F9095C"/>
    <w:rsid w:val="00F92AB9"/>
    <w:rsid w:val="00F92BF9"/>
    <w:rsid w:val="00F93402"/>
    <w:rsid w:val="00F93FBD"/>
    <w:rsid w:val="00FA532B"/>
    <w:rsid w:val="00FA6818"/>
    <w:rsid w:val="00FA6CEE"/>
    <w:rsid w:val="00FA712F"/>
    <w:rsid w:val="00FA7DE6"/>
    <w:rsid w:val="00FB305A"/>
    <w:rsid w:val="00FB440F"/>
    <w:rsid w:val="00FB49A1"/>
    <w:rsid w:val="00FB7A26"/>
    <w:rsid w:val="00FC032F"/>
    <w:rsid w:val="00FC2D7D"/>
    <w:rsid w:val="00FC5E77"/>
    <w:rsid w:val="00FD17D7"/>
    <w:rsid w:val="00FD3DEA"/>
    <w:rsid w:val="00FD4BC8"/>
    <w:rsid w:val="00FE2EF4"/>
    <w:rsid w:val="00FE497C"/>
    <w:rsid w:val="00FE78E8"/>
    <w:rsid w:val="00FE7C92"/>
    <w:rsid w:val="00FF3208"/>
    <w:rsid w:val="00FF4A54"/>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DE3B358B-1E3C-4FF3-A6A1-8C435EF4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link w:val="Footer"/>
    <w:rsid w:val="0011702A"/>
    <w:rPr>
      <w:lang w:eastAsia="fr-FR"/>
    </w:rPr>
  </w:style>
  <w:style w:type="paragraph" w:styleId="FootnoteText">
    <w:name w:val="footnote text"/>
    <w:aliases w:val="5_G"/>
    <w:basedOn w:val="Normal"/>
    <w:link w:val="FootnoteTextChar"/>
    <w:rsid w:val="00596953"/>
  </w:style>
  <w:style w:type="character" w:customStyle="1" w:styleId="FootnoteTextChar">
    <w:name w:val="Footnote Text Char"/>
    <w:aliases w:val="5_G Char"/>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customStyle="1" w:styleId="Grilledutableau6">
    <w:name w:val="Grille du tableau6"/>
    <w:basedOn w:val="TableNormal"/>
    <w:uiPriority w:val="59"/>
    <w:rsid w:val="00F93FBD"/>
    <w:rPr>
      <w:rFonts w:ascii="Arial" w:eastAsia="Calibri" w:hAnsi="Arial"/>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30E6"/>
    <w:rPr>
      <w:lang w:eastAsia="fr-FR"/>
    </w:rPr>
  </w:style>
  <w:style w:type="table" w:customStyle="1" w:styleId="Grilledutableau12">
    <w:name w:val="Grille du tableau12"/>
    <w:basedOn w:val="TableNormal"/>
    <w:next w:val="TableGrid"/>
    <w:uiPriority w:val="59"/>
    <w:rsid w:val="00F02F34"/>
    <w:rPr>
      <w:rFonts w:ascii="Arial" w:eastAsia="Calibri" w:hAnsi="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0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3G">
    <w:name w:val="_ H_2/3_G"/>
    <w:basedOn w:val="Normal"/>
    <w:next w:val="Normal"/>
    <w:rsid w:val="00EF1E8C"/>
    <w:pPr>
      <w:keepNext/>
      <w:keepLines/>
      <w:widowControl/>
      <w:tabs>
        <w:tab w:val="right" w:pos="851"/>
      </w:tabs>
      <w:suppressAutoHyphens/>
      <w:overflowPunct/>
      <w:autoSpaceDE/>
      <w:autoSpaceDN/>
      <w:adjustRightInd/>
      <w:spacing w:before="240" w:after="120" w:line="240" w:lineRule="exact"/>
      <w:ind w:right="1134"/>
      <w:jc w:val="left"/>
      <w:textAlignment w:val="auto"/>
    </w:pPr>
    <w:rPr>
      <w:b/>
      <w:lang w:eastAsia="en-US"/>
    </w:rPr>
  </w:style>
  <w:style w:type="paragraph" w:customStyle="1" w:styleId="H4G">
    <w:name w:val="_ H_4_G"/>
    <w:basedOn w:val="Normal"/>
    <w:next w:val="Normal"/>
    <w:rsid w:val="00EF1E8C"/>
    <w:pPr>
      <w:keepNext/>
      <w:keepLines/>
      <w:widowControl/>
      <w:tabs>
        <w:tab w:val="right" w:pos="851"/>
      </w:tabs>
      <w:suppressAutoHyphens/>
      <w:overflowPunct/>
      <w:autoSpaceDE/>
      <w:autoSpaceDN/>
      <w:adjustRightInd/>
      <w:spacing w:before="240" w:after="120" w:line="240" w:lineRule="exact"/>
      <w:ind w:right="1134"/>
      <w:jc w:val="left"/>
      <w:textAlignment w:val="auto"/>
    </w:pPr>
    <w:rPr>
      <w:i/>
      <w:lang w:eastAsia="en-US"/>
    </w:rPr>
  </w:style>
  <w:style w:type="paragraph" w:customStyle="1" w:styleId="Bullet1G">
    <w:name w:val="_Bullet 1_G"/>
    <w:basedOn w:val="Normal"/>
    <w:rsid w:val="00EF1E8C"/>
    <w:pPr>
      <w:widowControl/>
      <w:numPr>
        <w:numId w:val="7"/>
      </w:numPr>
      <w:suppressAutoHyphens/>
      <w:overflowPunct/>
      <w:autoSpaceDE/>
      <w:autoSpaceDN/>
      <w:adjustRightInd/>
      <w:spacing w:after="120" w:line="240" w:lineRule="atLeast"/>
      <w:ind w:right="1134"/>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645549297">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6712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73F0-6103-41DD-95CA-9B0BCB7B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3686</Words>
  <Characters>21011</Characters>
  <Application>Microsoft Office Word</Application>
  <DocSecurity>4</DocSecurity>
  <Lines>175</Lines>
  <Paragraphs>49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2018-11-22T11:27:00Z</cp:lastPrinted>
  <dcterms:created xsi:type="dcterms:W3CDTF">2018-12-06T12:49:00Z</dcterms:created>
  <dcterms:modified xsi:type="dcterms:W3CDTF">2018-12-06T12:49:00Z</dcterms:modified>
</cp:coreProperties>
</file>