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6F4E3187" w14:textId="77777777" w:rsidTr="00C97039">
        <w:trPr>
          <w:trHeight w:hRule="exact" w:val="851"/>
        </w:trPr>
        <w:tc>
          <w:tcPr>
            <w:tcW w:w="1276" w:type="dxa"/>
            <w:tcBorders>
              <w:bottom w:val="single" w:sz="4" w:space="0" w:color="auto"/>
            </w:tcBorders>
          </w:tcPr>
          <w:p w14:paraId="3B30EE97" w14:textId="77777777" w:rsidR="00F35BAF" w:rsidRPr="00DB58B5" w:rsidRDefault="00F35BAF" w:rsidP="00002D8C">
            <w:bookmarkStart w:id="0" w:name="_GoBack"/>
            <w:bookmarkEnd w:id="0"/>
          </w:p>
        </w:tc>
        <w:tc>
          <w:tcPr>
            <w:tcW w:w="2268" w:type="dxa"/>
            <w:tcBorders>
              <w:bottom w:val="single" w:sz="4" w:space="0" w:color="auto"/>
            </w:tcBorders>
            <w:vAlign w:val="bottom"/>
          </w:tcPr>
          <w:p w14:paraId="5F3DDE43"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63848E26" w14:textId="77777777" w:rsidR="00F35BAF" w:rsidRPr="00DB58B5" w:rsidRDefault="00002D8C" w:rsidP="00002D8C">
            <w:pPr>
              <w:jc w:val="right"/>
            </w:pPr>
            <w:r w:rsidRPr="00002D8C">
              <w:rPr>
                <w:sz w:val="40"/>
              </w:rPr>
              <w:t>ECE</w:t>
            </w:r>
            <w:r>
              <w:t>/TRANS/WP.15/AC.2/2019/29</w:t>
            </w:r>
          </w:p>
        </w:tc>
      </w:tr>
      <w:tr w:rsidR="00F35BAF" w:rsidRPr="00DB58B5" w14:paraId="11029474" w14:textId="77777777" w:rsidTr="00C97039">
        <w:trPr>
          <w:trHeight w:hRule="exact" w:val="2835"/>
        </w:trPr>
        <w:tc>
          <w:tcPr>
            <w:tcW w:w="1276" w:type="dxa"/>
            <w:tcBorders>
              <w:top w:val="single" w:sz="4" w:space="0" w:color="auto"/>
              <w:bottom w:val="single" w:sz="12" w:space="0" w:color="auto"/>
            </w:tcBorders>
          </w:tcPr>
          <w:p w14:paraId="25CEED33" w14:textId="77777777" w:rsidR="00F35BAF" w:rsidRPr="00DB58B5" w:rsidRDefault="00F35BAF" w:rsidP="00C97039">
            <w:pPr>
              <w:spacing w:before="120"/>
              <w:jc w:val="center"/>
            </w:pPr>
            <w:r>
              <w:rPr>
                <w:noProof/>
                <w:lang w:eastAsia="fr-CH"/>
              </w:rPr>
              <w:drawing>
                <wp:inline distT="0" distB="0" distL="0" distR="0" wp14:anchorId="1F631C3D" wp14:editId="383F145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E6E7966"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3F33F68D" w14:textId="77777777" w:rsidR="00F35BAF" w:rsidRDefault="00002D8C" w:rsidP="00C97039">
            <w:pPr>
              <w:spacing w:before="240"/>
            </w:pPr>
            <w:r>
              <w:t xml:space="preserve">Distr. </w:t>
            </w:r>
            <w:proofErr w:type="gramStart"/>
            <w:r>
              <w:t>générale</w:t>
            </w:r>
            <w:proofErr w:type="gramEnd"/>
          </w:p>
          <w:p w14:paraId="4786576A" w14:textId="77777777" w:rsidR="00002D8C" w:rsidRDefault="00002D8C" w:rsidP="00002D8C">
            <w:pPr>
              <w:spacing w:line="240" w:lineRule="exact"/>
            </w:pPr>
            <w:r>
              <w:t>7 juin 2019</w:t>
            </w:r>
          </w:p>
          <w:p w14:paraId="07D44F55" w14:textId="77777777" w:rsidR="00002D8C" w:rsidRDefault="00002D8C" w:rsidP="00002D8C">
            <w:pPr>
              <w:spacing w:line="240" w:lineRule="exact"/>
            </w:pPr>
            <w:r>
              <w:t>Français</w:t>
            </w:r>
          </w:p>
          <w:p w14:paraId="76F430D7" w14:textId="77777777" w:rsidR="00002D8C" w:rsidRPr="00DB58B5" w:rsidRDefault="00002D8C" w:rsidP="00002D8C">
            <w:pPr>
              <w:spacing w:line="240" w:lineRule="exact"/>
            </w:pPr>
            <w:r>
              <w:t>Original : anglais</w:t>
            </w:r>
          </w:p>
        </w:tc>
      </w:tr>
    </w:tbl>
    <w:p w14:paraId="2B05F2CB" w14:textId="77777777" w:rsidR="007F20FA" w:rsidRPr="000312C0" w:rsidRDefault="007F20FA" w:rsidP="007F20FA">
      <w:pPr>
        <w:spacing w:before="120"/>
        <w:rPr>
          <w:b/>
          <w:sz w:val="28"/>
          <w:szCs w:val="28"/>
        </w:rPr>
      </w:pPr>
      <w:r w:rsidRPr="000312C0">
        <w:rPr>
          <w:b/>
          <w:sz w:val="28"/>
          <w:szCs w:val="28"/>
        </w:rPr>
        <w:t>Commission économique pour l’Europe</w:t>
      </w:r>
    </w:p>
    <w:p w14:paraId="1E40289F" w14:textId="77777777" w:rsidR="007F20FA" w:rsidRDefault="007F20FA" w:rsidP="007F20FA">
      <w:pPr>
        <w:spacing w:before="120"/>
        <w:rPr>
          <w:sz w:val="28"/>
          <w:szCs w:val="28"/>
        </w:rPr>
      </w:pPr>
      <w:r w:rsidRPr="00685843">
        <w:rPr>
          <w:sz w:val="28"/>
          <w:szCs w:val="28"/>
        </w:rPr>
        <w:t>Comité des transports intérieurs</w:t>
      </w:r>
    </w:p>
    <w:p w14:paraId="1E630B32" w14:textId="77777777" w:rsidR="00923F80" w:rsidRPr="00324490" w:rsidRDefault="00923F80" w:rsidP="00324490">
      <w:pPr>
        <w:spacing w:before="120"/>
        <w:rPr>
          <w:b/>
          <w:sz w:val="24"/>
          <w:szCs w:val="24"/>
        </w:rPr>
      </w:pPr>
      <w:r w:rsidRPr="00324490">
        <w:rPr>
          <w:b/>
          <w:bCs/>
          <w:sz w:val="24"/>
          <w:szCs w:val="24"/>
          <w:lang w:val="fr-FR"/>
        </w:rPr>
        <w:t>Groupe de travail des transports de marchandises dangereuses</w:t>
      </w:r>
    </w:p>
    <w:p w14:paraId="58B12FD0" w14:textId="77777777" w:rsidR="00923F80" w:rsidRPr="00324490" w:rsidRDefault="00923F80" w:rsidP="00324490">
      <w:pPr>
        <w:spacing w:before="120"/>
        <w:rPr>
          <w:b/>
        </w:rPr>
      </w:pPr>
      <w:r w:rsidRPr="00324490">
        <w:rPr>
          <w:b/>
          <w:bCs/>
          <w:lang w:val="fr-FR"/>
        </w:rPr>
        <w:t>Réunion commune d’experts sur le Règlement annexé à l’Accord européen</w:t>
      </w:r>
      <w:r w:rsidR="00324490">
        <w:rPr>
          <w:b/>
          <w:bCs/>
          <w:lang w:val="fr-FR"/>
        </w:rPr>
        <w:br/>
      </w:r>
      <w:r w:rsidRPr="00324490">
        <w:rPr>
          <w:b/>
          <w:bCs/>
          <w:lang w:val="fr-FR"/>
        </w:rPr>
        <w:t>relatif au transport international des marchandises dangereuses</w:t>
      </w:r>
      <w:r w:rsidR="00324490">
        <w:rPr>
          <w:b/>
          <w:bCs/>
          <w:lang w:val="fr-FR"/>
        </w:rPr>
        <w:br/>
      </w:r>
      <w:r w:rsidRPr="00324490">
        <w:rPr>
          <w:b/>
          <w:bCs/>
          <w:lang w:val="fr-FR"/>
        </w:rPr>
        <w:t>par voies de navigation intérieures (ADN)</w:t>
      </w:r>
      <w:r w:rsidR="00324490">
        <w:rPr>
          <w:b/>
          <w:bCs/>
          <w:lang w:val="fr-FR"/>
        </w:rPr>
        <w:br/>
      </w:r>
      <w:r w:rsidRPr="00324490">
        <w:rPr>
          <w:b/>
          <w:bCs/>
          <w:lang w:val="fr-FR"/>
        </w:rPr>
        <w:t>(Comité de sécurité de l’ADN)</w:t>
      </w:r>
    </w:p>
    <w:p w14:paraId="208436AD" w14:textId="77777777" w:rsidR="00923F80" w:rsidRPr="00324490" w:rsidRDefault="00923F80" w:rsidP="00324490">
      <w:pPr>
        <w:spacing w:before="120"/>
        <w:rPr>
          <w:b/>
        </w:rPr>
      </w:pPr>
      <w:r w:rsidRPr="00324490">
        <w:rPr>
          <w:b/>
          <w:bCs/>
          <w:lang w:val="fr-FR"/>
        </w:rPr>
        <w:t>Trente-cinquième session</w:t>
      </w:r>
    </w:p>
    <w:p w14:paraId="0B3244D9" w14:textId="77777777" w:rsidR="00923F80" w:rsidRPr="00324490" w:rsidRDefault="00923F80" w:rsidP="00923F80">
      <w:r w:rsidRPr="00324490">
        <w:rPr>
          <w:lang w:val="fr-FR"/>
        </w:rPr>
        <w:t>Genève, 26-30</w:t>
      </w:r>
      <w:r w:rsidR="00324490">
        <w:rPr>
          <w:lang w:val="fr-FR"/>
        </w:rPr>
        <w:t> </w:t>
      </w:r>
      <w:r w:rsidRPr="00324490">
        <w:rPr>
          <w:lang w:val="fr-FR"/>
        </w:rPr>
        <w:t>août 2019</w:t>
      </w:r>
    </w:p>
    <w:p w14:paraId="2287DC93" w14:textId="77777777" w:rsidR="00923F80" w:rsidRPr="00324490" w:rsidRDefault="00923F80" w:rsidP="00923F80">
      <w:r w:rsidRPr="00324490">
        <w:rPr>
          <w:lang w:val="fr-FR"/>
        </w:rPr>
        <w:t>Point</w:t>
      </w:r>
      <w:r w:rsidR="00324490">
        <w:rPr>
          <w:lang w:val="fr-FR"/>
        </w:rPr>
        <w:t> </w:t>
      </w:r>
      <w:r w:rsidRPr="00324490">
        <w:rPr>
          <w:lang w:val="fr-FR"/>
        </w:rPr>
        <w:t>4</w:t>
      </w:r>
      <w:r w:rsidR="00324490">
        <w:rPr>
          <w:lang w:val="fr-FR"/>
        </w:rPr>
        <w:t> </w:t>
      </w:r>
      <w:r w:rsidRPr="00324490">
        <w:rPr>
          <w:lang w:val="fr-FR"/>
        </w:rPr>
        <w:t>b) de l’ordre du jour provisoire</w:t>
      </w:r>
    </w:p>
    <w:p w14:paraId="5125BF87" w14:textId="77777777" w:rsidR="00923F80" w:rsidRPr="00324490" w:rsidRDefault="00923F80" w:rsidP="00923F80">
      <w:pPr>
        <w:rPr>
          <w:b/>
          <w:bCs/>
        </w:rPr>
      </w:pPr>
      <w:r w:rsidRPr="00324490">
        <w:rPr>
          <w:b/>
          <w:bCs/>
          <w:lang w:val="fr-FR"/>
        </w:rPr>
        <w:t>Propositions d’amendements au Règlement annexé à l’ADN</w:t>
      </w:r>
      <w:r w:rsidR="00324490">
        <w:rPr>
          <w:b/>
          <w:bCs/>
          <w:lang w:val="fr-FR"/>
        </w:rPr>
        <w:t> </w:t>
      </w:r>
      <w:r w:rsidRPr="00324490">
        <w:rPr>
          <w:b/>
          <w:bCs/>
          <w:lang w:val="fr-FR"/>
        </w:rPr>
        <w:t>:</w:t>
      </w:r>
    </w:p>
    <w:p w14:paraId="30318CDD" w14:textId="77777777" w:rsidR="00923F80" w:rsidRPr="00324490" w:rsidRDefault="00923F80" w:rsidP="00923F80">
      <w:pPr>
        <w:rPr>
          <w:b/>
          <w:bCs/>
        </w:rPr>
      </w:pPr>
      <w:r w:rsidRPr="00324490">
        <w:rPr>
          <w:b/>
          <w:bCs/>
          <w:lang w:val="fr-FR"/>
        </w:rPr>
        <w:t>Autres propositions</w:t>
      </w:r>
    </w:p>
    <w:p w14:paraId="77F5C68F" w14:textId="77777777" w:rsidR="00923F80" w:rsidRPr="002410DB" w:rsidRDefault="00923F80" w:rsidP="00324490">
      <w:pPr>
        <w:pStyle w:val="HChG"/>
      </w:pPr>
      <w:r w:rsidRPr="002410DB">
        <w:rPr>
          <w:lang w:val="fr-FR"/>
        </w:rPr>
        <w:tab/>
      </w:r>
      <w:r w:rsidRPr="002410DB">
        <w:rPr>
          <w:lang w:val="fr-FR"/>
        </w:rPr>
        <w:tab/>
        <w:t>Tuyauteries flexibles utilisées pour le GNL</w:t>
      </w:r>
    </w:p>
    <w:p w14:paraId="2ACF58B5" w14:textId="77777777" w:rsidR="00923F80" w:rsidRPr="002410DB" w:rsidRDefault="00923F80" w:rsidP="00324490">
      <w:pPr>
        <w:pStyle w:val="H1G"/>
      </w:pPr>
      <w:r w:rsidRPr="002410DB">
        <w:rPr>
          <w:lang w:val="fr-FR"/>
        </w:rPr>
        <w:tab/>
      </w:r>
      <w:r w:rsidRPr="002410DB">
        <w:rPr>
          <w:lang w:val="fr-FR"/>
        </w:rPr>
        <w:tab/>
        <w:t>Communication du Gouvernement des Pays-Bas</w:t>
      </w:r>
      <w:r w:rsidR="00324490" w:rsidRPr="00796D7F">
        <w:rPr>
          <w:rStyle w:val="FootnoteReference"/>
          <w:b w:val="0"/>
          <w:sz w:val="20"/>
          <w:vertAlign w:val="baseline"/>
        </w:rPr>
        <w:footnoteReference w:customMarkFollows="1" w:id="2"/>
        <w:t>*</w:t>
      </w:r>
      <w:r w:rsidR="00324490" w:rsidRPr="00796D7F">
        <w:rPr>
          <w:b w:val="0"/>
          <w:sz w:val="20"/>
          <w:vertAlign w:val="superscript"/>
        </w:rPr>
        <w:t xml:space="preserve">, </w:t>
      </w:r>
      <w:r w:rsidR="00324490" w:rsidRPr="00796D7F">
        <w:rPr>
          <w:rStyle w:val="FootnoteReference"/>
          <w:b w:val="0"/>
          <w:sz w:val="20"/>
          <w:vertAlign w:val="baseline"/>
        </w:rPr>
        <w:footnoteReference w:customMarkFollows="1" w:id="3"/>
        <w:t>**</w:t>
      </w:r>
    </w:p>
    <w:tbl>
      <w:tblPr>
        <w:tblW w:w="8505"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552"/>
        <w:gridCol w:w="5953"/>
      </w:tblGrid>
      <w:tr w:rsidR="00923F80" w:rsidRPr="002410DB" w14:paraId="4AED80ED" w14:textId="77777777" w:rsidTr="00467AED">
        <w:trPr>
          <w:jc w:val="center"/>
        </w:trPr>
        <w:tc>
          <w:tcPr>
            <w:tcW w:w="2552" w:type="dxa"/>
          </w:tcPr>
          <w:p w14:paraId="6F8ADBDC" w14:textId="77777777" w:rsidR="00923F80" w:rsidRPr="002410DB" w:rsidRDefault="00923F80" w:rsidP="00796D7F">
            <w:pPr>
              <w:spacing w:before="120" w:after="120"/>
            </w:pPr>
            <w:r w:rsidRPr="002410DB">
              <w:rPr>
                <w:b/>
                <w:bCs/>
                <w:lang w:val="fr-FR"/>
              </w:rPr>
              <w:t>Résumé analytique :</w:t>
            </w:r>
          </w:p>
        </w:tc>
        <w:tc>
          <w:tcPr>
            <w:tcW w:w="5953" w:type="dxa"/>
          </w:tcPr>
          <w:p w14:paraId="3D218B65" w14:textId="77777777" w:rsidR="00923F80" w:rsidRPr="002410DB" w:rsidRDefault="00923F80" w:rsidP="00796D7F">
            <w:pPr>
              <w:spacing w:before="120" w:after="120"/>
            </w:pPr>
            <w:r w:rsidRPr="002410DB">
              <w:rPr>
                <w:lang w:val="fr-FR"/>
              </w:rPr>
              <w:t>Puisque le gaz naturel liquéfié (GNL) est de plus en plus transporté et utilisé comme carburant par les navires de haute mer et les bateaux de navigation intérieure, la délégation néerlandaise a estimé souhaitable d’élaborer des prescriptions concernant les tuyauteries flexibles utilisé</w:t>
            </w:r>
            <w:r w:rsidR="004A1643">
              <w:rPr>
                <w:lang w:val="fr-FR"/>
              </w:rPr>
              <w:t>e</w:t>
            </w:r>
            <w:r w:rsidRPr="002410DB">
              <w:rPr>
                <w:lang w:val="fr-FR"/>
              </w:rPr>
              <w:t>s pour le GNL, qu’il s’agisse de chargement, de déchargement ou d’avitaillement. Le présent document contient une proposition d’amendement au Règlement annexé à l’ADN concernant</w:t>
            </w:r>
            <w:r w:rsidRPr="002410DB">
              <w:t xml:space="preserve"> </w:t>
            </w:r>
            <w:r w:rsidRPr="002410DB">
              <w:rPr>
                <w:lang w:val="fr-FR"/>
              </w:rPr>
              <w:t xml:space="preserve">cette question. </w:t>
            </w:r>
          </w:p>
        </w:tc>
      </w:tr>
      <w:tr w:rsidR="00923F80" w:rsidRPr="002410DB" w14:paraId="73E173DA" w14:textId="77777777" w:rsidTr="00467AED">
        <w:trPr>
          <w:trHeight w:val="509"/>
          <w:jc w:val="center"/>
        </w:trPr>
        <w:tc>
          <w:tcPr>
            <w:tcW w:w="2552" w:type="dxa"/>
          </w:tcPr>
          <w:p w14:paraId="1477D8C5" w14:textId="77777777" w:rsidR="00923F80" w:rsidRPr="002410DB" w:rsidRDefault="00923F80" w:rsidP="00796D7F">
            <w:pPr>
              <w:spacing w:after="120"/>
              <w:rPr>
                <w:b/>
              </w:rPr>
            </w:pPr>
            <w:r w:rsidRPr="002410DB">
              <w:rPr>
                <w:b/>
                <w:bCs/>
                <w:lang w:val="fr-FR"/>
              </w:rPr>
              <w:t>Mesure(s) à prendre :</w:t>
            </w:r>
          </w:p>
        </w:tc>
        <w:tc>
          <w:tcPr>
            <w:tcW w:w="5953" w:type="dxa"/>
          </w:tcPr>
          <w:p w14:paraId="54C3BAC8" w14:textId="77777777" w:rsidR="00923F80" w:rsidRPr="002410DB" w:rsidRDefault="00923F80" w:rsidP="00796D7F">
            <w:pPr>
              <w:spacing w:after="120"/>
            </w:pPr>
            <w:r w:rsidRPr="002410DB">
              <w:rPr>
                <w:lang w:val="fr-FR"/>
              </w:rPr>
              <w:t>Le Comité de sécurité est invité à adopter l’amendement proposé (voir</w:t>
            </w:r>
            <w:r w:rsidR="00037B98">
              <w:rPr>
                <w:lang w:val="fr-FR"/>
              </w:rPr>
              <w:t> </w:t>
            </w:r>
            <w:r w:rsidRPr="002410DB">
              <w:rPr>
                <w:lang w:val="fr-FR"/>
              </w:rPr>
              <w:t>par</w:t>
            </w:r>
            <w:r w:rsidR="00037B98">
              <w:rPr>
                <w:lang w:val="fr-FR"/>
              </w:rPr>
              <w:t>. </w:t>
            </w:r>
            <w:r w:rsidRPr="002410DB">
              <w:rPr>
                <w:lang w:val="fr-FR"/>
              </w:rPr>
              <w:t>5).</w:t>
            </w:r>
          </w:p>
        </w:tc>
      </w:tr>
      <w:tr w:rsidR="00923F80" w:rsidRPr="002410DB" w14:paraId="5F395411" w14:textId="77777777" w:rsidTr="00467AED">
        <w:trPr>
          <w:jc w:val="center"/>
        </w:trPr>
        <w:tc>
          <w:tcPr>
            <w:tcW w:w="2552" w:type="dxa"/>
            <w:tcBorders>
              <w:bottom w:val="single" w:sz="4" w:space="0" w:color="auto"/>
            </w:tcBorders>
          </w:tcPr>
          <w:p w14:paraId="2B26734C" w14:textId="77777777" w:rsidR="00923F80" w:rsidRPr="002410DB" w:rsidRDefault="00923F80" w:rsidP="00796D7F">
            <w:pPr>
              <w:spacing w:after="120"/>
              <w:rPr>
                <w:b/>
              </w:rPr>
            </w:pPr>
            <w:r w:rsidRPr="002410DB">
              <w:rPr>
                <w:b/>
                <w:bCs/>
                <w:lang w:val="fr-FR"/>
              </w:rPr>
              <w:t>Documents de référence :</w:t>
            </w:r>
          </w:p>
        </w:tc>
        <w:tc>
          <w:tcPr>
            <w:tcW w:w="5953" w:type="dxa"/>
            <w:tcBorders>
              <w:bottom w:val="single" w:sz="4" w:space="0" w:color="auto"/>
            </w:tcBorders>
          </w:tcPr>
          <w:p w14:paraId="7D22033F" w14:textId="77777777" w:rsidR="00923F80" w:rsidRPr="002410DB" w:rsidRDefault="00923F80" w:rsidP="00796D7F">
            <w:r w:rsidRPr="002410DB">
              <w:rPr>
                <w:lang w:val="fr-FR"/>
              </w:rPr>
              <w:t>ECE/TRANS/WP.15/AC.2/2019/15</w:t>
            </w:r>
          </w:p>
          <w:p w14:paraId="1CE38385" w14:textId="77777777" w:rsidR="00923F80" w:rsidRPr="002410DB" w:rsidRDefault="00923F80" w:rsidP="00796D7F">
            <w:pPr>
              <w:spacing w:after="120"/>
            </w:pPr>
            <w:r w:rsidRPr="002410DB">
              <w:rPr>
                <w:lang w:val="fr-FR"/>
              </w:rPr>
              <w:t>ECE/TRANS/WP.15/AC.2/70 (par.</w:t>
            </w:r>
            <w:r w:rsidR="00037B98">
              <w:rPr>
                <w:lang w:val="fr-FR"/>
              </w:rPr>
              <w:t> </w:t>
            </w:r>
            <w:r w:rsidRPr="002410DB">
              <w:rPr>
                <w:lang w:val="fr-FR"/>
              </w:rPr>
              <w:t>45 à 47)</w:t>
            </w:r>
          </w:p>
        </w:tc>
      </w:tr>
    </w:tbl>
    <w:p w14:paraId="355AE658" w14:textId="77777777" w:rsidR="00037B98" w:rsidRDefault="00037B98" w:rsidP="00923F80"/>
    <w:p w14:paraId="7B439375" w14:textId="77777777" w:rsidR="00923F80" w:rsidRPr="002410DB" w:rsidRDefault="00037B98" w:rsidP="00CD3210">
      <w:pPr>
        <w:pStyle w:val="HChG"/>
        <w:rPr>
          <w:sz w:val="24"/>
          <w:szCs w:val="24"/>
        </w:rPr>
      </w:pPr>
      <w:r>
        <w:br w:type="page"/>
      </w:r>
      <w:r w:rsidR="00CD3210">
        <w:lastRenderedPageBreak/>
        <w:tab/>
      </w:r>
      <w:r w:rsidR="00CD3210">
        <w:tab/>
      </w:r>
      <w:r w:rsidR="00923F80" w:rsidRPr="002410DB">
        <w:rPr>
          <w:lang w:val="fr-FR"/>
        </w:rPr>
        <w:t>Introduction</w:t>
      </w:r>
    </w:p>
    <w:p w14:paraId="6A7CF95F" w14:textId="77777777" w:rsidR="00923F80" w:rsidRPr="002410DB" w:rsidRDefault="00923F80" w:rsidP="00CD3210">
      <w:pPr>
        <w:pStyle w:val="SingleTxtG"/>
      </w:pPr>
      <w:r w:rsidRPr="002410DB">
        <w:rPr>
          <w:lang w:val="fr-FR"/>
        </w:rPr>
        <w:t>1.</w:t>
      </w:r>
      <w:r w:rsidRPr="002410DB">
        <w:rPr>
          <w:lang w:val="fr-FR"/>
        </w:rPr>
        <w:tab/>
        <w:t>À sa trente-quatrième session, le Comité de sécurité a examiné le document de travail ECE/TRANS/WP.15/AC.2/2019/15 tel que soumis par la délégation néerlandaise. Il</w:t>
      </w:r>
      <w:r w:rsidR="0099030D">
        <w:rPr>
          <w:lang w:val="fr-FR"/>
        </w:rPr>
        <w:t> </w:t>
      </w:r>
      <w:r w:rsidRPr="002410DB">
        <w:rPr>
          <w:lang w:val="fr-FR"/>
        </w:rPr>
        <w:t>a invité la délégation à réviser, à la lumière des observations formulées, sa proposition visant à faire référence à la norme ISO</w:t>
      </w:r>
      <w:r w:rsidR="0099030D">
        <w:rPr>
          <w:lang w:val="fr-FR"/>
        </w:rPr>
        <w:t> </w:t>
      </w:r>
      <w:proofErr w:type="gramStart"/>
      <w:r w:rsidRPr="002410DB">
        <w:rPr>
          <w:lang w:val="fr-FR"/>
        </w:rPr>
        <w:t>20519:</w:t>
      </w:r>
      <w:proofErr w:type="gramEnd"/>
      <w:r w:rsidRPr="002410DB">
        <w:rPr>
          <w:lang w:val="fr-FR"/>
        </w:rPr>
        <w:t>2017 au paragraphe</w:t>
      </w:r>
      <w:r w:rsidR="0099030D">
        <w:rPr>
          <w:lang w:val="fr-FR"/>
        </w:rPr>
        <w:t> </w:t>
      </w:r>
      <w:r w:rsidRPr="002410DB">
        <w:rPr>
          <w:lang w:val="fr-FR"/>
        </w:rPr>
        <w:t>8.1.6.2. Le Comité lui a</w:t>
      </w:r>
      <w:r>
        <w:rPr>
          <w:lang w:val="fr-FR"/>
        </w:rPr>
        <w:t xml:space="preserve"> </w:t>
      </w:r>
      <w:r w:rsidRPr="002410DB">
        <w:rPr>
          <w:lang w:val="fr-FR"/>
        </w:rPr>
        <w:t>plus précisément demandé de vérifier s’il n’était pas plus approprié de faire référence à la norme EN</w:t>
      </w:r>
      <w:r w:rsidR="0099030D">
        <w:rPr>
          <w:lang w:val="fr-FR"/>
        </w:rPr>
        <w:t> </w:t>
      </w:r>
      <w:r w:rsidRPr="002410DB">
        <w:rPr>
          <w:lang w:val="fr-FR"/>
        </w:rPr>
        <w:t>1474-</w:t>
      </w:r>
      <w:proofErr w:type="gramStart"/>
      <w:r w:rsidRPr="002410DB">
        <w:rPr>
          <w:lang w:val="fr-FR"/>
        </w:rPr>
        <w:t>2:</w:t>
      </w:r>
      <w:proofErr w:type="gramEnd"/>
      <w:r w:rsidRPr="002410DB">
        <w:rPr>
          <w:lang w:val="fr-FR"/>
        </w:rPr>
        <w:t>2008.</w:t>
      </w:r>
    </w:p>
    <w:p w14:paraId="577793BE" w14:textId="77777777" w:rsidR="00923F80" w:rsidRPr="002410DB" w:rsidRDefault="00923F80" w:rsidP="00CD3210">
      <w:pPr>
        <w:pStyle w:val="H1G"/>
      </w:pPr>
      <w:r w:rsidRPr="002410DB">
        <w:rPr>
          <w:lang w:val="fr-FR"/>
        </w:rPr>
        <w:tab/>
      </w:r>
      <w:r w:rsidRPr="002410DB">
        <w:rPr>
          <w:lang w:val="fr-FR"/>
        </w:rPr>
        <w:tab/>
        <w:t>Comparaison des deux normes</w:t>
      </w:r>
    </w:p>
    <w:p w14:paraId="216BBEE3" w14:textId="77777777" w:rsidR="00923F80" w:rsidRPr="002410DB" w:rsidRDefault="00923F80" w:rsidP="00CD3210">
      <w:pPr>
        <w:pStyle w:val="SingleTxtG"/>
      </w:pPr>
      <w:r w:rsidRPr="002410DB">
        <w:rPr>
          <w:lang w:val="fr-FR"/>
        </w:rPr>
        <w:t>2.</w:t>
      </w:r>
      <w:r w:rsidRPr="002410DB">
        <w:rPr>
          <w:lang w:val="fr-FR"/>
        </w:rPr>
        <w:tab/>
        <w:t>La norme EN</w:t>
      </w:r>
      <w:r w:rsidR="0099030D">
        <w:rPr>
          <w:lang w:val="fr-FR"/>
        </w:rPr>
        <w:t> </w:t>
      </w:r>
      <w:r w:rsidRPr="002410DB">
        <w:rPr>
          <w:lang w:val="fr-FR"/>
        </w:rPr>
        <w:t>1474-</w:t>
      </w:r>
      <w:proofErr w:type="gramStart"/>
      <w:r w:rsidRPr="002410DB">
        <w:rPr>
          <w:lang w:val="fr-FR"/>
        </w:rPr>
        <w:t>2:</w:t>
      </w:r>
      <w:proofErr w:type="gramEnd"/>
      <w:r w:rsidRPr="002410DB">
        <w:rPr>
          <w:lang w:val="fr-FR"/>
        </w:rPr>
        <w:t>2008 contient la description et les caractéristiques de conception des tuyaux et tuyauteries flexibles servant au transfert du GNL, mais ne comporte pas de prescriptions relatives aux vérifications et aux inspections annuelles</w:t>
      </w:r>
      <w:r>
        <w:rPr>
          <w:lang w:val="fr-FR"/>
        </w:rPr>
        <w:t xml:space="preserve"> </w:t>
      </w:r>
      <w:r w:rsidRPr="002410DB">
        <w:rPr>
          <w:lang w:val="fr-FR"/>
        </w:rPr>
        <w:t>de routine décrites pour les autres tuyauteries flexibles au paragraphe</w:t>
      </w:r>
      <w:r w:rsidR="0099030D">
        <w:rPr>
          <w:lang w:val="fr-FR"/>
        </w:rPr>
        <w:t> </w:t>
      </w:r>
      <w:r w:rsidRPr="002410DB">
        <w:rPr>
          <w:lang w:val="fr-FR"/>
        </w:rPr>
        <w:t>8.1.6.2.</w:t>
      </w:r>
    </w:p>
    <w:p w14:paraId="3D86BC4B" w14:textId="77777777" w:rsidR="00923F80" w:rsidRPr="002410DB" w:rsidRDefault="00923F80" w:rsidP="00CD3210">
      <w:pPr>
        <w:pStyle w:val="SingleTxtG"/>
      </w:pPr>
      <w:r w:rsidRPr="002410DB">
        <w:rPr>
          <w:lang w:val="fr-FR"/>
        </w:rPr>
        <w:t>3.</w:t>
      </w:r>
      <w:r w:rsidRPr="002410DB">
        <w:rPr>
          <w:lang w:val="fr-FR"/>
        </w:rPr>
        <w:tab/>
        <w:t>La norme ISO</w:t>
      </w:r>
      <w:r w:rsidR="0099030D">
        <w:rPr>
          <w:lang w:val="fr-FR"/>
        </w:rPr>
        <w:t> </w:t>
      </w:r>
      <w:proofErr w:type="gramStart"/>
      <w:r w:rsidRPr="002410DB">
        <w:rPr>
          <w:lang w:val="fr-FR"/>
        </w:rPr>
        <w:t>20519:</w:t>
      </w:r>
      <w:proofErr w:type="gramEnd"/>
      <w:r w:rsidRPr="002410DB">
        <w:rPr>
          <w:lang w:val="fr-FR"/>
        </w:rPr>
        <w:t>2017 définit des spécifications pour le soutage des navires fonctionnant au gaz naturel liquéfié. Les prescriptions concernant les tuyaux et tuyauteries flexibles pour le transfert du GNL figurant dans la norme EN</w:t>
      </w:r>
      <w:r w:rsidR="0099030D">
        <w:rPr>
          <w:lang w:val="fr-FR"/>
        </w:rPr>
        <w:t> </w:t>
      </w:r>
      <w:r w:rsidRPr="002410DB">
        <w:rPr>
          <w:lang w:val="fr-FR"/>
        </w:rPr>
        <w:t>1474-</w:t>
      </w:r>
      <w:proofErr w:type="gramStart"/>
      <w:r w:rsidRPr="002410DB">
        <w:rPr>
          <w:lang w:val="fr-FR"/>
        </w:rPr>
        <w:t>2:</w:t>
      </w:r>
      <w:proofErr w:type="gramEnd"/>
      <w:r w:rsidRPr="002410DB">
        <w:rPr>
          <w:lang w:val="fr-FR"/>
        </w:rPr>
        <w:t>2008 sont reproduites dans la partie</w:t>
      </w:r>
      <w:r w:rsidR="0099030D">
        <w:rPr>
          <w:lang w:val="fr-FR"/>
        </w:rPr>
        <w:t> </w:t>
      </w:r>
      <w:r w:rsidRPr="002410DB">
        <w:rPr>
          <w:lang w:val="fr-FR"/>
        </w:rPr>
        <w:t>5.5.2 de la norme ISO</w:t>
      </w:r>
      <w:r w:rsidR="0099030D">
        <w:rPr>
          <w:lang w:val="fr-FR"/>
        </w:rPr>
        <w:t> </w:t>
      </w:r>
      <w:r w:rsidRPr="002410DB">
        <w:rPr>
          <w:lang w:val="fr-FR"/>
        </w:rPr>
        <w:t>20519:2017. En outre, les parties</w:t>
      </w:r>
      <w:r w:rsidR="0099030D">
        <w:rPr>
          <w:lang w:val="fr-FR"/>
        </w:rPr>
        <w:t> </w:t>
      </w:r>
      <w:r w:rsidRPr="002410DB">
        <w:rPr>
          <w:lang w:val="fr-FR"/>
        </w:rPr>
        <w:t>5.3 à 5.7 de cette norme portent sur divers équipements additionnels tels que les systèmes de déconnexion d’urgence et d’arrêt d’urgence, les dispositifs de soutien et les raccords de connexion/déconnexion à sec. Ces éléments additionnels sortent du cadre des actuelles normes comparables du 8.1.6.2 pour les autres</w:t>
      </w:r>
      <w:r>
        <w:rPr>
          <w:lang w:val="fr-FR"/>
        </w:rPr>
        <w:t xml:space="preserve"> </w:t>
      </w:r>
      <w:r w:rsidRPr="002410DB">
        <w:rPr>
          <w:lang w:val="fr-FR"/>
        </w:rPr>
        <w:t>tuyauteries flexibles.</w:t>
      </w:r>
    </w:p>
    <w:p w14:paraId="74F25B11" w14:textId="77777777" w:rsidR="00923F80" w:rsidRPr="002410DB" w:rsidRDefault="00923F80" w:rsidP="00CD3210">
      <w:pPr>
        <w:pStyle w:val="H1G"/>
      </w:pPr>
      <w:r w:rsidRPr="002410DB">
        <w:rPr>
          <w:lang w:val="fr-FR"/>
        </w:rPr>
        <w:tab/>
      </w:r>
      <w:r w:rsidRPr="002410DB">
        <w:rPr>
          <w:lang w:val="fr-FR"/>
        </w:rPr>
        <w:tab/>
        <w:t>Amendement</w:t>
      </w:r>
    </w:p>
    <w:p w14:paraId="109C8281" w14:textId="77777777" w:rsidR="00923F80" w:rsidRPr="002410DB" w:rsidRDefault="00923F80" w:rsidP="00CD3210">
      <w:pPr>
        <w:pStyle w:val="SingleTxtG"/>
      </w:pPr>
      <w:r w:rsidRPr="002410DB">
        <w:rPr>
          <w:lang w:val="fr-FR"/>
        </w:rPr>
        <w:t>4.</w:t>
      </w:r>
      <w:r w:rsidRPr="002410DB">
        <w:rPr>
          <w:lang w:val="fr-FR"/>
        </w:rPr>
        <w:tab/>
        <w:t>Compte tenu de la portée mondiale de la norme ISO</w:t>
      </w:r>
      <w:r w:rsidR="0099030D">
        <w:rPr>
          <w:lang w:val="fr-FR"/>
        </w:rPr>
        <w:t> </w:t>
      </w:r>
      <w:proofErr w:type="gramStart"/>
      <w:r w:rsidRPr="002410DB">
        <w:rPr>
          <w:lang w:val="fr-FR"/>
        </w:rPr>
        <w:t>20519:</w:t>
      </w:r>
      <w:proofErr w:type="gramEnd"/>
      <w:r w:rsidRPr="002410DB">
        <w:rPr>
          <w:lang w:val="fr-FR"/>
        </w:rPr>
        <w:t>2017, de son intégration dans la législation européenne via l’article</w:t>
      </w:r>
      <w:r w:rsidR="0099030D">
        <w:rPr>
          <w:lang w:val="fr-FR"/>
        </w:rPr>
        <w:t> </w:t>
      </w:r>
      <w:r w:rsidRPr="002410DB">
        <w:rPr>
          <w:lang w:val="fr-FR"/>
        </w:rPr>
        <w:t>3 du Règlement (UE) 2018/674 et de l’absence de procédures de vérification et d’inspection dans la norme EN</w:t>
      </w:r>
      <w:r w:rsidR="0099030D">
        <w:rPr>
          <w:lang w:val="fr-FR"/>
        </w:rPr>
        <w:t> </w:t>
      </w:r>
      <w:r w:rsidRPr="002410DB">
        <w:rPr>
          <w:lang w:val="fr-FR"/>
        </w:rPr>
        <w:t>1474-2:2008, la délégation néerlandaise propose de faire référence à la partie</w:t>
      </w:r>
      <w:r w:rsidR="0099030D">
        <w:rPr>
          <w:lang w:val="fr-FR"/>
        </w:rPr>
        <w:t> </w:t>
      </w:r>
      <w:r w:rsidRPr="002410DB">
        <w:rPr>
          <w:lang w:val="fr-FR"/>
        </w:rPr>
        <w:t>5.5.2 de la norme ISO</w:t>
      </w:r>
      <w:r w:rsidR="0099030D">
        <w:rPr>
          <w:lang w:val="fr-FR"/>
        </w:rPr>
        <w:t> </w:t>
      </w:r>
      <w:r w:rsidRPr="002410DB">
        <w:rPr>
          <w:lang w:val="fr-FR"/>
        </w:rPr>
        <w:t>20519:2017 au paragraphe</w:t>
      </w:r>
      <w:r w:rsidR="0099030D">
        <w:rPr>
          <w:lang w:val="fr-FR"/>
        </w:rPr>
        <w:t> </w:t>
      </w:r>
      <w:r w:rsidRPr="002410DB">
        <w:rPr>
          <w:lang w:val="fr-FR"/>
        </w:rPr>
        <w:t>8.1.6.2 et de renvoyer à la partie 5.8 de cette même norme pour les questions relatives aux procédures de vérification et d’inspection.</w:t>
      </w:r>
    </w:p>
    <w:p w14:paraId="5F4754EB" w14:textId="77777777" w:rsidR="00923F80" w:rsidRPr="002410DB" w:rsidRDefault="00923F80" w:rsidP="00CD3210">
      <w:pPr>
        <w:pStyle w:val="SingleTxtG"/>
        <w:ind w:left="1701"/>
      </w:pPr>
      <w:r w:rsidRPr="002410DB">
        <w:rPr>
          <w:lang w:val="fr-FR"/>
        </w:rPr>
        <w:t>«</w:t>
      </w:r>
      <w:r w:rsidR="00CD3210">
        <w:rPr>
          <w:lang w:val="fr-FR"/>
        </w:rPr>
        <w:t> </w:t>
      </w:r>
      <w:r w:rsidRPr="002410DB">
        <w:rPr>
          <w:lang w:val="fr-FR"/>
        </w:rPr>
        <w:t>8.1.6.2</w:t>
      </w:r>
      <w:r w:rsidRPr="002410DB">
        <w:rPr>
          <w:lang w:val="fr-FR"/>
        </w:rPr>
        <w:tab/>
        <w:t>Les tuyauteries flexibles utilisées pour le chargement et le déchargement ou la remise de produits pour l’exploitation du bateau et de restes de cargaison doivent correspondre à la norme européenne EN </w:t>
      </w:r>
      <w:proofErr w:type="gramStart"/>
      <w:r w:rsidRPr="002410DB">
        <w:rPr>
          <w:lang w:val="fr-FR"/>
        </w:rPr>
        <w:t>12115:</w:t>
      </w:r>
      <w:proofErr w:type="gramEnd"/>
      <w:r w:rsidRPr="002410DB">
        <w:rPr>
          <w:lang w:val="fr-FR"/>
        </w:rPr>
        <w:t>2011-04 (Tuyaux et tuyauteries flexibles en caoutchouc ou en matière synthétique) ou EN 13765:2010-08 (Tuyaux et tuyauteries flexibles en thermoplastique multicouches non vulcanisé) ou EN ISO 10380:2003-10 (Tuyaux et tuyauteries métalliques flexibles onduleux). Ils doivent être vérifiés et inspectés conformément au tableau A.1 de la norme EN </w:t>
      </w:r>
      <w:proofErr w:type="gramStart"/>
      <w:r w:rsidRPr="002410DB">
        <w:rPr>
          <w:lang w:val="fr-FR"/>
        </w:rPr>
        <w:t>12115:</w:t>
      </w:r>
      <w:proofErr w:type="gramEnd"/>
      <w:r w:rsidRPr="002410DB">
        <w:rPr>
          <w:lang w:val="fr-FR"/>
        </w:rPr>
        <w:t xml:space="preserve">2011-04 ou au tableau K.1 de la norme EN 13765:2010-08 ou au paragraphe 7 de la norme EN ISO 10380:2003-10 au moins une fois par an, conformément aux instructions du fabricant, par des personnes agréées à cette fin par l’autorité compétente. Une attestation relative à cette inspection doit se trouver à bord. </w:t>
      </w:r>
      <w:r w:rsidRPr="002410DB">
        <w:rPr>
          <w:b/>
          <w:bCs/>
          <w:u w:val="single"/>
          <w:lang w:val="fr-FR"/>
        </w:rPr>
        <w:t>Les tuyauteries flexibles utilisées pour le chargement et le déchargement ou la remise de gaz naturel liquéfié pour l’exploitation du bateau doivent être conformes à la partie</w:t>
      </w:r>
      <w:r w:rsidR="0099030D">
        <w:rPr>
          <w:b/>
          <w:bCs/>
          <w:u w:val="single"/>
          <w:lang w:val="fr-FR"/>
        </w:rPr>
        <w:t> </w:t>
      </w:r>
      <w:r w:rsidRPr="002410DB">
        <w:rPr>
          <w:b/>
          <w:bCs/>
          <w:u w:val="single"/>
          <w:lang w:val="fr-FR"/>
        </w:rPr>
        <w:t>5.5.2 de la norme ISO</w:t>
      </w:r>
      <w:r w:rsidR="0099030D">
        <w:rPr>
          <w:b/>
          <w:bCs/>
          <w:u w:val="single"/>
          <w:lang w:val="fr-FR"/>
        </w:rPr>
        <w:t> </w:t>
      </w:r>
      <w:proofErr w:type="gramStart"/>
      <w:r w:rsidRPr="002410DB">
        <w:rPr>
          <w:b/>
          <w:bCs/>
          <w:u w:val="single"/>
          <w:lang w:val="fr-FR"/>
        </w:rPr>
        <w:t>20519:</w:t>
      </w:r>
      <w:proofErr w:type="gramEnd"/>
      <w:r w:rsidRPr="002410DB">
        <w:rPr>
          <w:b/>
          <w:bCs/>
          <w:u w:val="single"/>
          <w:lang w:val="fr-FR"/>
        </w:rPr>
        <w:t>2017 (Navires et technologie maritime − Spécification pour le soutage des navires fonctionnant au gaz naturel liquéfié) et doivent être vérifiées et inspectées conformément aux dispositions de la partie</w:t>
      </w:r>
      <w:r w:rsidR="0099030D">
        <w:rPr>
          <w:b/>
          <w:bCs/>
          <w:u w:val="single"/>
          <w:lang w:val="fr-FR"/>
        </w:rPr>
        <w:t> </w:t>
      </w:r>
      <w:r w:rsidRPr="002410DB">
        <w:rPr>
          <w:b/>
          <w:bCs/>
          <w:u w:val="single"/>
          <w:lang w:val="fr-FR"/>
        </w:rPr>
        <w:t>5.8 de la norme ISO</w:t>
      </w:r>
      <w:r w:rsidR="0099030D">
        <w:rPr>
          <w:b/>
          <w:bCs/>
          <w:u w:val="single"/>
          <w:lang w:val="fr-FR"/>
        </w:rPr>
        <w:t> </w:t>
      </w:r>
      <w:r w:rsidRPr="002410DB">
        <w:rPr>
          <w:b/>
          <w:bCs/>
          <w:u w:val="single"/>
          <w:lang w:val="fr-FR"/>
        </w:rPr>
        <w:t>20519:2017. »</w:t>
      </w:r>
      <w:r w:rsidR="0099030D">
        <w:rPr>
          <w:b/>
          <w:bCs/>
          <w:u w:val="single"/>
          <w:lang w:val="fr-FR"/>
        </w:rPr>
        <w:t>.</w:t>
      </w:r>
    </w:p>
    <w:p w14:paraId="4E91B534" w14:textId="77777777" w:rsidR="00923F80" w:rsidRPr="002410DB" w:rsidRDefault="00923F80" w:rsidP="0099030D">
      <w:pPr>
        <w:pStyle w:val="H1G"/>
      </w:pPr>
      <w:r w:rsidRPr="002410DB">
        <w:rPr>
          <w:lang w:val="fr-FR"/>
        </w:rPr>
        <w:tab/>
      </w:r>
      <w:r w:rsidRPr="002410DB">
        <w:rPr>
          <w:lang w:val="fr-FR"/>
        </w:rPr>
        <w:tab/>
        <w:t>Mesures à prendre</w:t>
      </w:r>
    </w:p>
    <w:p w14:paraId="46E17311" w14:textId="77777777" w:rsidR="00923F80" w:rsidRDefault="00923F80" w:rsidP="0099030D">
      <w:pPr>
        <w:pStyle w:val="SingleTxtG"/>
        <w:rPr>
          <w:lang w:val="fr-FR"/>
        </w:rPr>
      </w:pPr>
      <w:r w:rsidRPr="002410DB">
        <w:rPr>
          <w:lang w:val="fr-FR"/>
        </w:rPr>
        <w:t>5.</w:t>
      </w:r>
      <w:r w:rsidRPr="002410DB">
        <w:rPr>
          <w:lang w:val="fr-FR"/>
        </w:rPr>
        <w:tab/>
        <w:t>La délégation néerlandaise prie le Comité de sécurité de l’ADN d’examiner l’amendement proposé au paragraphe 4 et de prendre les mesures qu’il jugera appropriées.</w:t>
      </w:r>
    </w:p>
    <w:p w14:paraId="52083196" w14:textId="77777777" w:rsidR="0099030D" w:rsidRPr="0099030D" w:rsidRDefault="0099030D" w:rsidP="0099030D">
      <w:pPr>
        <w:pStyle w:val="SingleTxtG"/>
        <w:spacing w:before="240" w:after="0"/>
        <w:jc w:val="center"/>
        <w:rPr>
          <w:u w:val="single"/>
        </w:rPr>
      </w:pPr>
      <w:r>
        <w:rPr>
          <w:u w:val="single"/>
        </w:rPr>
        <w:tab/>
      </w:r>
      <w:r>
        <w:rPr>
          <w:u w:val="single"/>
        </w:rPr>
        <w:tab/>
      </w:r>
      <w:r>
        <w:rPr>
          <w:u w:val="single"/>
        </w:rPr>
        <w:tab/>
      </w:r>
    </w:p>
    <w:sectPr w:rsidR="0099030D" w:rsidRPr="0099030D" w:rsidSect="00002D8C">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AEB8D5" w14:textId="77777777" w:rsidR="00A814A4" w:rsidRDefault="00A814A4" w:rsidP="00F95C08">
      <w:pPr>
        <w:spacing w:line="240" w:lineRule="auto"/>
      </w:pPr>
    </w:p>
  </w:endnote>
  <w:endnote w:type="continuationSeparator" w:id="0">
    <w:p w14:paraId="412A4430" w14:textId="77777777" w:rsidR="00A814A4" w:rsidRPr="00AC3823" w:rsidRDefault="00A814A4" w:rsidP="00AC3823">
      <w:pPr>
        <w:pStyle w:val="Footer"/>
      </w:pPr>
    </w:p>
  </w:endnote>
  <w:endnote w:type="continuationNotice" w:id="1">
    <w:p w14:paraId="07088596" w14:textId="77777777" w:rsidR="00A814A4" w:rsidRDefault="00A814A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E0668" w14:textId="77777777" w:rsidR="00002D8C" w:rsidRPr="00002D8C" w:rsidRDefault="00002D8C" w:rsidP="00002D8C">
    <w:pPr>
      <w:pStyle w:val="Footer"/>
      <w:tabs>
        <w:tab w:val="right" w:pos="9638"/>
      </w:tabs>
    </w:pPr>
    <w:r w:rsidRPr="00002D8C">
      <w:rPr>
        <w:b/>
        <w:sz w:val="18"/>
      </w:rPr>
      <w:fldChar w:fldCharType="begin"/>
    </w:r>
    <w:r w:rsidRPr="00002D8C">
      <w:rPr>
        <w:b/>
        <w:sz w:val="18"/>
      </w:rPr>
      <w:instrText xml:space="preserve"> PAGE  \* MERGEFORMAT </w:instrText>
    </w:r>
    <w:r w:rsidRPr="00002D8C">
      <w:rPr>
        <w:b/>
        <w:sz w:val="18"/>
      </w:rPr>
      <w:fldChar w:fldCharType="separate"/>
    </w:r>
    <w:r w:rsidRPr="00002D8C">
      <w:rPr>
        <w:b/>
        <w:noProof/>
        <w:sz w:val="18"/>
      </w:rPr>
      <w:t>2</w:t>
    </w:r>
    <w:r w:rsidRPr="00002D8C">
      <w:rPr>
        <w:b/>
        <w:sz w:val="18"/>
      </w:rPr>
      <w:fldChar w:fldCharType="end"/>
    </w:r>
    <w:r>
      <w:rPr>
        <w:b/>
        <w:sz w:val="18"/>
      </w:rPr>
      <w:tab/>
    </w:r>
    <w:r>
      <w:t>GE.19-09253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00591" w14:textId="77777777" w:rsidR="00002D8C" w:rsidRPr="00002D8C" w:rsidRDefault="00002D8C" w:rsidP="00002D8C">
    <w:pPr>
      <w:pStyle w:val="Footer"/>
      <w:tabs>
        <w:tab w:val="right" w:pos="9638"/>
      </w:tabs>
      <w:rPr>
        <w:b/>
        <w:sz w:val="18"/>
      </w:rPr>
    </w:pPr>
    <w:r>
      <w:t>GE.19-09253</w:t>
    </w:r>
    <w:r>
      <w:tab/>
    </w:r>
    <w:r w:rsidRPr="00002D8C">
      <w:rPr>
        <w:b/>
        <w:sz w:val="18"/>
      </w:rPr>
      <w:fldChar w:fldCharType="begin"/>
    </w:r>
    <w:r w:rsidRPr="00002D8C">
      <w:rPr>
        <w:b/>
        <w:sz w:val="18"/>
      </w:rPr>
      <w:instrText xml:space="preserve"> PAGE  \* MERGEFORMAT </w:instrText>
    </w:r>
    <w:r w:rsidRPr="00002D8C">
      <w:rPr>
        <w:b/>
        <w:sz w:val="18"/>
      </w:rPr>
      <w:fldChar w:fldCharType="separate"/>
    </w:r>
    <w:r w:rsidRPr="00002D8C">
      <w:rPr>
        <w:b/>
        <w:noProof/>
        <w:sz w:val="18"/>
      </w:rPr>
      <w:t>3</w:t>
    </w:r>
    <w:r w:rsidRPr="00002D8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C87C7" w14:textId="77777777" w:rsidR="007F20FA" w:rsidRPr="00002D8C" w:rsidRDefault="00002D8C" w:rsidP="00002D8C">
    <w:pPr>
      <w:pStyle w:val="Footer"/>
      <w:spacing w:before="120"/>
      <w:rPr>
        <w:sz w:val="20"/>
      </w:rPr>
    </w:pPr>
    <w:r>
      <w:rPr>
        <w:sz w:val="20"/>
      </w:rPr>
      <w:t>GE.</w:t>
    </w:r>
    <w:r w:rsidR="007F20FA">
      <w:rPr>
        <w:noProof/>
        <w:lang w:eastAsia="fr-CH"/>
      </w:rPr>
      <w:drawing>
        <wp:anchor distT="0" distB="0" distL="114300" distR="114300" simplePos="0" relativeHeight="251660288" behindDoc="0" locked="0" layoutInCell="1" allowOverlap="0" wp14:anchorId="7F83CD94" wp14:editId="7E72A025">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w:t>
    </w:r>
    <w:proofErr w:type="gramStart"/>
    <w:r>
      <w:rPr>
        <w:sz w:val="20"/>
      </w:rPr>
      <w:t>09253  (</w:t>
    </w:r>
    <w:proofErr w:type="gramEnd"/>
    <w:r>
      <w:rPr>
        <w:sz w:val="20"/>
      </w:rPr>
      <w:t>F)    200619    250619</w:t>
    </w:r>
    <w:r>
      <w:rPr>
        <w:sz w:val="20"/>
      </w:rPr>
      <w:br/>
    </w:r>
    <w:r w:rsidRPr="00002D8C">
      <w:rPr>
        <w:rFonts w:ascii="C39T30Lfz" w:hAnsi="C39T30Lfz"/>
        <w:sz w:val="56"/>
      </w:rPr>
      <w:t></w:t>
    </w:r>
    <w:r w:rsidRPr="00002D8C">
      <w:rPr>
        <w:rFonts w:ascii="C39T30Lfz" w:hAnsi="C39T30Lfz"/>
        <w:sz w:val="56"/>
      </w:rPr>
      <w:t></w:t>
    </w:r>
    <w:r w:rsidRPr="00002D8C">
      <w:rPr>
        <w:rFonts w:ascii="C39T30Lfz" w:hAnsi="C39T30Lfz"/>
        <w:sz w:val="56"/>
      </w:rPr>
      <w:t></w:t>
    </w:r>
    <w:r w:rsidRPr="00002D8C">
      <w:rPr>
        <w:rFonts w:ascii="C39T30Lfz" w:hAnsi="C39T30Lfz"/>
        <w:sz w:val="56"/>
      </w:rPr>
      <w:t></w:t>
    </w:r>
    <w:r w:rsidRPr="00002D8C">
      <w:rPr>
        <w:rFonts w:ascii="C39T30Lfz" w:hAnsi="C39T30Lfz"/>
        <w:sz w:val="56"/>
      </w:rPr>
      <w:t></w:t>
    </w:r>
    <w:r w:rsidRPr="00002D8C">
      <w:rPr>
        <w:rFonts w:ascii="C39T30Lfz" w:hAnsi="C39T30Lfz"/>
        <w:sz w:val="56"/>
      </w:rPr>
      <w:t></w:t>
    </w:r>
    <w:r w:rsidRPr="00002D8C">
      <w:rPr>
        <w:rFonts w:ascii="C39T30Lfz" w:hAnsi="C39T30Lfz"/>
        <w:sz w:val="56"/>
      </w:rPr>
      <w:t></w:t>
    </w:r>
    <w:r w:rsidRPr="00002D8C">
      <w:rPr>
        <w:rFonts w:ascii="C39T30Lfz" w:hAnsi="C39T30Lfz"/>
        <w:sz w:val="56"/>
      </w:rPr>
      <w:t></w:t>
    </w:r>
    <w:r w:rsidRPr="00002D8C">
      <w:rPr>
        <w:rFonts w:ascii="C39T30Lfz" w:hAnsi="C39T30Lfz"/>
        <w:sz w:val="56"/>
      </w:rPr>
      <w:t></w:t>
    </w:r>
    <w:r>
      <w:rPr>
        <w:noProof/>
        <w:sz w:val="20"/>
      </w:rPr>
      <w:drawing>
        <wp:anchor distT="0" distB="0" distL="114300" distR="114300" simplePos="0" relativeHeight="251658240" behindDoc="0" locked="0" layoutInCell="1" allowOverlap="1" wp14:anchorId="0E76B58A" wp14:editId="7B1F199D">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15/AC.2/2019/29&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AC.2/2019/29&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FC590C" w14:textId="77777777" w:rsidR="00A814A4" w:rsidRPr="00AC3823" w:rsidRDefault="00A814A4" w:rsidP="00AC3823">
      <w:pPr>
        <w:pStyle w:val="Footer"/>
        <w:tabs>
          <w:tab w:val="right" w:pos="2155"/>
        </w:tabs>
        <w:spacing w:after="80" w:line="240" w:lineRule="atLeast"/>
        <w:ind w:left="680"/>
        <w:rPr>
          <w:u w:val="single"/>
        </w:rPr>
      </w:pPr>
      <w:r>
        <w:rPr>
          <w:u w:val="single"/>
        </w:rPr>
        <w:tab/>
      </w:r>
    </w:p>
  </w:footnote>
  <w:footnote w:type="continuationSeparator" w:id="0">
    <w:p w14:paraId="2D128301" w14:textId="77777777" w:rsidR="00A814A4" w:rsidRPr="00AC3823" w:rsidRDefault="00A814A4" w:rsidP="00AC3823">
      <w:pPr>
        <w:pStyle w:val="Footer"/>
        <w:tabs>
          <w:tab w:val="right" w:pos="2155"/>
        </w:tabs>
        <w:spacing w:after="80" w:line="240" w:lineRule="atLeast"/>
        <w:ind w:left="680"/>
        <w:rPr>
          <w:u w:val="single"/>
        </w:rPr>
      </w:pPr>
      <w:r>
        <w:rPr>
          <w:u w:val="single"/>
        </w:rPr>
        <w:tab/>
      </w:r>
    </w:p>
  </w:footnote>
  <w:footnote w:type="continuationNotice" w:id="1">
    <w:p w14:paraId="233F2EEB" w14:textId="77777777" w:rsidR="00A814A4" w:rsidRPr="00AC3823" w:rsidRDefault="00A814A4">
      <w:pPr>
        <w:spacing w:line="240" w:lineRule="auto"/>
        <w:rPr>
          <w:sz w:val="2"/>
          <w:szCs w:val="2"/>
        </w:rPr>
      </w:pPr>
    </w:p>
  </w:footnote>
  <w:footnote w:id="2">
    <w:p w14:paraId="73269BDC" w14:textId="77777777" w:rsidR="00324490" w:rsidRPr="00324490" w:rsidRDefault="00324490">
      <w:pPr>
        <w:pStyle w:val="FootnoteText"/>
      </w:pPr>
      <w:r>
        <w:rPr>
          <w:rStyle w:val="FootnoteReference"/>
        </w:rPr>
        <w:tab/>
      </w:r>
      <w:r w:rsidRPr="00324490">
        <w:rPr>
          <w:rStyle w:val="FootnoteReference"/>
          <w:sz w:val="20"/>
          <w:vertAlign w:val="baseline"/>
        </w:rPr>
        <w:t>*</w:t>
      </w:r>
      <w:r>
        <w:rPr>
          <w:rStyle w:val="FootnoteReference"/>
          <w:sz w:val="20"/>
          <w:vertAlign w:val="baseline"/>
        </w:rPr>
        <w:tab/>
      </w:r>
      <w:r>
        <w:rPr>
          <w:lang w:val="fr-FR"/>
        </w:rPr>
        <w:t>Diffusé</w:t>
      </w:r>
      <w:r w:rsidR="0048394E">
        <w:rPr>
          <w:lang w:val="fr-FR"/>
        </w:rPr>
        <w:t>e</w:t>
      </w:r>
      <w:r>
        <w:rPr>
          <w:lang w:val="fr-FR"/>
        </w:rPr>
        <w:t xml:space="preserve"> en allemand par la Commission centrale pour la navigation du Rhin sous la cote CCNR/ZKR/ADN/WP.15/AC.2/2019/29.</w:t>
      </w:r>
    </w:p>
  </w:footnote>
  <w:footnote w:id="3">
    <w:p w14:paraId="2B3642A1" w14:textId="77777777" w:rsidR="00324490" w:rsidRPr="00324490" w:rsidRDefault="00324490">
      <w:pPr>
        <w:pStyle w:val="FootnoteText"/>
      </w:pPr>
      <w:r>
        <w:rPr>
          <w:rStyle w:val="FootnoteReference"/>
        </w:rPr>
        <w:tab/>
      </w:r>
      <w:r w:rsidRPr="00324490">
        <w:rPr>
          <w:rStyle w:val="FootnoteReference"/>
          <w:sz w:val="20"/>
          <w:vertAlign w:val="baseline"/>
        </w:rPr>
        <w:t>**</w:t>
      </w:r>
      <w:r>
        <w:rPr>
          <w:rStyle w:val="FootnoteReference"/>
          <w:sz w:val="20"/>
          <w:vertAlign w:val="baseline"/>
        </w:rPr>
        <w:tab/>
      </w:r>
      <w:r>
        <w:rPr>
          <w:lang w:val="fr-FR"/>
        </w:rPr>
        <w:t>Conformément au programme de travail du Comité des transports intérieurs pour 2018-2019 (ECE/TRANS/2018/21/Add.1, module 9.3).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92D97" w14:textId="38BF1BCD" w:rsidR="00002D8C" w:rsidRPr="00002D8C" w:rsidRDefault="00F113BF">
    <w:pPr>
      <w:pStyle w:val="Header"/>
    </w:pPr>
    <w:r>
      <w:fldChar w:fldCharType="begin"/>
    </w:r>
    <w:r>
      <w:instrText xml:space="preserve"> TITLE  \* MERGEFORMAT </w:instrText>
    </w:r>
    <w:r>
      <w:fldChar w:fldCharType="separate"/>
    </w:r>
    <w:r>
      <w:t>ECE/TRANS/WP.15/AC.2/2019/29</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D15D2" w14:textId="39130893" w:rsidR="00002D8C" w:rsidRPr="00002D8C" w:rsidRDefault="00F113BF" w:rsidP="00002D8C">
    <w:pPr>
      <w:pStyle w:val="Header"/>
      <w:jc w:val="right"/>
    </w:pPr>
    <w:r>
      <w:fldChar w:fldCharType="begin"/>
    </w:r>
    <w:r>
      <w:instrText xml:space="preserve"> TITLE  \* MERGEFORMAT </w:instrText>
    </w:r>
    <w:r>
      <w:fldChar w:fldCharType="separate"/>
    </w:r>
    <w:r>
      <w:t>ECE/TRANS/WP.15/AC.2/2019/29</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4A4"/>
    <w:rsid w:val="00002D8C"/>
    <w:rsid w:val="00017F94"/>
    <w:rsid w:val="00023842"/>
    <w:rsid w:val="000334F9"/>
    <w:rsid w:val="00037B98"/>
    <w:rsid w:val="00045FEB"/>
    <w:rsid w:val="0007796D"/>
    <w:rsid w:val="000B7790"/>
    <w:rsid w:val="00111F2F"/>
    <w:rsid w:val="0014365E"/>
    <w:rsid w:val="00143C66"/>
    <w:rsid w:val="00176178"/>
    <w:rsid w:val="001F525A"/>
    <w:rsid w:val="00223272"/>
    <w:rsid w:val="00243F3A"/>
    <w:rsid w:val="0024779E"/>
    <w:rsid w:val="00257168"/>
    <w:rsid w:val="002744B8"/>
    <w:rsid w:val="002832AC"/>
    <w:rsid w:val="0029401B"/>
    <w:rsid w:val="002D7C93"/>
    <w:rsid w:val="00305801"/>
    <w:rsid w:val="00324490"/>
    <w:rsid w:val="003916DE"/>
    <w:rsid w:val="00421996"/>
    <w:rsid w:val="00441C3B"/>
    <w:rsid w:val="00446FE5"/>
    <w:rsid w:val="00452396"/>
    <w:rsid w:val="004837D8"/>
    <w:rsid w:val="0048394E"/>
    <w:rsid w:val="004A1643"/>
    <w:rsid w:val="004E2EED"/>
    <w:rsid w:val="004E468C"/>
    <w:rsid w:val="005140B1"/>
    <w:rsid w:val="005505B7"/>
    <w:rsid w:val="00573BE5"/>
    <w:rsid w:val="00586ED3"/>
    <w:rsid w:val="00596AA9"/>
    <w:rsid w:val="006336A7"/>
    <w:rsid w:val="0071601D"/>
    <w:rsid w:val="00796D7F"/>
    <w:rsid w:val="007A62E6"/>
    <w:rsid w:val="007F20FA"/>
    <w:rsid w:val="0080684C"/>
    <w:rsid w:val="00871C75"/>
    <w:rsid w:val="008776DC"/>
    <w:rsid w:val="00923F80"/>
    <w:rsid w:val="009446C0"/>
    <w:rsid w:val="009705C8"/>
    <w:rsid w:val="0099030D"/>
    <w:rsid w:val="009A5D35"/>
    <w:rsid w:val="009C1CF4"/>
    <w:rsid w:val="009F6B74"/>
    <w:rsid w:val="00A3029F"/>
    <w:rsid w:val="00A30353"/>
    <w:rsid w:val="00A814A4"/>
    <w:rsid w:val="00AC3823"/>
    <w:rsid w:val="00AE323C"/>
    <w:rsid w:val="00AF0CB5"/>
    <w:rsid w:val="00B00181"/>
    <w:rsid w:val="00B00B0D"/>
    <w:rsid w:val="00B45F2E"/>
    <w:rsid w:val="00B765F7"/>
    <w:rsid w:val="00BA0CA9"/>
    <w:rsid w:val="00C02897"/>
    <w:rsid w:val="00C97039"/>
    <w:rsid w:val="00CB4AA3"/>
    <w:rsid w:val="00CD3210"/>
    <w:rsid w:val="00D3439C"/>
    <w:rsid w:val="00DB1831"/>
    <w:rsid w:val="00DD3BFD"/>
    <w:rsid w:val="00DF6678"/>
    <w:rsid w:val="00E0299A"/>
    <w:rsid w:val="00E85C74"/>
    <w:rsid w:val="00EA6547"/>
    <w:rsid w:val="00EF2E22"/>
    <w:rsid w:val="00F113BF"/>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913CF3"/>
  <w15:docId w15:val="{80E995E1-31EF-476A-988A-E15BE214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741</Words>
  <Characters>4227</Characters>
  <Application>Microsoft Office Word</Application>
  <DocSecurity>0</DocSecurity>
  <Lines>35</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ECE/TRANS/WP.15/AC.2/2019/29</vt:lpstr>
      <vt:lpstr>ECE/TRANS/WP.15/AC.2/2019/29</vt:lpstr>
    </vt:vector>
  </TitlesOfParts>
  <Company>DCM</Company>
  <LinksUpToDate>false</LinksUpToDate>
  <CharactersWithSpaces>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ECE/TRANS/WP.15/AC.2/2019/29</dc:title>
  <dc:subject/>
  <dc:creator>Christine CHAUTAGNAT</dc:creator>
  <cp:keywords/>
  <cp:lastModifiedBy>Marie-Claude Collet</cp:lastModifiedBy>
  <cp:revision>3</cp:revision>
  <cp:lastPrinted>2019-06-26T08:40:00Z</cp:lastPrinted>
  <dcterms:created xsi:type="dcterms:W3CDTF">2019-06-26T08:40:00Z</dcterms:created>
  <dcterms:modified xsi:type="dcterms:W3CDTF">2019-06-26T08:40:00Z</dcterms:modified>
</cp:coreProperties>
</file>