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83A1" w14:textId="415D15F6" w:rsidR="008846E1" w:rsidRPr="002D396F" w:rsidRDefault="008846E1" w:rsidP="008846E1">
      <w:pPr>
        <w:suppressAutoHyphens w:val="0"/>
        <w:spacing w:line="240" w:lineRule="auto"/>
        <w:ind w:left="5103" w:right="-286"/>
        <w:outlineLvl w:val="0"/>
        <w:rPr>
          <w:rFonts w:ascii="Arial" w:hAnsi="Arial"/>
          <w:snapToGrid w:val="0"/>
          <w:lang w:eastAsia="fr-FR" w:bidi="fr-FR"/>
        </w:rPr>
      </w:pPr>
      <w:bookmarkStart w:id="0" w:name="_GoBack"/>
      <w:bookmarkEnd w:id="0"/>
      <w:r w:rsidRPr="002D396F">
        <w:rPr>
          <w:rFonts w:ascii="Arial" w:hAnsi="Arial"/>
          <w:noProof/>
          <w:lang w:val="de-DE" w:eastAsia="de-DE"/>
        </w:rPr>
        <w:drawing>
          <wp:anchor distT="0" distB="0" distL="114300" distR="114300" simplePos="0" relativeHeight="251659264" behindDoc="0" locked="0" layoutInCell="1" allowOverlap="1" wp14:anchorId="3EF5CF39" wp14:editId="771B92D3">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2D396F">
        <w:rPr>
          <w:rFonts w:ascii="Arial" w:eastAsia="Arial" w:hAnsi="Arial" w:cs="Arial"/>
          <w:bCs/>
          <w:szCs w:val="24"/>
          <w:lang w:eastAsia="de-DE"/>
        </w:rPr>
        <w:t>CCNR-ZKR/ADN/WP.15/AC.2/35/INF.</w:t>
      </w:r>
      <w:r w:rsidR="00BC1616" w:rsidRPr="002D396F">
        <w:rPr>
          <w:rFonts w:ascii="Arial" w:eastAsia="Arial" w:hAnsi="Arial" w:cs="Arial"/>
          <w:bCs/>
          <w:szCs w:val="24"/>
          <w:lang w:eastAsia="de-DE"/>
        </w:rPr>
        <w:t>27</w:t>
      </w:r>
    </w:p>
    <w:p w14:paraId="6E189093" w14:textId="12C2549B" w:rsidR="008846E1" w:rsidRPr="002D396F" w:rsidRDefault="008846E1" w:rsidP="008846E1">
      <w:pPr>
        <w:tabs>
          <w:tab w:val="right" w:pos="3856"/>
          <w:tab w:val="left" w:pos="5670"/>
        </w:tabs>
        <w:suppressAutoHyphens w:val="0"/>
        <w:spacing w:line="240" w:lineRule="auto"/>
        <w:ind w:left="5103"/>
        <w:rPr>
          <w:rFonts w:ascii="Arial" w:eastAsia="Arial" w:hAnsi="Arial" w:cs="Arial"/>
          <w:szCs w:val="24"/>
          <w:lang w:val="de-DE" w:eastAsia="de-DE"/>
        </w:rPr>
      </w:pPr>
      <w:r w:rsidRPr="002D396F">
        <w:rPr>
          <w:rFonts w:ascii="Arial" w:eastAsia="Arial" w:hAnsi="Arial" w:cs="Arial"/>
          <w:szCs w:val="24"/>
          <w:lang w:val="de-DE" w:eastAsia="de-DE"/>
        </w:rPr>
        <w:t>30. Juli 2019</w:t>
      </w:r>
    </w:p>
    <w:p w14:paraId="3F6F567B" w14:textId="35A09748" w:rsidR="008846E1" w:rsidRPr="002D396F" w:rsidRDefault="008846E1" w:rsidP="008846E1">
      <w:pPr>
        <w:tabs>
          <w:tab w:val="right" w:pos="3856"/>
          <w:tab w:val="left" w:pos="5670"/>
        </w:tabs>
        <w:suppressAutoHyphens w:val="0"/>
        <w:spacing w:line="240" w:lineRule="auto"/>
        <w:ind w:left="5103" w:right="565"/>
        <w:rPr>
          <w:rFonts w:ascii="Arial" w:hAnsi="Arial" w:cs="Arial"/>
          <w:snapToGrid w:val="0"/>
          <w:kern w:val="1"/>
          <w:lang w:val="de-DE" w:eastAsia="de-DE"/>
        </w:rPr>
      </w:pPr>
      <w:proofErr w:type="spellStart"/>
      <w:r w:rsidRPr="002D396F">
        <w:rPr>
          <w:rFonts w:ascii="Arial" w:eastAsia="Arial" w:hAnsi="Arial" w:cs="Arial"/>
          <w:sz w:val="16"/>
          <w:szCs w:val="24"/>
          <w:lang w:val="de-DE" w:eastAsia="de-DE"/>
        </w:rPr>
        <w:t>Or</w:t>
      </w:r>
      <w:proofErr w:type="spellEnd"/>
      <w:r w:rsidRPr="002D396F">
        <w:rPr>
          <w:rFonts w:ascii="Arial" w:eastAsia="Arial" w:hAnsi="Arial" w:cs="Arial"/>
          <w:sz w:val="16"/>
          <w:szCs w:val="24"/>
          <w:lang w:val="de-DE" w:eastAsia="de-DE"/>
        </w:rPr>
        <w:t>. ENGLISCH</w:t>
      </w:r>
    </w:p>
    <w:p w14:paraId="2D5588EC" w14:textId="77777777" w:rsidR="008846E1" w:rsidRPr="002D396F" w:rsidRDefault="008846E1" w:rsidP="008846E1">
      <w:pPr>
        <w:suppressAutoHyphens w:val="0"/>
        <w:spacing w:line="240" w:lineRule="auto"/>
        <w:rPr>
          <w:rFonts w:ascii="Arial" w:hAnsi="Arial" w:cs="Arial"/>
          <w:sz w:val="16"/>
          <w:szCs w:val="24"/>
          <w:lang w:val="de-DE" w:eastAsia="de-DE"/>
        </w:rPr>
      </w:pPr>
    </w:p>
    <w:p w14:paraId="45729037" w14:textId="77777777" w:rsidR="008846E1" w:rsidRPr="002D396F" w:rsidRDefault="008846E1" w:rsidP="008846E1">
      <w:pPr>
        <w:suppressAutoHyphens w:val="0"/>
        <w:spacing w:line="240" w:lineRule="auto"/>
        <w:rPr>
          <w:rFonts w:ascii="Arial" w:hAnsi="Arial" w:cs="Arial"/>
          <w:sz w:val="16"/>
          <w:szCs w:val="24"/>
          <w:lang w:val="de-DE" w:eastAsia="de-DE"/>
        </w:rPr>
      </w:pPr>
    </w:p>
    <w:p w14:paraId="24B01047" w14:textId="045314D3" w:rsidR="008846E1" w:rsidRPr="002D396F" w:rsidRDefault="00B94342" w:rsidP="008846E1">
      <w:pPr>
        <w:tabs>
          <w:tab w:val="left" w:pos="2977"/>
        </w:tabs>
        <w:suppressAutoHyphens w:val="0"/>
        <w:spacing w:line="240" w:lineRule="auto"/>
        <w:ind w:left="3958"/>
        <w:rPr>
          <w:rFonts w:ascii="Arial" w:hAnsi="Arial"/>
          <w:snapToGrid w:val="0"/>
          <w:sz w:val="16"/>
          <w:szCs w:val="24"/>
          <w:lang w:val="de-DE" w:eastAsia="fr-FR"/>
        </w:rPr>
      </w:pPr>
      <w:r w:rsidRPr="00B94342">
        <w:rPr>
          <w:rFonts w:ascii="Arial" w:hAnsi="Arial"/>
          <w:noProof/>
          <w:snapToGrid w:val="0"/>
          <w:sz w:val="16"/>
          <w:szCs w:val="24"/>
          <w:lang w:val="de-DE" w:eastAsia="fr-FR"/>
        </w:rPr>
        <w:t>GEMEINSAME EXPERTENTAGUNG FÜR DIE DEM ÜBEREINKOMMEN ÜBER DIE INTERNATIONALE BEFÖRDERUNG VON GEFÄHRLICHEN GÜTERN AUF BINNENWASSERSTRAẞEN (ADN) BEIGEFÜGTE VERORDNUNG (SICHERHEITSAUSSCHUSS)</w:t>
      </w:r>
    </w:p>
    <w:p w14:paraId="116D2DF1" w14:textId="77777777" w:rsidR="008846E1" w:rsidRPr="002D396F" w:rsidRDefault="008846E1" w:rsidP="008846E1">
      <w:pPr>
        <w:tabs>
          <w:tab w:val="left" w:pos="2977"/>
        </w:tabs>
        <w:suppressAutoHyphens w:val="0"/>
        <w:spacing w:line="240" w:lineRule="auto"/>
        <w:ind w:left="3960"/>
        <w:rPr>
          <w:rFonts w:ascii="Arial" w:hAnsi="Arial"/>
          <w:noProof/>
          <w:snapToGrid w:val="0"/>
          <w:sz w:val="16"/>
          <w:szCs w:val="24"/>
          <w:lang w:val="de-DE" w:eastAsia="fr-FR"/>
        </w:rPr>
      </w:pPr>
      <w:r w:rsidRPr="002D396F">
        <w:rPr>
          <w:rFonts w:ascii="Arial" w:hAnsi="Arial"/>
          <w:snapToGrid w:val="0"/>
          <w:sz w:val="16"/>
          <w:szCs w:val="24"/>
          <w:lang w:val="de-DE" w:eastAsia="fr-FR"/>
        </w:rPr>
        <w:t xml:space="preserve">(35. </w:t>
      </w:r>
      <w:r w:rsidRPr="002D396F">
        <w:rPr>
          <w:rFonts w:ascii="Arial" w:hAnsi="Arial"/>
          <w:noProof/>
          <w:snapToGrid w:val="0"/>
          <w:sz w:val="16"/>
          <w:szCs w:val="24"/>
          <w:lang w:val="de-DE" w:eastAsia="fr-FR"/>
        </w:rPr>
        <w:t>Tagung, Genf, 26. bis 30. August 2019)</w:t>
      </w:r>
    </w:p>
    <w:p w14:paraId="2488283B" w14:textId="4C9A7014" w:rsidR="008846E1" w:rsidRPr="002D396F" w:rsidRDefault="008846E1" w:rsidP="008846E1">
      <w:pPr>
        <w:tabs>
          <w:tab w:val="left" w:pos="2977"/>
        </w:tabs>
        <w:suppressAutoHyphens w:val="0"/>
        <w:spacing w:line="240" w:lineRule="auto"/>
        <w:ind w:left="3960"/>
        <w:rPr>
          <w:rFonts w:ascii="Arial" w:hAnsi="Arial" w:cs="Arial"/>
          <w:sz w:val="16"/>
          <w:szCs w:val="16"/>
          <w:lang w:val="de-DE"/>
        </w:rPr>
      </w:pPr>
      <w:r w:rsidRPr="002D396F">
        <w:rPr>
          <w:rFonts w:ascii="Arial" w:hAnsi="Arial" w:cs="Arial"/>
          <w:sz w:val="16"/>
          <w:szCs w:val="16"/>
          <w:lang w:val="de-DE"/>
        </w:rPr>
        <w:t>Punkt 4 a) zur vorläufigen Tagesordnung</w:t>
      </w:r>
    </w:p>
    <w:p w14:paraId="167C2352" w14:textId="263FEB49" w:rsidR="008846E1" w:rsidRPr="002D396F" w:rsidRDefault="00CB1352" w:rsidP="008846E1">
      <w:pPr>
        <w:tabs>
          <w:tab w:val="left" w:pos="2977"/>
        </w:tabs>
        <w:suppressAutoHyphens w:val="0"/>
        <w:spacing w:line="240" w:lineRule="auto"/>
        <w:ind w:left="3960"/>
        <w:rPr>
          <w:rFonts w:ascii="Arial" w:hAnsi="Arial" w:cs="Arial"/>
          <w:b/>
          <w:bCs/>
          <w:sz w:val="16"/>
          <w:szCs w:val="16"/>
          <w:lang w:val="de-DE"/>
        </w:rPr>
      </w:pPr>
      <w:r w:rsidRPr="002D396F">
        <w:rPr>
          <w:rFonts w:ascii="Arial" w:hAnsi="Arial" w:cs="Arial"/>
          <w:b/>
          <w:bCs/>
          <w:sz w:val="16"/>
          <w:szCs w:val="16"/>
          <w:lang w:val="de-DE"/>
        </w:rPr>
        <w:t>Vorschläge für Änderungen der dem ADN beigefügten Verordnung: Arbeiten der Gemeinsamen RID/ADR/ADN-Tagung</w:t>
      </w:r>
    </w:p>
    <w:p w14:paraId="3363C9FF" w14:textId="77777777" w:rsidR="008846E1" w:rsidRPr="002D396F" w:rsidRDefault="008846E1" w:rsidP="008846E1">
      <w:pPr>
        <w:suppressAutoHyphens w:val="0"/>
        <w:spacing w:line="240" w:lineRule="auto"/>
        <w:rPr>
          <w:rFonts w:ascii="Arial" w:hAnsi="Arial"/>
          <w:b/>
          <w:snapToGrid w:val="0"/>
          <w:szCs w:val="24"/>
          <w:lang w:val="de-DE" w:eastAsia="fr-FR"/>
        </w:rPr>
      </w:pPr>
    </w:p>
    <w:p w14:paraId="164900E0" w14:textId="77777777" w:rsidR="008846E1" w:rsidRPr="002D396F" w:rsidRDefault="008846E1" w:rsidP="008846E1">
      <w:pPr>
        <w:suppressAutoHyphens w:val="0"/>
        <w:spacing w:line="240" w:lineRule="auto"/>
        <w:rPr>
          <w:rFonts w:ascii="Arial" w:hAnsi="Arial"/>
          <w:b/>
          <w:snapToGrid w:val="0"/>
          <w:szCs w:val="24"/>
          <w:lang w:val="de-DE" w:eastAsia="fr-FR"/>
        </w:rPr>
      </w:pPr>
    </w:p>
    <w:p w14:paraId="41D1E7DE" w14:textId="03687FA4" w:rsidR="00175700" w:rsidRPr="002D396F" w:rsidRDefault="008846E1" w:rsidP="00175700">
      <w:pPr>
        <w:pStyle w:val="HChG"/>
        <w:rPr>
          <w:rFonts w:eastAsia="MS Mincho"/>
          <w:lang w:val="de-DE" w:eastAsia="ja-JP"/>
        </w:rPr>
      </w:pPr>
      <w:r w:rsidRPr="002D396F">
        <w:rPr>
          <w:lang w:val="de-DE"/>
        </w:rPr>
        <w:tab/>
      </w:r>
      <w:r w:rsidRPr="002D396F">
        <w:rPr>
          <w:lang w:val="de-DE"/>
        </w:rPr>
        <w:tab/>
      </w:r>
      <w:r w:rsidR="00860B73" w:rsidRPr="002D396F">
        <w:rPr>
          <w:lang w:val="de-DE"/>
        </w:rPr>
        <w:t xml:space="preserve">Ergebnis der </w:t>
      </w:r>
      <w:r w:rsidR="00B34DCB" w:rsidRPr="002D396F">
        <w:rPr>
          <w:lang w:val="de-DE"/>
        </w:rPr>
        <w:t>Ad Hoc</w:t>
      </w:r>
      <w:r w:rsidR="00860B73" w:rsidRPr="002D396F">
        <w:rPr>
          <w:lang w:val="de-DE"/>
        </w:rPr>
        <w:t>-Arbeitsgruppe zur Harmonisierung</w:t>
      </w:r>
      <w:r w:rsidR="00BB2B53" w:rsidRPr="002D396F">
        <w:rPr>
          <w:lang w:val="de-DE"/>
        </w:rPr>
        <w:t xml:space="preserve"> von</w:t>
      </w:r>
      <w:r w:rsidR="00B34DCB" w:rsidRPr="002D396F">
        <w:rPr>
          <w:lang w:val="de-DE"/>
        </w:rPr>
        <w:t xml:space="preserve"> RID/ADR/ADN </w:t>
      </w:r>
      <w:r w:rsidR="00860B73" w:rsidRPr="002D396F">
        <w:rPr>
          <w:lang w:val="de-DE"/>
        </w:rPr>
        <w:t xml:space="preserve">mit den </w:t>
      </w:r>
      <w:r w:rsidR="00DF29AA">
        <w:rPr>
          <w:lang w:val="de-DE"/>
        </w:rPr>
        <w:t>UN-</w:t>
      </w:r>
      <w:r w:rsidR="00860B73" w:rsidRPr="002D396F">
        <w:rPr>
          <w:lang w:val="de-DE"/>
        </w:rPr>
        <w:t xml:space="preserve">Empfehlungen </w:t>
      </w:r>
      <w:r w:rsidR="00CF195A" w:rsidRPr="002D396F">
        <w:rPr>
          <w:lang w:val="de-DE"/>
        </w:rPr>
        <w:t>zur</w:t>
      </w:r>
      <w:r w:rsidR="00860B73" w:rsidRPr="002D396F">
        <w:rPr>
          <w:lang w:val="de-DE"/>
        </w:rPr>
        <w:t xml:space="preserve"> Beförderung von gefährlichen Gütern</w:t>
      </w:r>
    </w:p>
    <w:p w14:paraId="2CB905F8" w14:textId="75F279D0" w:rsidR="00175700" w:rsidRPr="002D396F" w:rsidRDefault="00175700" w:rsidP="00175700">
      <w:pPr>
        <w:pStyle w:val="H1G"/>
        <w:rPr>
          <w:lang w:val="de-DE" w:eastAsia="ja-JP"/>
        </w:rPr>
      </w:pPr>
      <w:r w:rsidRPr="002D396F">
        <w:rPr>
          <w:lang w:val="de-DE" w:eastAsia="ja-JP"/>
        </w:rPr>
        <w:tab/>
      </w:r>
      <w:r w:rsidRPr="002D396F">
        <w:rPr>
          <w:lang w:val="de-DE" w:eastAsia="ja-JP"/>
        </w:rPr>
        <w:tab/>
      </w:r>
      <w:r w:rsidR="008846E1" w:rsidRPr="002D396F">
        <w:rPr>
          <w:lang w:val="de-DE" w:eastAsia="ja-JP"/>
        </w:rPr>
        <w:t>Anmerkung des UNECE Sekretariats</w:t>
      </w:r>
    </w:p>
    <w:p w14:paraId="5126B829" w14:textId="54F6A9C8" w:rsidR="006F2E46" w:rsidRPr="002D396F" w:rsidRDefault="005D6C71" w:rsidP="00B535D2">
      <w:pPr>
        <w:pStyle w:val="SingleTxtG"/>
        <w:tabs>
          <w:tab w:val="left" w:pos="1701"/>
        </w:tabs>
        <w:rPr>
          <w:lang w:val="de-DE"/>
        </w:rPr>
      </w:pPr>
      <w:r w:rsidRPr="002D396F">
        <w:rPr>
          <w:lang w:val="de-DE"/>
        </w:rPr>
        <w:t>1.</w:t>
      </w:r>
      <w:r w:rsidRPr="002D396F">
        <w:rPr>
          <w:lang w:val="de-DE"/>
        </w:rPr>
        <w:tab/>
      </w:r>
      <w:r w:rsidR="007B6A64" w:rsidRPr="002D396F">
        <w:rPr>
          <w:lang w:val="de-DE"/>
        </w:rPr>
        <w:t>D</w:t>
      </w:r>
      <w:r w:rsidR="00BB2B53" w:rsidRPr="002D396F">
        <w:rPr>
          <w:lang w:val="de-DE"/>
        </w:rPr>
        <w:t xml:space="preserve">er Sicherheitsausschuss </w:t>
      </w:r>
      <w:r w:rsidR="00654EB5" w:rsidRPr="002D396F">
        <w:rPr>
          <w:lang w:val="de-DE"/>
        </w:rPr>
        <w:t xml:space="preserve">wird gebeten zur Kenntnis zu nehmen, </w:t>
      </w:r>
      <w:r w:rsidR="00BB2B53" w:rsidRPr="002D396F">
        <w:rPr>
          <w:lang w:val="de-DE"/>
        </w:rPr>
        <w:t xml:space="preserve">dass die Gemeinsame </w:t>
      </w:r>
      <w:r w:rsidR="006F2E46" w:rsidRPr="002D396F">
        <w:rPr>
          <w:lang w:val="de-DE"/>
        </w:rPr>
        <w:t>RID/ADR/</w:t>
      </w:r>
      <w:r w:rsidR="00BB2B53" w:rsidRPr="002D396F">
        <w:rPr>
          <w:lang w:val="de-DE"/>
        </w:rPr>
        <w:t>AD</w:t>
      </w:r>
      <w:r w:rsidR="003A38A2">
        <w:rPr>
          <w:lang w:val="de-DE"/>
        </w:rPr>
        <w:t>N</w:t>
      </w:r>
      <w:r w:rsidR="00BB2B53" w:rsidRPr="002D396F">
        <w:rPr>
          <w:lang w:val="de-DE"/>
        </w:rPr>
        <w:t>-Tagung</w:t>
      </w:r>
      <w:r w:rsidR="006F2E46" w:rsidRPr="002D396F">
        <w:rPr>
          <w:lang w:val="de-DE"/>
        </w:rPr>
        <w:t xml:space="preserve"> </w:t>
      </w:r>
      <w:r w:rsidR="007B6A64" w:rsidRPr="002D396F">
        <w:rPr>
          <w:lang w:val="de-DE"/>
        </w:rPr>
        <w:t xml:space="preserve">in ihrer nächsten Herbstsitzung 2019 </w:t>
      </w:r>
      <w:r w:rsidR="00BB2B53" w:rsidRPr="002D396F">
        <w:rPr>
          <w:lang w:val="de-DE"/>
        </w:rPr>
        <w:t xml:space="preserve">über </w:t>
      </w:r>
      <w:r w:rsidR="007B6A64" w:rsidRPr="002D396F">
        <w:rPr>
          <w:lang w:val="de-DE"/>
        </w:rPr>
        <w:t>Vorschläge zur Harmonisierung</w:t>
      </w:r>
      <w:r w:rsidR="00BB2B53" w:rsidRPr="002D396F">
        <w:rPr>
          <w:lang w:val="de-DE"/>
        </w:rPr>
        <w:t xml:space="preserve"> mit der 21. überarbeiteten Version der </w:t>
      </w:r>
      <w:r w:rsidR="00D40C64">
        <w:rPr>
          <w:lang w:val="de-DE"/>
        </w:rPr>
        <w:t>UN-</w:t>
      </w:r>
      <w:r w:rsidR="00BB2B53" w:rsidRPr="002D396F">
        <w:rPr>
          <w:lang w:val="de-DE"/>
        </w:rPr>
        <w:t xml:space="preserve">Empfehlungen </w:t>
      </w:r>
      <w:r w:rsidR="007B6A64" w:rsidRPr="002D396F">
        <w:rPr>
          <w:lang w:val="de-DE"/>
        </w:rPr>
        <w:t>zur</w:t>
      </w:r>
      <w:r w:rsidR="00BB2B53" w:rsidRPr="002D396F">
        <w:rPr>
          <w:lang w:val="de-DE"/>
        </w:rPr>
        <w:t xml:space="preserve"> Beförderung von gefährlichen Gütern </w:t>
      </w:r>
      <w:r w:rsidR="007B6A64" w:rsidRPr="002D396F">
        <w:rPr>
          <w:lang w:val="de-DE"/>
        </w:rPr>
        <w:t>(</w:t>
      </w:r>
      <w:r w:rsidR="00BB2B53" w:rsidRPr="002D396F">
        <w:rPr>
          <w:lang w:val="de-DE"/>
        </w:rPr>
        <w:t>in ECE/TRANS/WP.15/AC.1/2019/22 u</w:t>
      </w:r>
      <w:r w:rsidR="006F2E46" w:rsidRPr="002D396F">
        <w:rPr>
          <w:lang w:val="de-DE"/>
        </w:rPr>
        <w:t>nd Add.1</w:t>
      </w:r>
      <w:r w:rsidR="007B6A64" w:rsidRPr="002D396F">
        <w:rPr>
          <w:lang w:val="de-DE"/>
        </w:rPr>
        <w:t>) beraten wird</w:t>
      </w:r>
      <w:r w:rsidR="006F2E46" w:rsidRPr="002D396F">
        <w:rPr>
          <w:lang w:val="de-DE"/>
        </w:rPr>
        <w:t>.</w:t>
      </w:r>
    </w:p>
    <w:p w14:paraId="5573D828" w14:textId="3B57E7FE" w:rsidR="009D18AA" w:rsidRPr="002D396F" w:rsidRDefault="00E15982" w:rsidP="00B535D2">
      <w:pPr>
        <w:pStyle w:val="SingleTxtG"/>
        <w:tabs>
          <w:tab w:val="left" w:pos="1701"/>
        </w:tabs>
        <w:rPr>
          <w:lang w:val="de-DE"/>
        </w:rPr>
      </w:pPr>
      <w:r w:rsidRPr="002D396F">
        <w:rPr>
          <w:lang w:val="de-DE"/>
        </w:rPr>
        <w:t>2.</w:t>
      </w:r>
      <w:r w:rsidRPr="002D396F">
        <w:rPr>
          <w:lang w:val="de-DE"/>
        </w:rPr>
        <w:tab/>
      </w:r>
      <w:r w:rsidR="00BC160C" w:rsidRPr="002D396F">
        <w:rPr>
          <w:lang w:val="de-DE"/>
        </w:rPr>
        <w:t xml:space="preserve">Das Sekretariat gibt hier die </w:t>
      </w:r>
      <w:r w:rsidR="00F054DC" w:rsidRPr="002D396F">
        <w:rPr>
          <w:lang w:val="de-DE"/>
        </w:rPr>
        <w:t xml:space="preserve">für ADN relevanten </w:t>
      </w:r>
      <w:r w:rsidR="00BC160C" w:rsidRPr="002D396F">
        <w:rPr>
          <w:lang w:val="de-DE"/>
        </w:rPr>
        <w:t xml:space="preserve">Änderungen wieder, die der Gemeinsamen Tagung </w:t>
      </w:r>
      <w:r w:rsidR="007B6A64" w:rsidRPr="002D396F">
        <w:rPr>
          <w:lang w:val="de-DE"/>
        </w:rPr>
        <w:t xml:space="preserve">zur Beratung </w:t>
      </w:r>
      <w:r w:rsidR="00BC160C" w:rsidRPr="002D396F">
        <w:rPr>
          <w:lang w:val="de-DE"/>
        </w:rPr>
        <w:t>vorgelegt w</w:t>
      </w:r>
      <w:r w:rsidR="007B6A64" w:rsidRPr="002D396F">
        <w:rPr>
          <w:lang w:val="de-DE"/>
        </w:rPr>
        <w:t>u</w:t>
      </w:r>
      <w:r w:rsidR="00BC160C" w:rsidRPr="002D396F">
        <w:rPr>
          <w:lang w:val="de-DE"/>
        </w:rPr>
        <w:t>rden, mit Kommentaren zu den Abschnitten, bei denen Aktionen oder Entsc</w:t>
      </w:r>
      <w:r w:rsidR="00C433BF" w:rsidRPr="002D396F">
        <w:rPr>
          <w:lang w:val="de-DE"/>
        </w:rPr>
        <w:t>heidungen des ADN-</w:t>
      </w:r>
      <w:r w:rsidR="00BC160C" w:rsidRPr="002D396F">
        <w:rPr>
          <w:lang w:val="de-DE"/>
        </w:rPr>
        <w:t>Sicherheitsausschusses erwartet werden</w:t>
      </w:r>
      <w:r w:rsidRPr="002D396F">
        <w:rPr>
          <w:lang w:val="de-DE"/>
        </w:rPr>
        <w:t>.</w:t>
      </w:r>
    </w:p>
    <w:p w14:paraId="58385983" w14:textId="6E62ABDA" w:rsidR="003A1330" w:rsidRPr="002D396F" w:rsidRDefault="00F054DC" w:rsidP="00B535D2">
      <w:pPr>
        <w:pStyle w:val="SingleTxtG"/>
        <w:tabs>
          <w:tab w:val="left" w:pos="1701"/>
        </w:tabs>
        <w:rPr>
          <w:lang w:val="de-DE"/>
        </w:rPr>
      </w:pPr>
      <w:r w:rsidRPr="002D396F">
        <w:rPr>
          <w:lang w:val="de-DE"/>
        </w:rPr>
        <w:t>3.</w:t>
      </w:r>
      <w:r w:rsidRPr="002D396F">
        <w:rPr>
          <w:lang w:val="de-DE"/>
        </w:rPr>
        <w:tab/>
        <w:t>Der AD</w:t>
      </w:r>
      <w:r w:rsidR="00E225F0" w:rsidRPr="002D396F">
        <w:rPr>
          <w:lang w:val="de-DE"/>
        </w:rPr>
        <w:t>N</w:t>
      </w:r>
      <w:r w:rsidRPr="002D396F">
        <w:rPr>
          <w:lang w:val="de-DE"/>
        </w:rPr>
        <w:t>-</w:t>
      </w:r>
      <w:r w:rsidR="00BC160C" w:rsidRPr="002D396F">
        <w:rPr>
          <w:lang w:val="de-DE"/>
        </w:rPr>
        <w:t xml:space="preserve">Sicherheitsausschuss wird gebeten, </w:t>
      </w:r>
      <w:r w:rsidR="00E225F0" w:rsidRPr="002D396F">
        <w:rPr>
          <w:lang w:val="de-DE"/>
        </w:rPr>
        <w:t xml:space="preserve">bei Bedarf eventuelle relevante Themen für die Herbstsitzung 2019 oder die Frühjahrssitzung </w:t>
      </w:r>
      <w:r w:rsidR="003A2BB3" w:rsidRPr="002D396F">
        <w:rPr>
          <w:lang w:val="de-DE"/>
        </w:rPr>
        <w:t xml:space="preserve">2020 </w:t>
      </w:r>
      <w:r w:rsidR="00E225F0" w:rsidRPr="002D396F">
        <w:rPr>
          <w:lang w:val="de-DE"/>
        </w:rPr>
        <w:t>der Gemeinsamen Tagung mitzuteilen</w:t>
      </w:r>
      <w:r w:rsidR="003A2BB3" w:rsidRPr="002D396F">
        <w:rPr>
          <w:lang w:val="de-DE"/>
        </w:rPr>
        <w:t>.</w:t>
      </w:r>
    </w:p>
    <w:p w14:paraId="04CECE69" w14:textId="5281ABAA" w:rsidR="003A1330" w:rsidRPr="002D396F" w:rsidRDefault="003A1330" w:rsidP="003A1330">
      <w:pPr>
        <w:pStyle w:val="H1G"/>
        <w:rPr>
          <w:lang w:val="de-DE"/>
        </w:rPr>
      </w:pPr>
      <w:r w:rsidRPr="002D396F">
        <w:rPr>
          <w:lang w:val="de-DE"/>
        </w:rPr>
        <w:tab/>
      </w:r>
      <w:r w:rsidRPr="002D396F">
        <w:rPr>
          <w:lang w:val="de-DE"/>
        </w:rPr>
        <w:tab/>
      </w:r>
      <w:r w:rsidR="00FA1073" w:rsidRPr="002D396F">
        <w:rPr>
          <w:lang w:val="de-DE"/>
        </w:rPr>
        <w:t>Kapitel</w:t>
      </w:r>
      <w:r w:rsidRPr="002D396F">
        <w:rPr>
          <w:lang w:val="de-DE"/>
        </w:rPr>
        <w:t xml:space="preserve"> 1.1</w:t>
      </w:r>
    </w:p>
    <w:p w14:paraId="44054E6C" w14:textId="77777777" w:rsidR="00FA1073" w:rsidRPr="002D396F" w:rsidRDefault="00FA1073" w:rsidP="00FA1073">
      <w:pPr>
        <w:pStyle w:val="SingleTxtG"/>
        <w:tabs>
          <w:tab w:val="left" w:pos="2268"/>
        </w:tabs>
        <w:ind w:left="2259" w:hanging="1125"/>
        <w:rPr>
          <w:lang w:val="de-DE"/>
        </w:rPr>
      </w:pPr>
      <w:r w:rsidRPr="002D396F">
        <w:rPr>
          <w:lang w:val="de-DE"/>
        </w:rPr>
        <w:t>1.1.3.7</w:t>
      </w:r>
      <w:r w:rsidRPr="002D396F">
        <w:rPr>
          <w:lang w:val="de-DE"/>
        </w:rPr>
        <w:tab/>
        <w:t>In Absatz b) am Ende vor dem Strichpunkt einfügen:</w:t>
      </w:r>
    </w:p>
    <w:p w14:paraId="0CD14121" w14:textId="4B797C28" w:rsidR="003A1330" w:rsidRPr="002D396F" w:rsidRDefault="00FA1073" w:rsidP="00FA1073">
      <w:pPr>
        <w:pStyle w:val="SingleTxtG"/>
        <w:tabs>
          <w:tab w:val="left" w:pos="2268"/>
        </w:tabs>
        <w:ind w:left="2259" w:firstLine="9"/>
        <w:rPr>
          <w:lang w:val="de-DE"/>
        </w:rPr>
      </w:pPr>
      <w:r w:rsidRPr="002D396F">
        <w:rPr>
          <w:lang w:val="de-DE"/>
        </w:rPr>
        <w:t>„,</w:t>
      </w:r>
      <w:r w:rsidR="00547CF8" w:rsidRPr="002D396F">
        <w:rPr>
          <w:lang w:val="de-DE"/>
        </w:rPr>
        <w:t xml:space="preserve"> </w:t>
      </w:r>
      <w:r w:rsidRPr="002D396F">
        <w:rPr>
          <w:lang w:val="de-DE"/>
        </w:rPr>
        <w:t>ausgenommen Geräte, wie Datensammler und Ladungsortungseinrichtungen, die an Versandstücken, Umverpackungen, Containern oder Ladeabteilen angebracht oder in diese eingesetzt sind, die nur den Vorschriften des Abschnitts 5.5.4 unterliegen.“</w:t>
      </w:r>
    </w:p>
    <w:p w14:paraId="52BC3E31" w14:textId="50D067A5" w:rsidR="000E1ADA" w:rsidRPr="002D396F" w:rsidRDefault="002B5179" w:rsidP="000E1ADA">
      <w:pPr>
        <w:pStyle w:val="SingleTxtG"/>
        <w:tabs>
          <w:tab w:val="left" w:pos="2835"/>
        </w:tabs>
        <w:ind w:left="567" w:right="946"/>
        <w:rPr>
          <w:i/>
          <w:iCs/>
          <w:color w:val="548DD4" w:themeColor="text2" w:themeTint="99"/>
          <w:lang w:val="de-DE"/>
        </w:rPr>
      </w:pPr>
      <w:r w:rsidRPr="002D396F">
        <w:rPr>
          <w:b/>
          <w:bCs/>
          <w:i/>
          <w:iCs/>
          <w:color w:val="548DD4" w:themeColor="text2" w:themeTint="99"/>
          <w:lang w:val="de-DE"/>
        </w:rPr>
        <w:t>Mitteilung des Sekretariats</w:t>
      </w:r>
      <w:r w:rsidR="000E1ADA" w:rsidRPr="002D396F">
        <w:rPr>
          <w:b/>
          <w:bCs/>
          <w:i/>
          <w:iCs/>
          <w:color w:val="548DD4" w:themeColor="text2" w:themeTint="99"/>
          <w:lang w:val="de-DE"/>
        </w:rPr>
        <w:t>:</w:t>
      </w:r>
      <w:r w:rsidR="000E1ADA" w:rsidRPr="002D396F">
        <w:rPr>
          <w:i/>
          <w:iCs/>
          <w:color w:val="548DD4" w:themeColor="text2" w:themeTint="99"/>
          <w:lang w:val="de-DE"/>
        </w:rPr>
        <w:t xml:space="preserve"> </w:t>
      </w:r>
      <w:r w:rsidRPr="002D396F">
        <w:rPr>
          <w:i/>
          <w:iCs/>
          <w:color w:val="548DD4" w:themeColor="text2" w:themeTint="99"/>
          <w:lang w:val="de-DE"/>
        </w:rPr>
        <w:t xml:space="preserve">Der Vertreter der </w:t>
      </w:r>
      <w:r w:rsidR="00E75A05" w:rsidRPr="002D396F">
        <w:rPr>
          <w:i/>
          <w:iCs/>
          <w:color w:val="548DD4" w:themeColor="text2" w:themeTint="99"/>
          <w:lang w:val="de-DE"/>
        </w:rPr>
        <w:t>IMO inform</w:t>
      </w:r>
      <w:r w:rsidRPr="002D396F">
        <w:rPr>
          <w:i/>
          <w:iCs/>
          <w:color w:val="548DD4" w:themeColor="text2" w:themeTint="99"/>
          <w:lang w:val="de-DE"/>
        </w:rPr>
        <w:t xml:space="preserve">ierte den </w:t>
      </w:r>
      <w:r w:rsidR="00E75A05" w:rsidRPr="002D396F">
        <w:rPr>
          <w:i/>
          <w:iCs/>
          <w:color w:val="548DD4" w:themeColor="text2" w:themeTint="99"/>
          <w:lang w:val="de-DE"/>
        </w:rPr>
        <w:t>TDG</w:t>
      </w:r>
      <w:r w:rsidRPr="002D396F">
        <w:rPr>
          <w:i/>
          <w:iCs/>
          <w:color w:val="548DD4" w:themeColor="text2" w:themeTint="99"/>
          <w:lang w:val="de-DE"/>
        </w:rPr>
        <w:t xml:space="preserve">-Unterausschuss über eine Abweichung bei der Implementierung der Änderung </w:t>
      </w:r>
      <w:r w:rsidR="0081432B" w:rsidRPr="002D396F">
        <w:rPr>
          <w:i/>
          <w:iCs/>
          <w:color w:val="548DD4" w:themeColor="text2" w:themeTint="99"/>
          <w:lang w:val="de-DE"/>
        </w:rPr>
        <w:t>vo</w:t>
      </w:r>
      <w:r w:rsidRPr="002D396F">
        <w:rPr>
          <w:i/>
          <w:iCs/>
          <w:color w:val="548DD4" w:themeColor="text2" w:themeTint="99"/>
          <w:lang w:val="de-DE"/>
        </w:rPr>
        <w:t xml:space="preserve">n </w:t>
      </w:r>
      <w:r w:rsidR="009D62D4" w:rsidRPr="002D396F">
        <w:rPr>
          <w:i/>
          <w:iCs/>
          <w:color w:val="548DD4" w:themeColor="text2" w:themeTint="99"/>
          <w:lang w:val="de-DE"/>
        </w:rPr>
        <w:t xml:space="preserve">5.5.4 </w:t>
      </w:r>
      <w:r w:rsidRPr="002D396F">
        <w:rPr>
          <w:i/>
          <w:iCs/>
          <w:color w:val="548DD4" w:themeColor="text2" w:themeTint="99"/>
          <w:lang w:val="de-DE"/>
        </w:rPr>
        <w:t xml:space="preserve">im </w:t>
      </w:r>
      <w:r w:rsidR="00E75A05" w:rsidRPr="002D396F">
        <w:rPr>
          <w:i/>
          <w:iCs/>
          <w:color w:val="548DD4" w:themeColor="text2" w:themeTint="99"/>
          <w:lang w:val="de-DE"/>
        </w:rPr>
        <w:t>IMDG</w:t>
      </w:r>
      <w:r w:rsidRPr="002D396F">
        <w:rPr>
          <w:i/>
          <w:iCs/>
          <w:color w:val="548DD4" w:themeColor="text2" w:themeTint="99"/>
          <w:lang w:val="de-DE"/>
        </w:rPr>
        <w:t>-</w:t>
      </w:r>
      <w:r w:rsidR="00E75A05" w:rsidRPr="002D396F">
        <w:rPr>
          <w:i/>
          <w:iCs/>
          <w:color w:val="548DD4" w:themeColor="text2" w:themeTint="99"/>
          <w:lang w:val="de-DE"/>
        </w:rPr>
        <w:t>Code (s</w:t>
      </w:r>
      <w:r w:rsidRPr="002D396F">
        <w:rPr>
          <w:i/>
          <w:iCs/>
          <w:color w:val="548DD4" w:themeColor="text2" w:themeTint="99"/>
          <w:lang w:val="de-DE"/>
        </w:rPr>
        <w:t>iehe</w:t>
      </w:r>
      <w:r w:rsidR="00E75A05" w:rsidRPr="002D396F">
        <w:rPr>
          <w:i/>
          <w:iCs/>
          <w:color w:val="548DD4" w:themeColor="text2" w:themeTint="99"/>
          <w:lang w:val="de-DE"/>
        </w:rPr>
        <w:t xml:space="preserve"> </w:t>
      </w:r>
      <w:r w:rsidR="00511916" w:rsidRPr="002D396F">
        <w:rPr>
          <w:i/>
          <w:iCs/>
          <w:color w:val="548DD4" w:themeColor="text2" w:themeTint="99"/>
          <w:lang w:val="de-DE"/>
        </w:rPr>
        <w:t>die Absätze</w:t>
      </w:r>
      <w:r w:rsidR="00E75A05" w:rsidRPr="002D396F">
        <w:rPr>
          <w:i/>
          <w:iCs/>
          <w:color w:val="548DD4" w:themeColor="text2" w:themeTint="99"/>
          <w:lang w:val="de-DE"/>
        </w:rPr>
        <w:t xml:space="preserve"> 3.11-3.13 </w:t>
      </w:r>
      <w:r w:rsidR="00511916" w:rsidRPr="002D396F">
        <w:rPr>
          <w:i/>
          <w:iCs/>
          <w:color w:val="548DD4" w:themeColor="text2" w:themeTint="99"/>
          <w:lang w:val="de-DE"/>
        </w:rPr>
        <w:t>des</w:t>
      </w:r>
      <w:r w:rsidR="00E75A05" w:rsidRPr="002D396F">
        <w:rPr>
          <w:i/>
          <w:iCs/>
          <w:color w:val="548DD4" w:themeColor="text2" w:themeTint="99"/>
          <w:lang w:val="de-DE"/>
        </w:rPr>
        <w:t xml:space="preserve"> inform</w:t>
      </w:r>
      <w:r w:rsidR="00511916" w:rsidRPr="002D396F">
        <w:rPr>
          <w:i/>
          <w:iCs/>
          <w:color w:val="548DD4" w:themeColor="text2" w:themeTint="99"/>
          <w:lang w:val="de-DE"/>
        </w:rPr>
        <w:t xml:space="preserve">ellen Dokuments </w:t>
      </w:r>
      <w:r w:rsidR="00E75A05" w:rsidRPr="002D396F">
        <w:rPr>
          <w:i/>
          <w:iCs/>
          <w:color w:val="548DD4" w:themeColor="text2" w:themeTint="99"/>
          <w:lang w:val="de-DE"/>
        </w:rPr>
        <w:t xml:space="preserve">INF.49 </w:t>
      </w:r>
      <w:r w:rsidR="00511916" w:rsidRPr="002D396F">
        <w:rPr>
          <w:i/>
          <w:iCs/>
          <w:color w:val="548DD4" w:themeColor="text2" w:themeTint="99"/>
          <w:lang w:val="de-DE"/>
        </w:rPr>
        <w:t xml:space="preserve">der 55. Sitzung des </w:t>
      </w:r>
      <w:r w:rsidR="00E75A05" w:rsidRPr="002D396F">
        <w:rPr>
          <w:i/>
          <w:iCs/>
          <w:color w:val="548DD4" w:themeColor="text2" w:themeTint="99"/>
          <w:lang w:val="de-DE"/>
        </w:rPr>
        <w:t>TDG</w:t>
      </w:r>
      <w:r w:rsidR="00511916" w:rsidRPr="002D396F">
        <w:rPr>
          <w:i/>
          <w:iCs/>
          <w:color w:val="548DD4" w:themeColor="text2" w:themeTint="99"/>
          <w:lang w:val="de-DE"/>
        </w:rPr>
        <w:t>-Unterausschusses</w:t>
      </w:r>
      <w:r w:rsidR="00E75A05" w:rsidRPr="002D396F">
        <w:rPr>
          <w:i/>
          <w:iCs/>
          <w:color w:val="548DD4" w:themeColor="text2" w:themeTint="99"/>
          <w:lang w:val="de-DE"/>
        </w:rPr>
        <w:t xml:space="preserve">, </w:t>
      </w:r>
      <w:hyperlink r:id="rId9" w:history="1">
        <w:r w:rsidR="00E75A05" w:rsidRPr="002D396F">
          <w:rPr>
            <w:rStyle w:val="Hyperlink"/>
            <w:i/>
            <w:iCs/>
            <w:lang w:val="de-DE"/>
          </w:rPr>
          <w:t>http://www.unece.org/fileadmin/DAM/trans/doc/2019/dgac10c3/UN-SCETDG-55-INF49e.pdf</w:t>
        </w:r>
      </w:hyperlink>
      <w:r w:rsidR="00E75A05" w:rsidRPr="002D396F">
        <w:rPr>
          <w:i/>
          <w:iCs/>
          <w:color w:val="548DD4" w:themeColor="text2" w:themeTint="99"/>
          <w:lang w:val="de-DE"/>
        </w:rPr>
        <w:t>).</w:t>
      </w:r>
    </w:p>
    <w:p w14:paraId="1AAAC847" w14:textId="7560E0DD" w:rsidR="00E75A05" w:rsidRPr="002D396F" w:rsidRDefault="00511916" w:rsidP="000E1ADA">
      <w:pPr>
        <w:pStyle w:val="SingleTxtG"/>
        <w:tabs>
          <w:tab w:val="left" w:pos="2835"/>
        </w:tabs>
        <w:ind w:left="567" w:right="946"/>
        <w:rPr>
          <w:color w:val="548DD4" w:themeColor="text2" w:themeTint="99"/>
          <w:lang w:val="de-DE"/>
        </w:rPr>
      </w:pPr>
      <w:r w:rsidRPr="002D396F">
        <w:rPr>
          <w:i/>
          <w:iCs/>
          <w:color w:val="548DD4" w:themeColor="text2" w:themeTint="99"/>
          <w:lang w:val="de-DE"/>
        </w:rPr>
        <w:t>Der Sicherheitsausschuss wird gebeten zu überlegen, ob diese Abweichung für das ADN relevant ist</w:t>
      </w:r>
      <w:r w:rsidR="00463857" w:rsidRPr="002D396F">
        <w:rPr>
          <w:i/>
          <w:iCs/>
          <w:color w:val="548DD4" w:themeColor="text2" w:themeTint="99"/>
          <w:lang w:val="de-DE"/>
        </w:rPr>
        <w:t>,</w:t>
      </w:r>
      <w:r w:rsidRPr="002D396F">
        <w:rPr>
          <w:i/>
          <w:iCs/>
          <w:color w:val="548DD4" w:themeColor="text2" w:themeTint="99"/>
          <w:lang w:val="de-DE"/>
        </w:rPr>
        <w:t xml:space="preserve"> und das Thema </w:t>
      </w:r>
      <w:r w:rsidR="00463857" w:rsidRPr="002D396F">
        <w:rPr>
          <w:i/>
          <w:iCs/>
          <w:color w:val="548DD4" w:themeColor="text2" w:themeTint="99"/>
          <w:lang w:val="de-DE"/>
        </w:rPr>
        <w:t xml:space="preserve">erforderlichenfalls </w:t>
      </w:r>
      <w:r w:rsidR="00AC0361" w:rsidRPr="002D396F">
        <w:rPr>
          <w:i/>
          <w:iCs/>
          <w:color w:val="548DD4" w:themeColor="text2" w:themeTint="99"/>
          <w:lang w:val="de-DE"/>
        </w:rPr>
        <w:t>in die Gemeinsame Tagung einzubringen</w:t>
      </w:r>
      <w:r w:rsidRPr="002D396F">
        <w:rPr>
          <w:i/>
          <w:iCs/>
          <w:color w:val="548DD4" w:themeColor="text2" w:themeTint="99"/>
          <w:lang w:val="de-DE"/>
        </w:rPr>
        <w:t>.</w:t>
      </w:r>
    </w:p>
    <w:p w14:paraId="24D2038B" w14:textId="671670F9" w:rsidR="003A1330" w:rsidRPr="002D396F" w:rsidRDefault="003A1330" w:rsidP="00CB6AA9">
      <w:pPr>
        <w:pStyle w:val="H1G"/>
        <w:pageBreakBefore/>
        <w:spacing w:after="40"/>
        <w:rPr>
          <w:lang w:val="de-DE"/>
        </w:rPr>
      </w:pPr>
      <w:r w:rsidRPr="002D396F">
        <w:rPr>
          <w:lang w:val="de-DE"/>
        </w:rPr>
        <w:lastRenderedPageBreak/>
        <w:tab/>
      </w:r>
      <w:r w:rsidRPr="002D396F">
        <w:rPr>
          <w:lang w:val="de-DE"/>
        </w:rPr>
        <w:tab/>
      </w:r>
      <w:r w:rsidR="00FA1073" w:rsidRPr="002D396F">
        <w:rPr>
          <w:lang w:val="de-DE"/>
        </w:rPr>
        <w:t>Kapitel</w:t>
      </w:r>
      <w:r w:rsidRPr="002D396F">
        <w:rPr>
          <w:lang w:val="de-DE"/>
        </w:rPr>
        <w:t xml:space="preserve"> 1.2</w:t>
      </w:r>
    </w:p>
    <w:p w14:paraId="2635E0F1" w14:textId="30AB3B8C" w:rsidR="00347872" w:rsidRPr="002D396F" w:rsidRDefault="003A1330" w:rsidP="00347872">
      <w:pPr>
        <w:pStyle w:val="SingleTxtG"/>
        <w:tabs>
          <w:tab w:val="left" w:pos="2268"/>
        </w:tabs>
        <w:spacing w:after="40"/>
        <w:ind w:left="2257" w:hanging="1125"/>
        <w:rPr>
          <w:lang w:val="de-DE"/>
        </w:rPr>
      </w:pPr>
      <w:bookmarkStart w:id="1" w:name="_Hlk10105192"/>
      <w:r w:rsidRPr="002D396F">
        <w:rPr>
          <w:lang w:val="de-DE"/>
        </w:rPr>
        <w:t>1.2.1</w:t>
      </w:r>
      <w:r w:rsidRPr="002D396F">
        <w:rPr>
          <w:lang w:val="de-DE"/>
        </w:rPr>
        <w:tab/>
      </w:r>
      <w:r w:rsidR="00347872" w:rsidRPr="002D396F">
        <w:rPr>
          <w:lang w:val="de-DE"/>
        </w:rPr>
        <w:t>Die Begriffsbestimmung von „</w:t>
      </w:r>
      <w:r w:rsidR="00347872" w:rsidRPr="002D396F">
        <w:rPr>
          <w:b/>
          <w:i/>
          <w:lang w:val="de-DE" w:bidi="de-DE"/>
        </w:rPr>
        <w:t>Dosisleistung</w:t>
      </w:r>
      <w:r w:rsidR="00347872" w:rsidRPr="002D396F">
        <w:rPr>
          <w:i/>
          <w:iCs/>
          <w:lang w:val="de-DE"/>
        </w:rPr>
        <w:t>“</w:t>
      </w:r>
      <w:r w:rsidR="00347872" w:rsidRPr="002D396F">
        <w:rPr>
          <w:lang w:val="de-DE"/>
        </w:rPr>
        <w:t xml:space="preserve"> erhält folgenden Wortlaut:</w:t>
      </w:r>
    </w:p>
    <w:p w14:paraId="6C23736C" w14:textId="33F7A1ED" w:rsidR="003811F4" w:rsidRPr="002D396F" w:rsidRDefault="003A1330" w:rsidP="00CB6AA9">
      <w:pPr>
        <w:pStyle w:val="SingleTxtG"/>
        <w:tabs>
          <w:tab w:val="left" w:pos="2268"/>
        </w:tabs>
        <w:spacing w:after="40"/>
        <w:ind w:left="2257" w:hanging="1125"/>
        <w:rPr>
          <w:lang w:val="de-DE" w:bidi="de-DE"/>
        </w:rPr>
      </w:pPr>
      <w:r w:rsidRPr="002D396F">
        <w:rPr>
          <w:lang w:val="de-DE"/>
        </w:rPr>
        <w:tab/>
      </w:r>
      <w:r w:rsidR="003811F4" w:rsidRPr="002D396F">
        <w:rPr>
          <w:lang w:val="de-DE"/>
        </w:rPr>
        <w:t>„</w:t>
      </w:r>
      <w:bookmarkStart w:id="2" w:name="_Hlk17114657"/>
      <w:r w:rsidR="003811F4" w:rsidRPr="002D396F">
        <w:rPr>
          <w:b/>
          <w:i/>
          <w:lang w:val="de-DE" w:bidi="de-DE"/>
        </w:rPr>
        <w:t>Dosisleistung</w:t>
      </w:r>
      <w:bookmarkEnd w:id="2"/>
      <w:r w:rsidR="003811F4" w:rsidRPr="002D396F">
        <w:rPr>
          <w:lang w:val="de-DE" w:bidi="de-DE"/>
        </w:rPr>
        <w:t>: Die Umgebungsäquivalentdosis bzw. die Richtungsäquivalentdosis je Zeiteinheit, die am fraglichen Punkt gemessen wird.“</w:t>
      </w:r>
      <w:r w:rsidR="00A05041">
        <w:rPr>
          <w:lang w:val="de-DE" w:bidi="de-DE"/>
        </w:rPr>
        <w:t>.</w:t>
      </w:r>
    </w:p>
    <w:p w14:paraId="2C68A01C" w14:textId="2DB620A6" w:rsidR="00FA1073" w:rsidRPr="002D396F" w:rsidRDefault="003A1330" w:rsidP="00A05041">
      <w:pPr>
        <w:pStyle w:val="SingleTxtG"/>
        <w:tabs>
          <w:tab w:val="left" w:pos="2268"/>
        </w:tabs>
        <w:spacing w:before="120" w:after="40"/>
        <w:ind w:left="2257" w:hanging="1125"/>
        <w:rPr>
          <w:lang w:val="de-DE"/>
        </w:rPr>
      </w:pPr>
      <w:r w:rsidRPr="002D396F">
        <w:rPr>
          <w:lang w:val="de-DE"/>
        </w:rPr>
        <w:t>1.2.1</w:t>
      </w:r>
      <w:r w:rsidRPr="002D396F">
        <w:rPr>
          <w:lang w:val="de-DE"/>
        </w:rPr>
        <w:tab/>
      </w:r>
      <w:bookmarkStart w:id="3" w:name="_Hlk17114648"/>
      <w:r w:rsidR="00FA1073" w:rsidRPr="002D396F">
        <w:rPr>
          <w:lang w:val="de-DE"/>
        </w:rPr>
        <w:t>Die Begriffsbestimmung von „</w:t>
      </w:r>
      <w:r w:rsidR="00FA1073" w:rsidRPr="002D396F">
        <w:rPr>
          <w:b/>
          <w:bCs/>
          <w:i/>
          <w:iCs/>
          <w:lang w:val="de-DE"/>
        </w:rPr>
        <w:t>Temperatur der selbstbeschleunigenden Zersetzung (SADT)</w:t>
      </w:r>
      <w:r w:rsidR="00FA1073" w:rsidRPr="002D396F">
        <w:rPr>
          <w:i/>
          <w:iCs/>
          <w:lang w:val="de-DE"/>
        </w:rPr>
        <w:t>“</w:t>
      </w:r>
      <w:r w:rsidR="00FA1073" w:rsidRPr="002D396F">
        <w:rPr>
          <w:lang w:val="de-DE"/>
        </w:rPr>
        <w:t xml:space="preserve"> erhält folgenden Wortlaut:</w:t>
      </w:r>
    </w:p>
    <w:bookmarkEnd w:id="3"/>
    <w:p w14:paraId="6A0CD34B" w14:textId="04AFAAC5" w:rsidR="00FA1073" w:rsidRPr="002D396F" w:rsidRDefault="00FA1073" w:rsidP="00CB6AA9">
      <w:pPr>
        <w:pStyle w:val="SingleTxtG"/>
        <w:spacing w:after="40"/>
        <w:ind w:left="2257" w:firstLine="9"/>
        <w:rPr>
          <w:lang w:val="de-DE"/>
        </w:rPr>
      </w:pPr>
      <w:r w:rsidRPr="002D396F">
        <w:rPr>
          <w:lang w:val="de-DE"/>
        </w:rPr>
        <w:t>„</w:t>
      </w:r>
      <w:r w:rsidRPr="002D396F">
        <w:rPr>
          <w:b/>
          <w:bCs/>
          <w:i/>
          <w:iCs/>
          <w:lang w:val="de-DE"/>
        </w:rPr>
        <w:t>Temperatur der selbstbeschleunigenden Zersetzung (SADT):</w:t>
      </w:r>
      <w:r w:rsidRPr="002D396F">
        <w:rPr>
          <w:lang w:val="de-DE"/>
        </w:rPr>
        <w:t xml:space="preserve"> Die niedrigste Temperatur, bei der in einem Stoff in de</w:t>
      </w:r>
      <w:r w:rsidR="008D1EAE">
        <w:rPr>
          <w:lang w:val="de-DE"/>
        </w:rPr>
        <w:t>n</w:t>
      </w:r>
      <w:r w:rsidRPr="002D396F">
        <w:rPr>
          <w:lang w:val="de-DE"/>
        </w:rPr>
        <w:t xml:space="preserve"> zur Beförderung aufgegebenen Verpackung</w:t>
      </w:r>
      <w:r w:rsidR="008D1EAE">
        <w:rPr>
          <w:lang w:val="de-DE"/>
        </w:rPr>
        <w:t>en</w:t>
      </w:r>
      <w:r w:rsidRPr="002D396F">
        <w:rPr>
          <w:lang w:val="de-DE"/>
        </w:rPr>
        <w:t xml:space="preserve">, </w:t>
      </w:r>
      <w:r w:rsidR="008D1EAE">
        <w:rPr>
          <w:lang w:val="de-DE"/>
        </w:rPr>
        <w:t>Großpackmitteln (</w:t>
      </w:r>
      <w:r w:rsidRPr="002D396F">
        <w:rPr>
          <w:lang w:val="de-DE"/>
        </w:rPr>
        <w:t>IBC</w:t>
      </w:r>
      <w:r w:rsidR="008D1EAE">
        <w:rPr>
          <w:lang w:val="de-DE"/>
        </w:rPr>
        <w:t>)</w:t>
      </w:r>
      <w:r w:rsidRPr="002D396F">
        <w:rPr>
          <w:lang w:val="de-DE"/>
        </w:rPr>
        <w:t>, Tank</w:t>
      </w:r>
      <w:r w:rsidR="008D1EAE">
        <w:rPr>
          <w:lang w:val="de-DE"/>
        </w:rPr>
        <w:t>s</w:t>
      </w:r>
      <w:r w:rsidRPr="002D396F">
        <w:rPr>
          <w:lang w:val="de-DE"/>
        </w:rPr>
        <w:t xml:space="preserve"> oder ortsbeweglichen Tank</w:t>
      </w:r>
      <w:r w:rsidR="008D1EAE">
        <w:rPr>
          <w:lang w:val="de-DE"/>
        </w:rPr>
        <w:t>s</w:t>
      </w:r>
      <w:r w:rsidRPr="002D396F">
        <w:rPr>
          <w:lang w:val="de-DE"/>
        </w:rPr>
        <w:t xml:space="preserve"> eine selbstbeschleunigende Zersetzung auftreten kann. Die SADT </w:t>
      </w:r>
      <w:r w:rsidR="008D1EAE">
        <w:rPr>
          <w:lang w:val="de-DE"/>
        </w:rPr>
        <w:t xml:space="preserve">ist nach </w:t>
      </w:r>
      <w:r w:rsidRPr="002D396F">
        <w:rPr>
          <w:lang w:val="de-DE"/>
        </w:rPr>
        <w:t xml:space="preserve">den im Handbuch Prüfungen und Kriterien Teil II Abschnitt 28 enthaltenen Prüfverfahren </w:t>
      </w:r>
      <w:r w:rsidR="008D1EAE">
        <w:rPr>
          <w:lang w:val="de-DE"/>
        </w:rPr>
        <w:t>zu bestimmen</w:t>
      </w:r>
      <w:r w:rsidRPr="002D396F">
        <w:rPr>
          <w:lang w:val="de-DE"/>
        </w:rPr>
        <w:t>.</w:t>
      </w:r>
      <w:r w:rsidR="008A02A3" w:rsidRPr="002D396F">
        <w:rPr>
          <w:lang w:val="de-DE"/>
        </w:rPr>
        <w:t>“</w:t>
      </w:r>
      <w:r w:rsidR="00A05041">
        <w:rPr>
          <w:lang w:val="de-DE"/>
        </w:rPr>
        <w:t>.</w:t>
      </w:r>
    </w:p>
    <w:bookmarkEnd w:id="1"/>
    <w:p w14:paraId="4FE6D98D" w14:textId="69630BD5" w:rsidR="00282DD7" w:rsidRPr="002D396F" w:rsidRDefault="002B5179" w:rsidP="00A05041">
      <w:pPr>
        <w:pStyle w:val="SingleTxtG"/>
        <w:tabs>
          <w:tab w:val="left" w:pos="2835"/>
        </w:tabs>
        <w:spacing w:before="120"/>
        <w:ind w:left="567" w:right="947"/>
        <w:rPr>
          <w:color w:val="548DD4" w:themeColor="text2" w:themeTint="99"/>
          <w:lang w:val="de-DE"/>
        </w:rPr>
      </w:pPr>
      <w:r w:rsidRPr="002D396F">
        <w:rPr>
          <w:b/>
          <w:bCs/>
          <w:i/>
          <w:iCs/>
          <w:color w:val="548DD4" w:themeColor="text2" w:themeTint="99"/>
          <w:lang w:val="de-DE"/>
        </w:rPr>
        <w:t>Mitteilung des Sekretariats</w:t>
      </w:r>
      <w:r w:rsidR="00282DD7" w:rsidRPr="002D396F">
        <w:rPr>
          <w:b/>
          <w:bCs/>
          <w:i/>
          <w:iCs/>
          <w:color w:val="548DD4" w:themeColor="text2" w:themeTint="99"/>
          <w:lang w:val="de-DE"/>
        </w:rPr>
        <w:t>:</w:t>
      </w:r>
      <w:r w:rsidR="00282DD7" w:rsidRPr="002D396F">
        <w:rPr>
          <w:i/>
          <w:iCs/>
          <w:color w:val="548DD4" w:themeColor="text2" w:themeTint="99"/>
          <w:lang w:val="de-DE"/>
        </w:rPr>
        <w:t xml:space="preserve"> </w:t>
      </w:r>
      <w:r w:rsidR="0081432B" w:rsidRPr="002D396F">
        <w:rPr>
          <w:i/>
          <w:iCs/>
          <w:color w:val="548DD4" w:themeColor="text2" w:themeTint="99"/>
          <w:lang w:val="de-DE"/>
        </w:rPr>
        <w:t xml:space="preserve">Die </w:t>
      </w:r>
      <w:r w:rsidR="00282DD7" w:rsidRPr="002D396F">
        <w:rPr>
          <w:i/>
          <w:iCs/>
          <w:color w:val="548DD4" w:themeColor="text2" w:themeTint="99"/>
          <w:lang w:val="de-DE"/>
        </w:rPr>
        <w:t xml:space="preserve">Information </w:t>
      </w:r>
      <w:r w:rsidR="0081432B" w:rsidRPr="002D396F">
        <w:rPr>
          <w:i/>
          <w:iCs/>
          <w:color w:val="548DD4" w:themeColor="text2" w:themeTint="99"/>
          <w:lang w:val="de-DE"/>
        </w:rPr>
        <w:t xml:space="preserve">über die Auswirkungen beim Erwärmen unter Einschluss, die derzeit in der bestehenden </w:t>
      </w:r>
      <w:r w:rsidR="008E6C11" w:rsidRPr="002D396F">
        <w:rPr>
          <w:i/>
          <w:iCs/>
          <w:color w:val="548DD4" w:themeColor="text2" w:themeTint="99"/>
          <w:lang w:val="de-DE"/>
        </w:rPr>
        <w:t xml:space="preserve">Begriffsbestimmung </w:t>
      </w:r>
      <w:r w:rsidR="0081432B" w:rsidRPr="002D396F">
        <w:rPr>
          <w:i/>
          <w:iCs/>
          <w:color w:val="548DD4" w:themeColor="text2" w:themeTint="99"/>
          <w:lang w:val="de-DE"/>
        </w:rPr>
        <w:t>enthalten sind</w:t>
      </w:r>
      <w:r w:rsidR="00282DD7" w:rsidRPr="002D396F">
        <w:rPr>
          <w:i/>
          <w:iCs/>
          <w:color w:val="548DD4" w:themeColor="text2" w:themeTint="99"/>
          <w:lang w:val="de-DE"/>
        </w:rPr>
        <w:t xml:space="preserve"> (</w:t>
      </w:r>
      <w:r w:rsidR="0081432B" w:rsidRPr="002D396F">
        <w:rPr>
          <w:i/>
          <w:iCs/>
          <w:color w:val="548DD4" w:themeColor="text2" w:themeTint="99"/>
          <w:lang w:val="de-DE"/>
        </w:rPr>
        <w:t>zweiter Satz</w:t>
      </w:r>
      <w:r w:rsidR="00282DD7" w:rsidRPr="002D396F">
        <w:rPr>
          <w:i/>
          <w:iCs/>
          <w:color w:val="548DD4" w:themeColor="text2" w:themeTint="99"/>
          <w:lang w:val="de-DE"/>
        </w:rPr>
        <w:t xml:space="preserve">) </w:t>
      </w:r>
      <w:r w:rsidR="0081432B" w:rsidRPr="002D396F">
        <w:rPr>
          <w:i/>
          <w:iCs/>
          <w:color w:val="548DD4" w:themeColor="text2" w:themeTint="99"/>
          <w:lang w:val="de-DE"/>
        </w:rPr>
        <w:t xml:space="preserve">ist im neuen Vorschlag verloren gegangen und könnte für das ADN wichtig sein. Der vorhandene Text lautet: </w:t>
      </w:r>
      <w:r w:rsidR="0081432B" w:rsidRPr="002D396F">
        <w:rPr>
          <w:color w:val="548DD4" w:themeColor="text2" w:themeTint="99"/>
          <w:lang w:val="de-DE"/>
        </w:rPr>
        <w:t xml:space="preserve">„Die Vorschriften zur Bestimmung der SADT und der Auswirkungen beim </w:t>
      </w:r>
      <w:r w:rsidR="0081432B" w:rsidRPr="002D396F">
        <w:rPr>
          <w:b/>
          <w:color w:val="548DD4" w:themeColor="text2" w:themeTint="99"/>
          <w:lang w:val="de-DE"/>
        </w:rPr>
        <w:t>Erwärmen unter Einschluss</w:t>
      </w:r>
      <w:r w:rsidR="0081432B" w:rsidRPr="002D396F">
        <w:rPr>
          <w:color w:val="548DD4" w:themeColor="text2" w:themeTint="99"/>
          <w:lang w:val="de-DE"/>
        </w:rPr>
        <w:t xml:space="preserve"> sind im Handbuch </w:t>
      </w:r>
      <w:r w:rsidR="0081432B" w:rsidRPr="002D396F">
        <w:rPr>
          <w:i/>
          <w:color w:val="548DD4" w:themeColor="text2" w:themeTint="99"/>
          <w:lang w:val="de-DE"/>
        </w:rPr>
        <w:t>Prüfungen und Kriterien</w:t>
      </w:r>
      <w:r w:rsidR="0081432B" w:rsidRPr="002D396F">
        <w:rPr>
          <w:color w:val="548DD4" w:themeColor="text2" w:themeTint="99"/>
          <w:lang w:val="de-DE"/>
        </w:rPr>
        <w:t xml:space="preserve"> Teil II enthalten.“</w:t>
      </w:r>
    </w:p>
    <w:p w14:paraId="6634CEC9" w14:textId="3C49424F" w:rsidR="00250409" w:rsidRPr="002D396F" w:rsidRDefault="004C44CD" w:rsidP="006F03A7">
      <w:pPr>
        <w:pStyle w:val="SingleTxtG"/>
        <w:tabs>
          <w:tab w:val="left" w:pos="2835"/>
        </w:tabs>
        <w:ind w:left="567" w:right="947"/>
        <w:rPr>
          <w:i/>
          <w:iCs/>
          <w:color w:val="548DD4" w:themeColor="text2" w:themeTint="99"/>
          <w:lang w:val="de-DE"/>
        </w:rPr>
      </w:pPr>
      <w:r w:rsidRPr="002D396F">
        <w:rPr>
          <w:b/>
          <w:bCs/>
          <w:i/>
          <w:iCs/>
          <w:color w:val="548DD4" w:themeColor="text2" w:themeTint="99"/>
          <w:lang w:val="de-DE"/>
        </w:rPr>
        <w:t xml:space="preserve">Schlussfolgerungen der </w:t>
      </w:r>
      <w:r w:rsidR="00250409" w:rsidRPr="002D396F">
        <w:rPr>
          <w:b/>
          <w:bCs/>
          <w:i/>
          <w:iCs/>
          <w:color w:val="548DD4" w:themeColor="text2" w:themeTint="99"/>
          <w:lang w:val="de-DE"/>
        </w:rPr>
        <w:t>ad hoc</w:t>
      </w:r>
      <w:r w:rsidRPr="002D396F">
        <w:rPr>
          <w:b/>
          <w:bCs/>
          <w:i/>
          <w:iCs/>
          <w:color w:val="548DD4" w:themeColor="text2" w:themeTint="99"/>
          <w:lang w:val="de-DE"/>
        </w:rPr>
        <w:t>-Arbeitsgruppe</w:t>
      </w:r>
      <w:r w:rsidR="00250409" w:rsidRPr="002D396F">
        <w:rPr>
          <w:i/>
          <w:iCs/>
          <w:color w:val="548DD4" w:themeColor="text2" w:themeTint="99"/>
          <w:lang w:val="de-DE"/>
        </w:rPr>
        <w:t xml:space="preserve">: </w:t>
      </w:r>
      <w:r w:rsidRPr="002D396F">
        <w:rPr>
          <w:i/>
          <w:iCs/>
          <w:color w:val="548DD4" w:themeColor="text2" w:themeTint="99"/>
          <w:lang w:val="de-DE"/>
        </w:rPr>
        <w:t>„</w:t>
      </w:r>
      <w:r w:rsidR="00250409" w:rsidRPr="002D396F">
        <w:rPr>
          <w:i/>
          <w:iCs/>
          <w:color w:val="548DD4" w:themeColor="text2" w:themeTint="99"/>
          <w:lang w:val="de-DE"/>
        </w:rPr>
        <w:t>11.</w:t>
      </w:r>
      <w:r w:rsidR="00250409" w:rsidRPr="002D396F">
        <w:rPr>
          <w:i/>
          <w:iCs/>
          <w:color w:val="548DD4" w:themeColor="text2" w:themeTint="99"/>
          <w:lang w:val="de-DE"/>
        </w:rPr>
        <w:tab/>
      </w:r>
      <w:r w:rsidRPr="002D396F">
        <w:rPr>
          <w:i/>
          <w:iCs/>
          <w:color w:val="548DD4" w:themeColor="text2" w:themeTint="99"/>
          <w:lang w:val="de-DE"/>
        </w:rPr>
        <w:t>Die Arbeitsgruppe hat den Kommentar des Sekretariats im Dok</w:t>
      </w:r>
      <w:r w:rsidR="00250409" w:rsidRPr="002D396F">
        <w:rPr>
          <w:i/>
          <w:iCs/>
          <w:color w:val="548DD4" w:themeColor="text2" w:themeTint="99"/>
          <w:lang w:val="de-DE"/>
        </w:rPr>
        <w:t xml:space="preserve">ument ECE/TRANS/WP.15/AC.1/HAR/2019/1 </w:t>
      </w:r>
      <w:r w:rsidRPr="002D396F">
        <w:rPr>
          <w:i/>
          <w:iCs/>
          <w:color w:val="548DD4" w:themeColor="text2" w:themeTint="99"/>
          <w:lang w:val="de-DE"/>
        </w:rPr>
        <w:t>zur Kenntnis genommen, ist aber zu dem Schluss gelangt, dass</w:t>
      </w:r>
      <w:r w:rsidR="00090C55" w:rsidRPr="002D396F">
        <w:rPr>
          <w:i/>
          <w:iCs/>
          <w:color w:val="548DD4" w:themeColor="text2" w:themeTint="99"/>
          <w:lang w:val="de-DE"/>
        </w:rPr>
        <w:t xml:space="preserve"> die Information über die Auswirkungen beim Erwärmen unter Einschluss nicht notwendig war, da Abschnitt 28 des Handbuchs Prüfungen und Kriterien vor allem Vorschriften zur Bestimmung der Temperatur der selbstbeschleunigenden Zersetzung</w:t>
      </w:r>
      <w:r w:rsidR="00EA4F02" w:rsidRPr="002D396F">
        <w:rPr>
          <w:i/>
          <w:iCs/>
          <w:color w:val="548DD4" w:themeColor="text2" w:themeTint="99"/>
          <w:lang w:val="de-DE"/>
        </w:rPr>
        <w:t xml:space="preserve"> </w:t>
      </w:r>
      <w:r w:rsidR="00090C55" w:rsidRPr="002D396F">
        <w:rPr>
          <w:i/>
          <w:iCs/>
          <w:color w:val="548DD4" w:themeColor="text2" w:themeTint="99"/>
          <w:lang w:val="de-DE"/>
        </w:rPr>
        <w:t>enthielt</w:t>
      </w:r>
      <w:r w:rsidR="00250409" w:rsidRPr="002D396F">
        <w:rPr>
          <w:i/>
          <w:iCs/>
          <w:color w:val="548DD4" w:themeColor="text2" w:themeTint="99"/>
          <w:lang w:val="de-DE"/>
        </w:rPr>
        <w:t>.</w:t>
      </w:r>
      <w:r w:rsidR="00090C55" w:rsidRPr="002D396F">
        <w:rPr>
          <w:i/>
          <w:iCs/>
          <w:color w:val="548DD4" w:themeColor="text2" w:themeTint="99"/>
          <w:lang w:val="de-DE"/>
        </w:rPr>
        <w:t>“</w:t>
      </w:r>
    </w:p>
    <w:p w14:paraId="3005E373" w14:textId="38C4115E" w:rsidR="00933DAC" w:rsidRPr="002D396F" w:rsidRDefault="00933DAC" w:rsidP="00CB6AA9">
      <w:pPr>
        <w:tabs>
          <w:tab w:val="left" w:pos="2268"/>
        </w:tabs>
        <w:spacing w:after="40"/>
        <w:ind w:left="2257" w:right="1134" w:hanging="1123"/>
        <w:jc w:val="both"/>
        <w:rPr>
          <w:lang w:val="de-DE"/>
        </w:rPr>
      </w:pPr>
      <w:bookmarkStart w:id="4" w:name="_Hlk10105256"/>
      <w:bookmarkStart w:id="5" w:name="_Hlk10105236"/>
      <w:r w:rsidRPr="002D396F">
        <w:rPr>
          <w:lang w:val="de-DE"/>
        </w:rPr>
        <w:t>1.2.1</w:t>
      </w:r>
      <w:r w:rsidRPr="002D396F">
        <w:rPr>
          <w:lang w:val="de-DE"/>
        </w:rPr>
        <w:tab/>
        <w:t>In der Begriffsbestimmung von „</w:t>
      </w:r>
      <w:r w:rsidRPr="002D396F">
        <w:rPr>
          <w:b/>
          <w:bCs/>
          <w:lang w:val="de-DE"/>
        </w:rPr>
        <w:t>Temperatur der selbstbeschleunigenden Polymerisation (SAPT)</w:t>
      </w:r>
      <w:r w:rsidR="00070855" w:rsidRPr="002D396F">
        <w:rPr>
          <w:lang w:val="de-DE"/>
        </w:rPr>
        <w:t>“</w:t>
      </w:r>
      <w:r w:rsidRPr="002D396F">
        <w:rPr>
          <w:lang w:val="de-DE"/>
        </w:rPr>
        <w:t xml:space="preserve"> im ersten Satz „die Polymerisation eines Stoffes“ ändern in: „die selbstbeschleunigende Polymerisation eines Stoffes”.</w:t>
      </w:r>
    </w:p>
    <w:p w14:paraId="61A64F29" w14:textId="5E5F4458" w:rsidR="00633E80" w:rsidRPr="002D396F" w:rsidRDefault="003A1330" w:rsidP="00A05041">
      <w:pPr>
        <w:pStyle w:val="SingleTxtG"/>
        <w:tabs>
          <w:tab w:val="left" w:pos="2268"/>
        </w:tabs>
        <w:spacing w:before="120" w:after="40"/>
        <w:ind w:left="2259" w:hanging="1125"/>
        <w:rPr>
          <w:lang w:val="de-DE"/>
        </w:rPr>
      </w:pPr>
      <w:r w:rsidRPr="002D396F">
        <w:rPr>
          <w:lang w:val="de-DE"/>
        </w:rPr>
        <w:t>1.2.1</w:t>
      </w:r>
      <w:r w:rsidRPr="002D396F">
        <w:rPr>
          <w:lang w:val="de-DE"/>
        </w:rPr>
        <w:tab/>
      </w:r>
      <w:r w:rsidR="00633E80" w:rsidRPr="002D396F">
        <w:rPr>
          <w:lang w:val="de-DE"/>
        </w:rPr>
        <w:t>In der Begriffsbestimmung von „</w:t>
      </w:r>
      <w:r w:rsidR="00633E80" w:rsidRPr="002D396F">
        <w:rPr>
          <w:b/>
          <w:bCs/>
          <w:i/>
          <w:iCs/>
          <w:lang w:val="de-DE"/>
        </w:rPr>
        <w:t>Transportkennzahl (TI)</w:t>
      </w:r>
      <w:r w:rsidR="00633E80" w:rsidRPr="002D396F">
        <w:rPr>
          <w:lang w:val="de-DE"/>
        </w:rPr>
        <w:t>“ im ersten Satz „SCO-I-Gegenständen“ ändern in: „SCO-I- oder SCO-III-Gegenständen“.</w:t>
      </w:r>
    </w:p>
    <w:p w14:paraId="6A7A4E7C" w14:textId="036E5DA7" w:rsidR="003A1330" w:rsidRPr="002D396F" w:rsidRDefault="003A1330" w:rsidP="00A05041">
      <w:pPr>
        <w:pStyle w:val="SingleTxtG"/>
        <w:tabs>
          <w:tab w:val="left" w:pos="2268"/>
        </w:tabs>
        <w:spacing w:before="120" w:after="40"/>
        <w:ind w:left="2259" w:hanging="1125"/>
        <w:rPr>
          <w:iCs/>
          <w:lang w:val="de-DE"/>
        </w:rPr>
      </w:pPr>
      <w:bookmarkStart w:id="6" w:name="_Hlk10105275"/>
      <w:bookmarkEnd w:id="4"/>
      <w:r w:rsidRPr="002D396F">
        <w:rPr>
          <w:lang w:val="de-DE"/>
        </w:rPr>
        <w:t>1.2.1</w:t>
      </w:r>
      <w:r w:rsidRPr="002D396F">
        <w:rPr>
          <w:lang w:val="de-DE"/>
        </w:rPr>
        <w:tab/>
      </w:r>
      <w:r w:rsidR="0052449E" w:rsidRPr="002D396F">
        <w:rPr>
          <w:lang w:val="de-DE"/>
        </w:rPr>
        <w:t xml:space="preserve">In der Begriffsbestimmung von </w:t>
      </w:r>
      <w:r w:rsidR="00070855" w:rsidRPr="002D396F">
        <w:rPr>
          <w:lang w:val="de-DE"/>
        </w:rPr>
        <w:t>„</w:t>
      </w:r>
      <w:r w:rsidRPr="002D396F">
        <w:rPr>
          <w:iCs/>
          <w:lang w:val="de-DE"/>
        </w:rPr>
        <w:t>GHS</w:t>
      </w:r>
      <w:r w:rsidR="0052449E" w:rsidRPr="002D396F">
        <w:rPr>
          <w:iCs/>
          <w:lang w:val="de-DE"/>
        </w:rPr>
        <w:t xml:space="preserve"> (</w:t>
      </w:r>
      <w:proofErr w:type="spellStart"/>
      <w:r w:rsidR="0052449E" w:rsidRPr="002D396F">
        <w:rPr>
          <w:iCs/>
          <w:lang w:val="de-DE"/>
        </w:rPr>
        <w:t>Globally</w:t>
      </w:r>
      <w:proofErr w:type="spellEnd"/>
      <w:r w:rsidR="0052449E" w:rsidRPr="002D396F">
        <w:rPr>
          <w:iCs/>
          <w:lang w:val="de-DE"/>
        </w:rPr>
        <w:t xml:space="preserve"> </w:t>
      </w:r>
      <w:proofErr w:type="spellStart"/>
      <w:r w:rsidR="0052449E" w:rsidRPr="002D396F">
        <w:rPr>
          <w:iCs/>
          <w:lang w:val="de-DE"/>
        </w:rPr>
        <w:t>Harmonized</w:t>
      </w:r>
      <w:proofErr w:type="spellEnd"/>
      <w:r w:rsidR="0052449E" w:rsidRPr="002D396F">
        <w:rPr>
          <w:iCs/>
          <w:lang w:val="de-DE"/>
        </w:rPr>
        <w:t xml:space="preserve"> System </w:t>
      </w:r>
      <w:proofErr w:type="spellStart"/>
      <w:r w:rsidR="0052449E" w:rsidRPr="002D396F">
        <w:rPr>
          <w:iCs/>
          <w:lang w:val="de-DE"/>
        </w:rPr>
        <w:t>of</w:t>
      </w:r>
      <w:proofErr w:type="spellEnd"/>
      <w:r w:rsidR="0052449E" w:rsidRPr="002D396F">
        <w:rPr>
          <w:iCs/>
          <w:lang w:val="de-DE"/>
        </w:rPr>
        <w:t xml:space="preserve"> Classification and </w:t>
      </w:r>
      <w:proofErr w:type="spellStart"/>
      <w:r w:rsidR="0052449E" w:rsidRPr="002D396F">
        <w:rPr>
          <w:iCs/>
          <w:lang w:val="de-DE"/>
        </w:rPr>
        <w:t>Labelling</w:t>
      </w:r>
      <w:proofErr w:type="spellEnd"/>
      <w:r w:rsidR="0052449E" w:rsidRPr="002D396F">
        <w:rPr>
          <w:iCs/>
          <w:lang w:val="de-DE"/>
        </w:rPr>
        <w:t xml:space="preserve"> </w:t>
      </w:r>
      <w:proofErr w:type="spellStart"/>
      <w:r w:rsidR="0052449E" w:rsidRPr="002D396F">
        <w:rPr>
          <w:iCs/>
          <w:lang w:val="de-DE"/>
        </w:rPr>
        <w:t>of</w:t>
      </w:r>
      <w:proofErr w:type="spellEnd"/>
      <w:r w:rsidR="0052449E" w:rsidRPr="002D396F">
        <w:rPr>
          <w:iCs/>
          <w:lang w:val="de-DE"/>
        </w:rPr>
        <w:t xml:space="preserve"> Chemicals)</w:t>
      </w:r>
      <w:r w:rsidR="00070855" w:rsidRPr="002D396F">
        <w:rPr>
          <w:iCs/>
          <w:lang w:val="de-DE"/>
        </w:rPr>
        <w:t>“</w:t>
      </w:r>
      <w:r w:rsidR="0052449E" w:rsidRPr="002D396F">
        <w:rPr>
          <w:iCs/>
          <w:lang w:val="de-DE"/>
        </w:rPr>
        <w:t xml:space="preserve"> </w:t>
      </w:r>
      <w:r w:rsidR="00070855" w:rsidRPr="002D396F">
        <w:rPr>
          <w:iCs/>
          <w:lang w:val="de-DE"/>
        </w:rPr>
        <w:t>„</w:t>
      </w:r>
      <w:r w:rsidR="0052449E" w:rsidRPr="002D396F">
        <w:rPr>
          <w:iCs/>
          <w:lang w:val="de-DE"/>
        </w:rPr>
        <w:t>mit Dokument ST/SG/AC.10/30/Rev.7 veröffentlichte siebte überarbeitete Ausgabe</w:t>
      </w:r>
      <w:r w:rsidR="00070855" w:rsidRPr="002D396F">
        <w:rPr>
          <w:iCs/>
          <w:lang w:val="de-DE"/>
        </w:rPr>
        <w:t>“</w:t>
      </w:r>
      <w:r w:rsidR="0052449E" w:rsidRPr="002D396F">
        <w:rPr>
          <w:iCs/>
          <w:lang w:val="de-DE"/>
        </w:rPr>
        <w:t xml:space="preserve"> ändern in: </w:t>
      </w:r>
      <w:r w:rsidR="00070855" w:rsidRPr="002D396F">
        <w:rPr>
          <w:iCs/>
          <w:lang w:val="de-DE"/>
        </w:rPr>
        <w:t>„</w:t>
      </w:r>
      <w:r w:rsidR="0052449E" w:rsidRPr="002D396F">
        <w:rPr>
          <w:iCs/>
          <w:lang w:val="de-DE"/>
        </w:rPr>
        <w:t>mit Dokument ST/SG/AC.10/30/Rev.8 veröffentlichte achte überarbeitete Ausgabe</w:t>
      </w:r>
      <w:r w:rsidR="00070855" w:rsidRPr="002D396F">
        <w:rPr>
          <w:iCs/>
          <w:lang w:val="de-DE"/>
        </w:rPr>
        <w:t>“</w:t>
      </w:r>
      <w:r w:rsidR="0052449E" w:rsidRPr="002D396F">
        <w:rPr>
          <w:iCs/>
          <w:lang w:val="de-DE"/>
        </w:rPr>
        <w:t>.</w:t>
      </w:r>
    </w:p>
    <w:p w14:paraId="6413753E" w14:textId="56D28EFB" w:rsidR="00633E80" w:rsidRPr="002D396F" w:rsidRDefault="003A1330" w:rsidP="00A05041">
      <w:pPr>
        <w:pStyle w:val="SingleTxtG"/>
        <w:tabs>
          <w:tab w:val="left" w:pos="2268"/>
        </w:tabs>
        <w:spacing w:before="120" w:after="40"/>
        <w:ind w:left="2259" w:hanging="1125"/>
        <w:rPr>
          <w:lang w:val="de-DE"/>
        </w:rPr>
      </w:pPr>
      <w:r w:rsidRPr="002D396F">
        <w:rPr>
          <w:lang w:val="de-DE"/>
        </w:rPr>
        <w:t>1.2.1</w:t>
      </w:r>
      <w:r w:rsidRPr="002D396F">
        <w:rPr>
          <w:lang w:val="de-DE"/>
        </w:rPr>
        <w:tab/>
      </w:r>
      <w:r w:rsidR="00633E80" w:rsidRPr="002D396F">
        <w:rPr>
          <w:lang w:val="de-DE"/>
        </w:rPr>
        <w:t>In der Begriffsbestimmung von „</w:t>
      </w:r>
      <w:r w:rsidR="00633E80" w:rsidRPr="002D396F">
        <w:rPr>
          <w:b/>
          <w:bCs/>
          <w:i/>
          <w:iCs/>
          <w:lang w:val="de-DE"/>
        </w:rPr>
        <w:t>Handbuch Prüfungen und Kriterien</w:t>
      </w:r>
      <w:r w:rsidR="00633E80" w:rsidRPr="002D396F">
        <w:rPr>
          <w:lang w:val="de-DE"/>
        </w:rPr>
        <w:t>“ folgende Änderungen vornehmen:</w:t>
      </w:r>
    </w:p>
    <w:p w14:paraId="79A0F5DF" w14:textId="2094BF39" w:rsidR="00633E80" w:rsidRPr="002D396F" w:rsidRDefault="00633E80" w:rsidP="00CB6AA9">
      <w:pPr>
        <w:pStyle w:val="SingleTxtG"/>
        <w:spacing w:after="40"/>
        <w:ind w:left="2552" w:hanging="284"/>
        <w:rPr>
          <w:lang w:val="de-DE"/>
        </w:rPr>
      </w:pPr>
      <w:r w:rsidRPr="002D396F">
        <w:rPr>
          <w:lang w:val="de-DE"/>
        </w:rPr>
        <w:t>–</w:t>
      </w:r>
      <w:r w:rsidRPr="002D396F">
        <w:rPr>
          <w:lang w:val="de-DE"/>
        </w:rPr>
        <w:tab/>
        <w:t>„Sechste“ ändern in: „Siebte“.</w:t>
      </w:r>
    </w:p>
    <w:p w14:paraId="46F866EA" w14:textId="4AE242C1" w:rsidR="00633E80" w:rsidRPr="002D396F" w:rsidRDefault="00633E80" w:rsidP="00CB6AA9">
      <w:pPr>
        <w:pStyle w:val="SingleTxtG"/>
        <w:spacing w:after="40"/>
        <w:ind w:left="2552" w:hanging="284"/>
        <w:rPr>
          <w:lang w:val="de-DE"/>
        </w:rPr>
      </w:pPr>
      <w:r w:rsidRPr="002D396F">
        <w:rPr>
          <w:lang w:val="de-DE"/>
        </w:rPr>
        <w:t>–</w:t>
      </w:r>
      <w:r w:rsidRPr="002D396F">
        <w:rPr>
          <w:lang w:val="de-DE"/>
        </w:rPr>
        <w:tab/>
        <w:t>„der UN-Empfehlungen für die Beförderung gefährlicher Güter, Handbuch Prüfungen und Kriterien“ ändern in: „des Handbuchs Prüfungen und Kriterien“.</w:t>
      </w:r>
    </w:p>
    <w:p w14:paraId="213AE0B8" w14:textId="29E0E5BE" w:rsidR="00633E80" w:rsidRPr="002D396F" w:rsidRDefault="00633E80" w:rsidP="00CB6AA9">
      <w:pPr>
        <w:pStyle w:val="SingleTxtG"/>
        <w:spacing w:after="40"/>
        <w:ind w:left="2552" w:hanging="284"/>
        <w:rPr>
          <w:lang w:val="de-DE"/>
        </w:rPr>
      </w:pPr>
      <w:r w:rsidRPr="002D396F">
        <w:rPr>
          <w:lang w:val="de-DE"/>
        </w:rPr>
        <w:t>–</w:t>
      </w:r>
      <w:r w:rsidRPr="002D396F">
        <w:rPr>
          <w:lang w:val="de-DE"/>
        </w:rPr>
        <w:tab/>
        <w:t>“ST/SG/AC.10/11/Rev.6 und Amend.1” ändern in: “ST/SG/AC.10/11/Rev.7”.</w:t>
      </w:r>
    </w:p>
    <w:p w14:paraId="15DAE389" w14:textId="74E5803A" w:rsidR="00633E80" w:rsidRPr="002D396F" w:rsidRDefault="003A1330" w:rsidP="00A05041">
      <w:pPr>
        <w:pStyle w:val="SingleTxtG"/>
        <w:tabs>
          <w:tab w:val="left" w:pos="2268"/>
        </w:tabs>
        <w:spacing w:before="120" w:after="40"/>
        <w:ind w:left="2259" w:hanging="1125"/>
        <w:rPr>
          <w:lang w:val="de-DE"/>
        </w:rPr>
      </w:pPr>
      <w:r w:rsidRPr="002D396F">
        <w:rPr>
          <w:lang w:val="de-DE"/>
        </w:rPr>
        <w:t>1.2.1</w:t>
      </w:r>
      <w:r w:rsidRPr="002D396F">
        <w:rPr>
          <w:lang w:val="de-DE"/>
        </w:rPr>
        <w:tab/>
      </w:r>
      <w:r w:rsidR="00633E80" w:rsidRPr="002D396F">
        <w:rPr>
          <w:lang w:val="de-DE"/>
        </w:rPr>
        <w:t>In der Begriffsbestimmung von „</w:t>
      </w:r>
      <w:r w:rsidR="00633E80" w:rsidRPr="002D396F">
        <w:rPr>
          <w:b/>
          <w:bCs/>
          <w:i/>
          <w:iCs/>
          <w:lang w:val="de-DE"/>
        </w:rPr>
        <w:t>UN-Modellvorschriften</w:t>
      </w:r>
      <w:r w:rsidR="00633E80" w:rsidRPr="002D396F">
        <w:rPr>
          <w:lang w:val="de-DE"/>
        </w:rPr>
        <w:t>“ „zwanzigsten überarbeiteten Ausgabe“ ändern in: „einundzwanzigsten überarbeiteten Ausgabe“ und „(ST/SG/AC.10/1/Rev.20)“ ändern in: „(ST/SG/AC.10/1/Rev.21)“.</w:t>
      </w:r>
    </w:p>
    <w:bookmarkEnd w:id="5"/>
    <w:bookmarkEnd w:id="6"/>
    <w:p w14:paraId="670A5B5C" w14:textId="77777777" w:rsidR="00381DB4" w:rsidRDefault="00381DB4">
      <w:pPr>
        <w:suppressAutoHyphens w:val="0"/>
        <w:spacing w:line="240" w:lineRule="auto"/>
        <w:rPr>
          <w:b/>
          <w:sz w:val="24"/>
          <w:lang w:val="de-DE"/>
        </w:rPr>
      </w:pPr>
      <w:r>
        <w:rPr>
          <w:lang w:val="de-DE"/>
        </w:rPr>
        <w:br w:type="page"/>
      </w:r>
    </w:p>
    <w:p w14:paraId="246FB307" w14:textId="353C580B" w:rsidR="003A1330" w:rsidRPr="002D396F" w:rsidRDefault="003A1330" w:rsidP="00CB6AA9">
      <w:pPr>
        <w:pStyle w:val="H1G"/>
        <w:spacing w:after="40"/>
        <w:rPr>
          <w:lang w:val="de-DE"/>
        </w:rPr>
      </w:pPr>
      <w:r w:rsidRPr="002D396F">
        <w:rPr>
          <w:lang w:val="de-DE"/>
        </w:rPr>
        <w:lastRenderedPageBreak/>
        <w:tab/>
      </w:r>
      <w:r w:rsidRPr="002D396F">
        <w:rPr>
          <w:lang w:val="de-DE"/>
        </w:rPr>
        <w:tab/>
      </w:r>
      <w:r w:rsidR="003811F4" w:rsidRPr="002D396F">
        <w:rPr>
          <w:lang w:val="de-DE"/>
        </w:rPr>
        <w:t>Kapitel</w:t>
      </w:r>
      <w:r w:rsidRPr="002D396F">
        <w:rPr>
          <w:lang w:val="de-DE"/>
        </w:rPr>
        <w:t xml:space="preserve"> 1.6</w:t>
      </w:r>
    </w:p>
    <w:p w14:paraId="6E20D73C" w14:textId="77777777" w:rsidR="003811F4" w:rsidRPr="002D396F" w:rsidRDefault="003811F4" w:rsidP="00CB6AA9">
      <w:pPr>
        <w:pStyle w:val="SingleTxtG"/>
        <w:spacing w:after="40"/>
        <w:ind w:left="2268" w:hanging="1134"/>
        <w:rPr>
          <w:lang w:val="de-DE"/>
        </w:rPr>
      </w:pPr>
      <w:r w:rsidRPr="002D396F">
        <w:rPr>
          <w:lang w:val="de-DE"/>
        </w:rPr>
        <w:t>1.6.6.1</w:t>
      </w:r>
      <w:r w:rsidRPr="002D396F">
        <w:rPr>
          <w:lang w:val="de-DE"/>
        </w:rPr>
        <w:tab/>
        <w:t>erhält folgenden Wortlaut:</w:t>
      </w:r>
    </w:p>
    <w:p w14:paraId="5165133C" w14:textId="162757C5" w:rsidR="003811F4" w:rsidRPr="002D396F" w:rsidRDefault="003811F4" w:rsidP="00CB6AA9">
      <w:pPr>
        <w:pStyle w:val="SingleTxtG"/>
        <w:spacing w:after="40"/>
        <w:ind w:left="2268" w:hanging="1134"/>
        <w:rPr>
          <w:b/>
          <w:bCs/>
          <w:lang w:val="de-DE"/>
        </w:rPr>
      </w:pPr>
      <w:r w:rsidRPr="002D396F">
        <w:rPr>
          <w:b/>
          <w:bCs/>
          <w:lang w:val="de-DE"/>
        </w:rPr>
        <w:t>„1.6.6.1</w:t>
      </w:r>
      <w:r w:rsidRPr="002D396F">
        <w:rPr>
          <w:b/>
          <w:bCs/>
          <w:lang w:val="de-DE"/>
        </w:rPr>
        <w:tab/>
        <w:t xml:space="preserve">Versandstücke, für die nach den Vorschriften der Ausgaben 1985, 1985 (in der Fassung 1990), 1996, 1996 (überarbeitet), 1996 (in der Fassung 2003), 2005 und 2009 der IAEA </w:t>
      </w:r>
      <w:proofErr w:type="spellStart"/>
      <w:r w:rsidRPr="002D396F">
        <w:rPr>
          <w:b/>
          <w:bCs/>
          <w:lang w:val="de-DE"/>
        </w:rPr>
        <w:t>Safety</w:t>
      </w:r>
      <w:proofErr w:type="spellEnd"/>
      <w:r w:rsidRPr="002D396F">
        <w:rPr>
          <w:b/>
          <w:bCs/>
          <w:lang w:val="de-DE"/>
        </w:rPr>
        <w:t xml:space="preserve"> Series </w:t>
      </w:r>
      <w:proofErr w:type="spellStart"/>
      <w:r w:rsidRPr="002D396F">
        <w:rPr>
          <w:b/>
          <w:bCs/>
          <w:lang w:val="de-DE"/>
        </w:rPr>
        <w:t>No</w:t>
      </w:r>
      <w:proofErr w:type="spellEnd"/>
      <w:r w:rsidRPr="002D396F">
        <w:rPr>
          <w:b/>
          <w:bCs/>
          <w:lang w:val="de-DE"/>
        </w:rPr>
        <w:t xml:space="preserve">. 6 und der Ausgabe 2012 der IAEA </w:t>
      </w:r>
      <w:proofErr w:type="spellStart"/>
      <w:r w:rsidRPr="002D396F">
        <w:rPr>
          <w:b/>
          <w:bCs/>
          <w:lang w:val="de-DE"/>
        </w:rPr>
        <w:t>Safety</w:t>
      </w:r>
      <w:proofErr w:type="spellEnd"/>
      <w:r w:rsidRPr="002D396F">
        <w:rPr>
          <w:b/>
          <w:bCs/>
          <w:lang w:val="de-DE"/>
        </w:rPr>
        <w:t xml:space="preserve"> Standards Series </w:t>
      </w:r>
      <w:proofErr w:type="spellStart"/>
      <w:r w:rsidRPr="002D396F">
        <w:rPr>
          <w:b/>
          <w:bCs/>
          <w:lang w:val="de-DE"/>
        </w:rPr>
        <w:t>No</w:t>
      </w:r>
      <w:proofErr w:type="spellEnd"/>
      <w:r w:rsidRPr="002D396F">
        <w:rPr>
          <w:b/>
          <w:bCs/>
          <w:lang w:val="de-DE"/>
        </w:rPr>
        <w:t xml:space="preserve">. SSR-6 keine Bauartzulassung durch die zuständige Behörde erforderlich </w:t>
      </w:r>
      <w:r w:rsidR="008D1EAE">
        <w:rPr>
          <w:b/>
          <w:bCs/>
          <w:lang w:val="de-DE"/>
        </w:rPr>
        <w:t>ist</w:t>
      </w:r>
    </w:p>
    <w:p w14:paraId="65193C9C" w14:textId="3D11435D" w:rsidR="003811F4" w:rsidRPr="002D396F" w:rsidRDefault="003811F4" w:rsidP="00CB6AA9">
      <w:pPr>
        <w:pStyle w:val="SingleTxtG"/>
        <w:spacing w:after="40"/>
        <w:ind w:left="2268"/>
        <w:rPr>
          <w:lang w:val="de-DE"/>
        </w:rPr>
      </w:pPr>
      <w:r w:rsidRPr="002D396F">
        <w:rPr>
          <w:lang w:val="de-DE"/>
        </w:rPr>
        <w:t>Versandstücke, für die eine Bauartzulassung durch die zuständige Behörde nicht erforderlich ist (freigestellte Versandstücke, Industrieversandstücke Typ IP-1, Typ IP-2 und Typ IP-3 sowie Typ</w:t>
      </w:r>
      <w:r w:rsidR="0063241B" w:rsidRPr="002D396F">
        <w:rPr>
          <w:lang w:val="de-DE"/>
        </w:rPr>
        <w:t> </w:t>
      </w:r>
      <w:proofErr w:type="spellStart"/>
      <w:r w:rsidRPr="002D396F">
        <w:rPr>
          <w:lang w:val="de-DE"/>
        </w:rPr>
        <w:t>A</w:t>
      </w:r>
      <w:r w:rsidR="0063241B" w:rsidRPr="002D396F">
        <w:rPr>
          <w:lang w:val="de-DE"/>
        </w:rPr>
        <w:t>­</w:t>
      </w:r>
      <w:r w:rsidRPr="002D396F">
        <w:rPr>
          <w:lang w:val="de-DE"/>
        </w:rPr>
        <w:t>Versandstücke</w:t>
      </w:r>
      <w:proofErr w:type="spellEnd"/>
      <w:r w:rsidRPr="002D396F">
        <w:rPr>
          <w:lang w:val="de-DE"/>
        </w:rPr>
        <w:t>), müssen den Vorschriften des RID/ADR/ADN vollständig entsprechen, mit der Ausnahme, dass</w:t>
      </w:r>
    </w:p>
    <w:p w14:paraId="1EA859C3" w14:textId="7E5ED816" w:rsidR="003811F4" w:rsidRPr="002D396F" w:rsidRDefault="003811F4" w:rsidP="003811F4">
      <w:pPr>
        <w:pStyle w:val="SingleTxtG"/>
        <w:ind w:left="2835" w:hanging="567"/>
        <w:rPr>
          <w:lang w:val="de-DE"/>
        </w:rPr>
      </w:pPr>
      <w:r w:rsidRPr="002D396F">
        <w:rPr>
          <w:lang w:val="de-DE"/>
        </w:rPr>
        <w:t>a)</w:t>
      </w:r>
      <w:r w:rsidRPr="002D396F">
        <w:rPr>
          <w:lang w:val="de-DE"/>
        </w:rPr>
        <w:tab/>
        <w:t xml:space="preserve">Versandstücke, die den Vorschriften der Ausgabe 1985 oder 1985 (in der Fassung 1990) der IAEA </w:t>
      </w:r>
      <w:proofErr w:type="spellStart"/>
      <w:r w:rsidRPr="002D396F">
        <w:rPr>
          <w:lang w:val="de-DE"/>
        </w:rPr>
        <w:t>Safety</w:t>
      </w:r>
      <w:proofErr w:type="spellEnd"/>
      <w:r w:rsidRPr="002D396F">
        <w:rPr>
          <w:lang w:val="de-DE"/>
        </w:rPr>
        <w:t xml:space="preserve"> Series </w:t>
      </w:r>
      <w:proofErr w:type="spellStart"/>
      <w:r w:rsidRPr="002D396F">
        <w:rPr>
          <w:lang w:val="de-DE"/>
        </w:rPr>
        <w:t>No</w:t>
      </w:r>
      <w:proofErr w:type="spellEnd"/>
      <w:r w:rsidRPr="002D396F">
        <w:rPr>
          <w:lang w:val="de-DE"/>
        </w:rPr>
        <w:t>. 6 entsprechen</w:t>
      </w:r>
      <w:r w:rsidR="008D1EAE">
        <w:rPr>
          <w:lang w:val="de-DE"/>
        </w:rPr>
        <w:t>,</w:t>
      </w:r>
    </w:p>
    <w:p w14:paraId="7999DFEA" w14:textId="4E6D6F50" w:rsidR="003811F4" w:rsidRPr="002D396F" w:rsidRDefault="003811F4" w:rsidP="003811F4">
      <w:pPr>
        <w:pStyle w:val="SingleTxtG"/>
        <w:ind w:left="3402" w:hanging="567"/>
        <w:rPr>
          <w:lang w:val="de-DE"/>
        </w:rPr>
      </w:pPr>
      <w:r w:rsidRPr="002D396F">
        <w:rPr>
          <w:lang w:val="de-DE"/>
        </w:rPr>
        <w:t>(i)</w:t>
      </w:r>
      <w:r w:rsidRPr="002D396F">
        <w:rPr>
          <w:lang w:val="de-DE"/>
        </w:rPr>
        <w:tab/>
        <w:t>weiter befördert werden dürfen, vorausgesetzt, sie wurden vor dem 31. Dezember 2003 für den Versand vorbereitet und sie unterliegen, sofern anwendbar, den Vorschriften des Absatzes 1.6.6.2.3, oder</w:t>
      </w:r>
    </w:p>
    <w:p w14:paraId="144A58EF" w14:textId="3D0C6FA6" w:rsidR="003811F4" w:rsidRPr="002D396F" w:rsidRDefault="003811F4" w:rsidP="003811F4">
      <w:pPr>
        <w:pStyle w:val="SingleTxtG"/>
        <w:ind w:left="3402" w:hanging="567"/>
        <w:rPr>
          <w:lang w:val="de-DE"/>
        </w:rPr>
      </w:pPr>
      <w:r w:rsidRPr="002D396F">
        <w:rPr>
          <w:lang w:val="de-DE"/>
        </w:rPr>
        <w:t>(ii)</w:t>
      </w:r>
      <w:r w:rsidRPr="002D396F">
        <w:rPr>
          <w:lang w:val="de-DE"/>
        </w:rPr>
        <w:tab/>
        <w:t xml:space="preserve">weiterverwendet werden dürfen, vorausgesetzt, </w:t>
      </w:r>
      <w:r w:rsidR="008D1EAE">
        <w:rPr>
          <w:lang w:val="de-DE"/>
        </w:rPr>
        <w:t xml:space="preserve">alle </w:t>
      </w:r>
      <w:r w:rsidRPr="002D396F">
        <w:rPr>
          <w:lang w:val="de-DE"/>
        </w:rPr>
        <w:t>folgende</w:t>
      </w:r>
      <w:r w:rsidR="008D1EAE">
        <w:rPr>
          <w:lang w:val="de-DE"/>
        </w:rPr>
        <w:t>n</w:t>
      </w:r>
      <w:r w:rsidRPr="002D396F">
        <w:rPr>
          <w:lang w:val="de-DE"/>
        </w:rPr>
        <w:t xml:space="preserve"> Vorschriften sind erfüllt:</w:t>
      </w:r>
    </w:p>
    <w:p w14:paraId="29C9BA96" w14:textId="77777777" w:rsidR="003811F4" w:rsidRPr="002D396F" w:rsidRDefault="003811F4" w:rsidP="003811F4">
      <w:pPr>
        <w:pStyle w:val="SingleTxtG"/>
        <w:ind w:left="3828" w:hanging="426"/>
        <w:rPr>
          <w:lang w:val="de-DE"/>
        </w:rPr>
      </w:pPr>
      <w:r w:rsidRPr="002D396F">
        <w:rPr>
          <w:lang w:val="de-DE"/>
        </w:rPr>
        <w:t>–</w:t>
      </w:r>
      <w:r w:rsidRPr="002D396F">
        <w:rPr>
          <w:lang w:val="de-DE"/>
        </w:rPr>
        <w:tab/>
        <w:t>sie sind nicht für die Aufnahme von Uranhexafluorid ausgelegt;</w:t>
      </w:r>
    </w:p>
    <w:p w14:paraId="34288C96" w14:textId="77777777" w:rsidR="003811F4" w:rsidRPr="002D396F" w:rsidRDefault="003811F4" w:rsidP="003811F4">
      <w:pPr>
        <w:pStyle w:val="SingleTxtG"/>
        <w:ind w:left="3828" w:hanging="426"/>
        <w:rPr>
          <w:lang w:val="de-DE"/>
        </w:rPr>
      </w:pPr>
      <w:r w:rsidRPr="002D396F">
        <w:rPr>
          <w:lang w:val="de-DE"/>
        </w:rPr>
        <w:t>–</w:t>
      </w:r>
      <w:r w:rsidRPr="002D396F">
        <w:rPr>
          <w:lang w:val="de-DE"/>
        </w:rPr>
        <w:tab/>
        <w:t>die anwendbaren Vorschriften des Abschnitts 1.7.3 werden angewendet;</w:t>
      </w:r>
    </w:p>
    <w:p w14:paraId="0D50F647" w14:textId="1794B4B0" w:rsidR="003811F4" w:rsidRPr="002D396F" w:rsidRDefault="003811F4" w:rsidP="003811F4">
      <w:pPr>
        <w:pStyle w:val="SingleTxtG"/>
        <w:ind w:left="3828" w:hanging="426"/>
        <w:rPr>
          <w:lang w:val="de-DE"/>
        </w:rPr>
      </w:pPr>
      <w:r w:rsidRPr="002D396F">
        <w:rPr>
          <w:lang w:val="de-DE"/>
        </w:rPr>
        <w:t xml:space="preserve"> –</w:t>
      </w:r>
      <w:r w:rsidRPr="002D396F">
        <w:rPr>
          <w:lang w:val="de-DE"/>
        </w:rPr>
        <w:tab/>
        <w:t xml:space="preserve">die Aktivitätsgrenzwerte und die </w:t>
      </w:r>
      <w:r w:rsidR="008D1EAE">
        <w:rPr>
          <w:lang w:val="de-DE"/>
        </w:rPr>
        <w:t>Klassifizierung</w:t>
      </w:r>
      <w:r w:rsidR="008D1EAE" w:rsidRPr="002D396F">
        <w:rPr>
          <w:lang w:val="de-DE"/>
        </w:rPr>
        <w:t xml:space="preserve"> </w:t>
      </w:r>
      <w:r w:rsidRPr="002D396F">
        <w:rPr>
          <w:lang w:val="de-DE"/>
        </w:rPr>
        <w:t>in Abschnitt 2.2.7 werden angewendet;</w:t>
      </w:r>
    </w:p>
    <w:p w14:paraId="0CC9CEB6" w14:textId="3EE47E9B" w:rsidR="003811F4" w:rsidRPr="002D396F" w:rsidRDefault="003811F4" w:rsidP="003811F4">
      <w:pPr>
        <w:pStyle w:val="SingleTxtG"/>
        <w:ind w:left="3828" w:hanging="426"/>
        <w:rPr>
          <w:lang w:val="de-DE"/>
        </w:rPr>
      </w:pPr>
      <w:r w:rsidRPr="002D396F">
        <w:rPr>
          <w:lang w:val="de-DE"/>
        </w:rPr>
        <w:t>–</w:t>
      </w:r>
      <w:r w:rsidRPr="002D396F">
        <w:rPr>
          <w:lang w:val="de-DE"/>
        </w:rPr>
        <w:tab/>
        <w:t>die Vorschriften und Beförderungskontrollen in den Teilen 1, 3, 4, 5 und 7 werden angewendet</w:t>
      </w:r>
      <w:r w:rsidR="006D7BF7">
        <w:rPr>
          <w:lang w:val="de-DE"/>
        </w:rPr>
        <w:t xml:space="preserve"> und</w:t>
      </w:r>
    </w:p>
    <w:p w14:paraId="22ABDA6F" w14:textId="5ED9E2C3" w:rsidR="003811F4" w:rsidRPr="002D396F" w:rsidRDefault="003811F4" w:rsidP="003811F4">
      <w:pPr>
        <w:pStyle w:val="SingleTxtG"/>
        <w:ind w:left="3828" w:hanging="426"/>
        <w:rPr>
          <w:lang w:val="de-DE"/>
        </w:rPr>
      </w:pPr>
      <w:r w:rsidRPr="002D396F">
        <w:rPr>
          <w:lang w:val="de-DE"/>
        </w:rPr>
        <w:t>–</w:t>
      </w:r>
      <w:r w:rsidRPr="002D396F">
        <w:rPr>
          <w:lang w:val="de-DE"/>
        </w:rPr>
        <w:tab/>
        <w:t>die Verpackung wurde nicht nach dem 31.</w:t>
      </w:r>
      <w:r w:rsidR="0063241B" w:rsidRPr="002D396F">
        <w:rPr>
          <w:lang w:val="de-DE"/>
        </w:rPr>
        <w:t> </w:t>
      </w:r>
      <w:r w:rsidRPr="002D396F">
        <w:rPr>
          <w:lang w:val="de-DE"/>
        </w:rPr>
        <w:t>Dezember 2003 hergestellt oder verändert</w:t>
      </w:r>
      <w:r w:rsidR="006D7BF7">
        <w:rPr>
          <w:lang w:val="de-DE"/>
        </w:rPr>
        <w:t>;</w:t>
      </w:r>
    </w:p>
    <w:p w14:paraId="111D54F2" w14:textId="67DD469A" w:rsidR="003811F4" w:rsidRPr="002D396F" w:rsidRDefault="003811F4" w:rsidP="003811F4">
      <w:pPr>
        <w:pStyle w:val="SingleTxtG"/>
        <w:ind w:left="2835" w:hanging="567"/>
        <w:rPr>
          <w:lang w:val="de-DE"/>
        </w:rPr>
      </w:pPr>
      <w:r w:rsidRPr="002D396F">
        <w:rPr>
          <w:lang w:val="de-DE"/>
        </w:rPr>
        <w:t>b)</w:t>
      </w:r>
      <w:r w:rsidRPr="002D396F">
        <w:rPr>
          <w:lang w:val="de-DE"/>
        </w:rPr>
        <w:tab/>
        <w:t xml:space="preserve">Versandstücke, die den Vorschriften der Ausgabe 1996, 1996 (überarbeitet), 1996 (in der Fassung 2003), 2005 oder 2009 der IAEA </w:t>
      </w:r>
      <w:proofErr w:type="spellStart"/>
      <w:r w:rsidRPr="002D396F">
        <w:rPr>
          <w:lang w:val="de-DE"/>
        </w:rPr>
        <w:t>Safety</w:t>
      </w:r>
      <w:proofErr w:type="spellEnd"/>
      <w:r w:rsidRPr="002D396F">
        <w:rPr>
          <w:lang w:val="de-DE"/>
        </w:rPr>
        <w:t xml:space="preserve"> Series </w:t>
      </w:r>
      <w:proofErr w:type="spellStart"/>
      <w:r w:rsidRPr="002D396F">
        <w:rPr>
          <w:lang w:val="de-DE"/>
        </w:rPr>
        <w:t>No</w:t>
      </w:r>
      <w:proofErr w:type="spellEnd"/>
      <w:r w:rsidRPr="002D396F">
        <w:rPr>
          <w:lang w:val="de-DE"/>
        </w:rPr>
        <w:t xml:space="preserve">. 6 oder der Ausgabe 2012 der IAEA </w:t>
      </w:r>
      <w:proofErr w:type="spellStart"/>
      <w:r w:rsidRPr="002D396F">
        <w:rPr>
          <w:lang w:val="de-DE"/>
        </w:rPr>
        <w:t>Safety</w:t>
      </w:r>
      <w:proofErr w:type="spellEnd"/>
      <w:r w:rsidRPr="002D396F">
        <w:rPr>
          <w:lang w:val="de-DE"/>
        </w:rPr>
        <w:t xml:space="preserve"> Standards Series </w:t>
      </w:r>
      <w:proofErr w:type="spellStart"/>
      <w:r w:rsidRPr="002D396F">
        <w:rPr>
          <w:lang w:val="de-DE"/>
        </w:rPr>
        <w:t>No</w:t>
      </w:r>
      <w:proofErr w:type="spellEnd"/>
      <w:r w:rsidRPr="002D396F">
        <w:rPr>
          <w:lang w:val="de-DE"/>
        </w:rPr>
        <w:t>. SSR-6 entsprechen</w:t>
      </w:r>
      <w:r w:rsidR="006D7BF7">
        <w:rPr>
          <w:lang w:val="de-DE"/>
        </w:rPr>
        <w:t>,</w:t>
      </w:r>
    </w:p>
    <w:p w14:paraId="04FC0D19" w14:textId="089304DF" w:rsidR="003811F4" w:rsidRPr="002D396F" w:rsidRDefault="003811F4" w:rsidP="003811F4">
      <w:pPr>
        <w:pStyle w:val="SingleTxtG"/>
        <w:ind w:left="3402" w:hanging="567"/>
        <w:rPr>
          <w:lang w:val="de-DE"/>
        </w:rPr>
      </w:pPr>
      <w:r w:rsidRPr="002D396F">
        <w:rPr>
          <w:lang w:val="de-DE"/>
        </w:rPr>
        <w:t>(i)</w:t>
      </w:r>
      <w:r w:rsidRPr="002D396F">
        <w:rPr>
          <w:lang w:val="de-DE"/>
        </w:rPr>
        <w:tab/>
        <w:t>weiter befördert werden dürfen, vorausgesetzt, sie wurden vor dem 31. Dezember 2025 für den Versand vorbereitet und sie unterliegen, sofern anwendbar, den Vorschriften des Absatzes 1.6.6.2.3, oder</w:t>
      </w:r>
    </w:p>
    <w:p w14:paraId="123C4D7F" w14:textId="6F93D2AF" w:rsidR="003811F4" w:rsidRPr="002D396F" w:rsidRDefault="003811F4" w:rsidP="003811F4">
      <w:pPr>
        <w:pStyle w:val="SingleTxtG"/>
        <w:ind w:left="3402" w:hanging="567"/>
        <w:rPr>
          <w:lang w:val="de-DE"/>
        </w:rPr>
      </w:pPr>
      <w:r w:rsidRPr="002D396F">
        <w:rPr>
          <w:lang w:val="de-DE"/>
        </w:rPr>
        <w:t>(ii)</w:t>
      </w:r>
      <w:r w:rsidRPr="002D396F">
        <w:rPr>
          <w:lang w:val="de-DE"/>
        </w:rPr>
        <w:tab/>
        <w:t xml:space="preserve">weiterverwendet werden dürfen, vorausgesetzt, </w:t>
      </w:r>
      <w:r w:rsidR="006D7BF7">
        <w:rPr>
          <w:lang w:val="de-DE"/>
        </w:rPr>
        <w:t xml:space="preserve">alle </w:t>
      </w:r>
      <w:r w:rsidRPr="002D396F">
        <w:rPr>
          <w:lang w:val="de-DE"/>
        </w:rPr>
        <w:t>folgende</w:t>
      </w:r>
      <w:r w:rsidR="006D7BF7">
        <w:rPr>
          <w:lang w:val="de-DE"/>
        </w:rPr>
        <w:t>n</w:t>
      </w:r>
      <w:r w:rsidRPr="002D396F">
        <w:rPr>
          <w:lang w:val="de-DE"/>
        </w:rPr>
        <w:t xml:space="preserve"> Vorschriften sind erfüllt:</w:t>
      </w:r>
    </w:p>
    <w:p w14:paraId="7695C612" w14:textId="77777777" w:rsidR="003811F4" w:rsidRPr="002D396F" w:rsidRDefault="003811F4" w:rsidP="003811F4">
      <w:pPr>
        <w:pStyle w:val="SingleTxtG"/>
        <w:ind w:left="3828" w:hanging="426"/>
        <w:rPr>
          <w:lang w:val="de-DE"/>
        </w:rPr>
      </w:pPr>
      <w:r w:rsidRPr="002D396F">
        <w:rPr>
          <w:lang w:val="de-DE"/>
        </w:rPr>
        <w:t>–</w:t>
      </w:r>
      <w:r w:rsidRPr="002D396F">
        <w:rPr>
          <w:lang w:val="de-DE"/>
        </w:rPr>
        <w:tab/>
        <w:t>die anwendbaren Vorschriften des Abschnitts 1.7.3 werden angewendet;</w:t>
      </w:r>
    </w:p>
    <w:p w14:paraId="2E263E27" w14:textId="2EEA7423" w:rsidR="003811F4" w:rsidRPr="002D396F" w:rsidRDefault="003811F4" w:rsidP="003811F4">
      <w:pPr>
        <w:pStyle w:val="SingleTxtG"/>
        <w:ind w:left="3828" w:hanging="426"/>
        <w:rPr>
          <w:lang w:val="de-DE"/>
        </w:rPr>
      </w:pPr>
      <w:r w:rsidRPr="002D396F">
        <w:rPr>
          <w:lang w:val="de-DE"/>
        </w:rPr>
        <w:t>–</w:t>
      </w:r>
      <w:r w:rsidRPr="002D396F">
        <w:rPr>
          <w:lang w:val="de-DE"/>
        </w:rPr>
        <w:tab/>
        <w:t xml:space="preserve">die Aktivitätsgrenzwerte und die </w:t>
      </w:r>
      <w:r w:rsidR="006D7BF7">
        <w:rPr>
          <w:lang w:val="de-DE"/>
        </w:rPr>
        <w:t>Klassifizierung</w:t>
      </w:r>
      <w:r w:rsidR="006D7BF7" w:rsidRPr="002D396F">
        <w:rPr>
          <w:lang w:val="de-DE"/>
        </w:rPr>
        <w:t xml:space="preserve"> </w:t>
      </w:r>
      <w:r w:rsidRPr="002D396F">
        <w:rPr>
          <w:lang w:val="de-DE"/>
        </w:rPr>
        <w:t>in Abschnitt 2.2.7 werden angewendet;</w:t>
      </w:r>
    </w:p>
    <w:p w14:paraId="6E9812D9" w14:textId="77777777" w:rsidR="003811F4" w:rsidRPr="002D396F" w:rsidRDefault="003811F4" w:rsidP="003811F4">
      <w:pPr>
        <w:pStyle w:val="SingleTxtG"/>
        <w:ind w:left="3828" w:hanging="426"/>
        <w:rPr>
          <w:lang w:val="de-DE"/>
        </w:rPr>
      </w:pPr>
      <w:r w:rsidRPr="002D396F">
        <w:rPr>
          <w:lang w:val="de-DE"/>
        </w:rPr>
        <w:t>–</w:t>
      </w:r>
      <w:r w:rsidRPr="002D396F">
        <w:rPr>
          <w:lang w:val="de-DE"/>
        </w:rPr>
        <w:tab/>
        <w:t>die Vorschriften und Beförderungskontrollen in den Teilen 1, 3, 4, 5 und 7 werden angewendet und</w:t>
      </w:r>
    </w:p>
    <w:p w14:paraId="51FAFE8C" w14:textId="33CBFB96" w:rsidR="003811F4" w:rsidRPr="002D396F" w:rsidRDefault="003811F4" w:rsidP="003811F4">
      <w:pPr>
        <w:pStyle w:val="SingleTxtG"/>
        <w:ind w:left="3828" w:hanging="426"/>
        <w:rPr>
          <w:lang w:val="de-DE"/>
        </w:rPr>
      </w:pPr>
      <w:r w:rsidRPr="002D396F">
        <w:rPr>
          <w:lang w:val="de-DE"/>
        </w:rPr>
        <w:t>–</w:t>
      </w:r>
      <w:r w:rsidRPr="002D396F">
        <w:rPr>
          <w:lang w:val="de-DE"/>
        </w:rPr>
        <w:tab/>
        <w:t>die Verpackung wurde nicht nach dem 31. Dezember 2025 hergestellt oder verändert.“</w:t>
      </w:r>
      <w:r w:rsidR="00A05041">
        <w:rPr>
          <w:lang w:val="de-DE"/>
        </w:rPr>
        <w:t>.</w:t>
      </w:r>
    </w:p>
    <w:p w14:paraId="474B2F4C" w14:textId="55A87F70" w:rsidR="003811F4" w:rsidRPr="002D396F" w:rsidRDefault="009D2261" w:rsidP="009D2261">
      <w:pPr>
        <w:pStyle w:val="SingleTxtG"/>
        <w:ind w:left="2268" w:hanging="1134"/>
        <w:rPr>
          <w:lang w:val="de-DE"/>
        </w:rPr>
      </w:pPr>
      <w:r w:rsidRPr="002D396F">
        <w:rPr>
          <w:lang w:val="de-DE"/>
        </w:rPr>
        <w:lastRenderedPageBreak/>
        <w:t>1.6.6.2</w:t>
      </w:r>
      <w:r w:rsidRPr="002D396F">
        <w:rPr>
          <w:lang w:val="de-DE"/>
        </w:rPr>
        <w:tab/>
      </w:r>
      <w:r w:rsidR="003811F4" w:rsidRPr="002D396F">
        <w:rPr>
          <w:lang w:val="de-DE"/>
        </w:rPr>
        <w:t>erhält folgenden Wortlaut:</w:t>
      </w:r>
    </w:p>
    <w:p w14:paraId="1708D0B9" w14:textId="2B36313E" w:rsidR="003811F4" w:rsidRPr="002D396F" w:rsidRDefault="00070855" w:rsidP="003811F4">
      <w:pPr>
        <w:pStyle w:val="SingleTxtG"/>
        <w:ind w:left="2268" w:hanging="1134"/>
        <w:rPr>
          <w:b/>
          <w:bCs/>
          <w:lang w:val="de-DE"/>
        </w:rPr>
      </w:pPr>
      <w:r w:rsidRPr="002D396F">
        <w:rPr>
          <w:lang w:val="de-DE"/>
        </w:rPr>
        <w:t>„</w:t>
      </w:r>
      <w:r w:rsidR="003811F4" w:rsidRPr="002D396F">
        <w:rPr>
          <w:b/>
          <w:bCs/>
          <w:lang w:val="de-DE"/>
        </w:rPr>
        <w:t>1.6.6.2</w:t>
      </w:r>
      <w:r w:rsidR="003811F4" w:rsidRPr="002D396F">
        <w:rPr>
          <w:b/>
          <w:bCs/>
          <w:lang w:val="de-DE"/>
        </w:rPr>
        <w:tab/>
        <w:t xml:space="preserve">Versandstücke, die nach den Vorschriften der Ausgaben 1985, 1985 (in der Fassung 1990), 1996, 1996 (überarbeitet), 1996 (in der Fassung 2003), 2005 und 2009 der IAEA </w:t>
      </w:r>
      <w:proofErr w:type="spellStart"/>
      <w:r w:rsidR="003811F4" w:rsidRPr="002D396F">
        <w:rPr>
          <w:b/>
          <w:bCs/>
          <w:lang w:val="de-DE"/>
        </w:rPr>
        <w:t>Safety</w:t>
      </w:r>
      <w:proofErr w:type="spellEnd"/>
      <w:r w:rsidR="003811F4" w:rsidRPr="002D396F">
        <w:rPr>
          <w:b/>
          <w:bCs/>
          <w:lang w:val="de-DE"/>
        </w:rPr>
        <w:t xml:space="preserve"> Series </w:t>
      </w:r>
      <w:proofErr w:type="spellStart"/>
      <w:r w:rsidR="003811F4" w:rsidRPr="002D396F">
        <w:rPr>
          <w:b/>
          <w:bCs/>
          <w:lang w:val="de-DE"/>
        </w:rPr>
        <w:t>No</w:t>
      </w:r>
      <w:proofErr w:type="spellEnd"/>
      <w:r w:rsidR="003811F4" w:rsidRPr="002D396F">
        <w:rPr>
          <w:b/>
          <w:bCs/>
          <w:lang w:val="de-DE"/>
        </w:rPr>
        <w:t xml:space="preserve">. 6 und der Ausgabe 2012 der IAEA </w:t>
      </w:r>
      <w:proofErr w:type="spellStart"/>
      <w:r w:rsidR="003811F4" w:rsidRPr="002D396F">
        <w:rPr>
          <w:b/>
          <w:bCs/>
          <w:lang w:val="de-DE"/>
        </w:rPr>
        <w:t>Safety</w:t>
      </w:r>
      <w:proofErr w:type="spellEnd"/>
      <w:r w:rsidR="003811F4" w:rsidRPr="002D396F">
        <w:rPr>
          <w:b/>
          <w:bCs/>
          <w:lang w:val="de-DE"/>
        </w:rPr>
        <w:t xml:space="preserve"> Standards Series </w:t>
      </w:r>
      <w:proofErr w:type="spellStart"/>
      <w:r w:rsidR="003811F4" w:rsidRPr="002D396F">
        <w:rPr>
          <w:b/>
          <w:bCs/>
          <w:lang w:val="de-DE"/>
        </w:rPr>
        <w:t>No</w:t>
      </w:r>
      <w:proofErr w:type="spellEnd"/>
      <w:r w:rsidR="003811F4" w:rsidRPr="002D396F">
        <w:rPr>
          <w:b/>
          <w:bCs/>
          <w:lang w:val="de-DE"/>
        </w:rPr>
        <w:t>. SSR-6 zugelassen wurden</w:t>
      </w:r>
    </w:p>
    <w:p w14:paraId="4050F7A2" w14:textId="737635A8" w:rsidR="003811F4" w:rsidRPr="002D396F" w:rsidRDefault="009D2261" w:rsidP="009D2261">
      <w:pPr>
        <w:pStyle w:val="SingleTxtG"/>
        <w:ind w:left="2268" w:hanging="1134"/>
        <w:rPr>
          <w:lang w:val="de-DE"/>
        </w:rPr>
      </w:pPr>
      <w:r w:rsidRPr="002D396F">
        <w:rPr>
          <w:lang w:val="de-DE"/>
        </w:rPr>
        <w:t>1.6.</w:t>
      </w:r>
      <w:r w:rsidR="006D7BF7">
        <w:rPr>
          <w:lang w:val="de-DE"/>
        </w:rPr>
        <w:t>6</w:t>
      </w:r>
      <w:r w:rsidRPr="002D396F">
        <w:rPr>
          <w:lang w:val="de-DE"/>
        </w:rPr>
        <w:t>.2.1</w:t>
      </w:r>
      <w:r w:rsidRPr="002D396F">
        <w:rPr>
          <w:lang w:val="de-DE"/>
        </w:rPr>
        <w:tab/>
      </w:r>
      <w:r w:rsidR="003811F4" w:rsidRPr="002D396F">
        <w:rPr>
          <w:lang w:val="de-DE"/>
        </w:rPr>
        <w:t>Versandstücke, für die eine Bauartzulassung durch die zuständige Behörde erforderlich ist, müssen den Vorschriften des RID/ADR/ADN vollständig entsprechen, mit der Ausnahme, dass:</w:t>
      </w:r>
    </w:p>
    <w:p w14:paraId="0B19F26A" w14:textId="7D50E00B" w:rsidR="003811F4" w:rsidRPr="002D396F" w:rsidRDefault="009D2261" w:rsidP="009D2261">
      <w:pPr>
        <w:pStyle w:val="SingleTxtG"/>
        <w:ind w:left="2835" w:hanging="567"/>
        <w:rPr>
          <w:lang w:val="de-DE"/>
        </w:rPr>
      </w:pPr>
      <w:r w:rsidRPr="002D396F">
        <w:rPr>
          <w:lang w:val="de-DE"/>
        </w:rPr>
        <w:t>a)</w:t>
      </w:r>
      <w:r w:rsidRPr="002D396F">
        <w:rPr>
          <w:lang w:val="de-DE"/>
        </w:rPr>
        <w:tab/>
      </w:r>
      <w:r w:rsidR="003811F4" w:rsidRPr="002D396F">
        <w:rPr>
          <w:lang w:val="de-DE"/>
        </w:rPr>
        <w:t xml:space="preserve">Verpackungen, die nach einem Versandstückmuster hergestellt wurden, das von der zuständigen Behörde nach den Vorschriften der Ausgabe 1985 oder 1985 (in der Fassung 1990) der IAEA </w:t>
      </w:r>
      <w:proofErr w:type="spellStart"/>
      <w:r w:rsidR="003811F4" w:rsidRPr="002D396F">
        <w:rPr>
          <w:lang w:val="de-DE"/>
        </w:rPr>
        <w:t>Safety</w:t>
      </w:r>
      <w:proofErr w:type="spellEnd"/>
      <w:r w:rsidR="003811F4" w:rsidRPr="002D396F">
        <w:rPr>
          <w:lang w:val="de-DE"/>
        </w:rPr>
        <w:t xml:space="preserve"> Series </w:t>
      </w:r>
      <w:proofErr w:type="spellStart"/>
      <w:r w:rsidR="003811F4" w:rsidRPr="002D396F">
        <w:rPr>
          <w:lang w:val="de-DE"/>
        </w:rPr>
        <w:t>No</w:t>
      </w:r>
      <w:proofErr w:type="spellEnd"/>
      <w:r w:rsidR="003811F4" w:rsidRPr="002D396F">
        <w:rPr>
          <w:lang w:val="de-DE"/>
        </w:rPr>
        <w:t>. 6 zugelassen wurde, weiterverwendet werden dürfen, vorausgesetzt, alle folgenden Bedingungen werden erfüllt:</w:t>
      </w:r>
    </w:p>
    <w:p w14:paraId="1F377E2C" w14:textId="39F8BA80" w:rsidR="003811F4" w:rsidRPr="002D396F" w:rsidRDefault="009D2261" w:rsidP="009D2261">
      <w:pPr>
        <w:pStyle w:val="SingleTxtG"/>
        <w:ind w:left="3402" w:hanging="567"/>
        <w:rPr>
          <w:lang w:val="de-DE"/>
        </w:rPr>
      </w:pPr>
      <w:r w:rsidRPr="002D396F">
        <w:rPr>
          <w:lang w:val="de-DE"/>
        </w:rPr>
        <w:t>(i)</w:t>
      </w:r>
      <w:r w:rsidRPr="002D396F">
        <w:rPr>
          <w:lang w:val="de-DE"/>
        </w:rPr>
        <w:tab/>
      </w:r>
      <w:r w:rsidR="003811F4" w:rsidRPr="002D396F">
        <w:rPr>
          <w:lang w:val="de-DE"/>
        </w:rPr>
        <w:t>das Versandstückmuster unterliegt einer multilateralen Zulassung;</w:t>
      </w:r>
    </w:p>
    <w:p w14:paraId="4A733232" w14:textId="5BB2789D" w:rsidR="003811F4" w:rsidRPr="002D396F" w:rsidRDefault="009D2261" w:rsidP="009D2261">
      <w:pPr>
        <w:pStyle w:val="SingleTxtG"/>
        <w:ind w:left="3402" w:hanging="567"/>
        <w:rPr>
          <w:lang w:val="de-DE"/>
        </w:rPr>
      </w:pPr>
      <w:r w:rsidRPr="002D396F">
        <w:rPr>
          <w:lang w:val="de-DE"/>
        </w:rPr>
        <w:t>(ii)</w:t>
      </w:r>
      <w:r w:rsidRPr="002D396F">
        <w:rPr>
          <w:lang w:val="de-DE"/>
        </w:rPr>
        <w:tab/>
      </w:r>
      <w:r w:rsidR="003811F4" w:rsidRPr="002D396F">
        <w:rPr>
          <w:lang w:val="de-DE"/>
        </w:rPr>
        <w:t>die anwendbaren Vorschriften des Abschnitts 1.7.3 werden angewendet;</w:t>
      </w:r>
    </w:p>
    <w:p w14:paraId="44087B9B" w14:textId="18F57129" w:rsidR="003811F4" w:rsidRPr="002D396F" w:rsidRDefault="009D2261" w:rsidP="009D2261">
      <w:pPr>
        <w:pStyle w:val="SingleTxtG"/>
        <w:ind w:left="3402" w:hanging="567"/>
        <w:rPr>
          <w:lang w:val="de-DE"/>
        </w:rPr>
      </w:pPr>
      <w:r w:rsidRPr="002D396F">
        <w:rPr>
          <w:lang w:val="de-DE"/>
        </w:rPr>
        <w:t>(iii)</w:t>
      </w:r>
      <w:r w:rsidRPr="002D396F">
        <w:rPr>
          <w:lang w:val="de-DE"/>
        </w:rPr>
        <w:tab/>
      </w:r>
      <w:r w:rsidR="003811F4" w:rsidRPr="002D396F">
        <w:rPr>
          <w:lang w:val="de-DE"/>
        </w:rPr>
        <w:t xml:space="preserve">die Aktivitätsgrenzwerte und die </w:t>
      </w:r>
      <w:r w:rsidR="006D7BF7">
        <w:rPr>
          <w:lang w:val="de-DE"/>
        </w:rPr>
        <w:t>Klassifizierung</w:t>
      </w:r>
      <w:r w:rsidR="006D7BF7" w:rsidRPr="002D396F">
        <w:rPr>
          <w:lang w:val="de-DE"/>
        </w:rPr>
        <w:t xml:space="preserve"> </w:t>
      </w:r>
      <w:r w:rsidR="003811F4" w:rsidRPr="002D396F">
        <w:rPr>
          <w:lang w:val="de-DE"/>
        </w:rPr>
        <w:t>in Abschnitt 2.2.7 werden angewendet;</w:t>
      </w:r>
    </w:p>
    <w:p w14:paraId="44415E9D" w14:textId="0184B9F5" w:rsidR="003811F4" w:rsidRPr="002D396F" w:rsidRDefault="009D2261" w:rsidP="009D2261">
      <w:pPr>
        <w:pStyle w:val="SingleTxtG"/>
        <w:ind w:left="3402" w:hanging="567"/>
        <w:rPr>
          <w:lang w:val="de-DE"/>
        </w:rPr>
      </w:pPr>
      <w:r w:rsidRPr="002D396F">
        <w:rPr>
          <w:lang w:val="de-DE"/>
        </w:rPr>
        <w:t>(iv)</w:t>
      </w:r>
      <w:r w:rsidRPr="002D396F">
        <w:rPr>
          <w:lang w:val="de-DE"/>
        </w:rPr>
        <w:tab/>
      </w:r>
      <w:r w:rsidR="003811F4" w:rsidRPr="002D396F">
        <w:rPr>
          <w:lang w:val="de-DE"/>
        </w:rPr>
        <w:t>die Vorschriften und Beförderungskontrollen in den Teilen 1, 3, 4, 5 und 7 werden angewendet;</w:t>
      </w:r>
    </w:p>
    <w:p w14:paraId="5BD0B4DA" w14:textId="0AAE60E8" w:rsidR="003811F4" w:rsidRPr="002D396F" w:rsidRDefault="009D2261" w:rsidP="009D2261">
      <w:pPr>
        <w:pStyle w:val="SingleTxtG"/>
        <w:ind w:left="3402" w:hanging="567"/>
        <w:rPr>
          <w:lang w:val="de-DE"/>
        </w:rPr>
      </w:pPr>
      <w:r w:rsidRPr="002D396F">
        <w:rPr>
          <w:lang w:val="de-DE"/>
        </w:rPr>
        <w:t>(v)</w:t>
      </w:r>
      <w:r w:rsidRPr="002D396F">
        <w:rPr>
          <w:lang w:val="de-DE"/>
        </w:rPr>
        <w:tab/>
      </w:r>
      <w:r w:rsidR="003811F4" w:rsidRPr="002D396F">
        <w:rPr>
          <w:lang w:val="de-DE"/>
        </w:rPr>
        <w:t>(bleibt offen)</w:t>
      </w:r>
    </w:p>
    <w:p w14:paraId="375E2A2E" w14:textId="0DD8959D" w:rsidR="003811F4" w:rsidRPr="002D396F" w:rsidRDefault="009D2261" w:rsidP="009D2261">
      <w:pPr>
        <w:pStyle w:val="SingleTxtG"/>
        <w:ind w:left="2835" w:hanging="567"/>
        <w:rPr>
          <w:lang w:val="de-DE"/>
        </w:rPr>
      </w:pPr>
      <w:r w:rsidRPr="002D396F">
        <w:rPr>
          <w:lang w:val="de-DE"/>
        </w:rPr>
        <w:t>b)</w:t>
      </w:r>
      <w:r w:rsidRPr="002D396F">
        <w:rPr>
          <w:lang w:val="de-DE"/>
        </w:rPr>
        <w:tab/>
      </w:r>
      <w:r w:rsidR="003811F4" w:rsidRPr="002D396F">
        <w:rPr>
          <w:lang w:val="de-DE"/>
        </w:rPr>
        <w:t xml:space="preserve">Verpackungen, die nach einem Versandstückmuster hergestellt wurden, das von der zuständigen Behörde nach den Vorschriften 1996, 1996 (überarbeitet), 1996 (in der Fassung 2003), 2005 oder 2009 der IAEA </w:t>
      </w:r>
      <w:proofErr w:type="spellStart"/>
      <w:r w:rsidR="003811F4" w:rsidRPr="002D396F">
        <w:rPr>
          <w:lang w:val="de-DE"/>
        </w:rPr>
        <w:t>Safety</w:t>
      </w:r>
      <w:proofErr w:type="spellEnd"/>
      <w:r w:rsidR="003811F4" w:rsidRPr="002D396F">
        <w:rPr>
          <w:lang w:val="de-DE"/>
        </w:rPr>
        <w:t xml:space="preserve"> Series </w:t>
      </w:r>
      <w:proofErr w:type="spellStart"/>
      <w:r w:rsidR="003811F4" w:rsidRPr="002D396F">
        <w:rPr>
          <w:lang w:val="de-DE"/>
        </w:rPr>
        <w:t>No</w:t>
      </w:r>
      <w:proofErr w:type="spellEnd"/>
      <w:r w:rsidR="003811F4" w:rsidRPr="002D396F">
        <w:rPr>
          <w:lang w:val="de-DE"/>
        </w:rPr>
        <w:t xml:space="preserve">. 6 oder der Ausgabe 2012 der IAEA </w:t>
      </w:r>
      <w:proofErr w:type="spellStart"/>
      <w:r w:rsidR="003811F4" w:rsidRPr="002D396F">
        <w:rPr>
          <w:lang w:val="de-DE"/>
        </w:rPr>
        <w:t>Safety</w:t>
      </w:r>
      <w:proofErr w:type="spellEnd"/>
      <w:r w:rsidR="003811F4" w:rsidRPr="002D396F">
        <w:rPr>
          <w:lang w:val="de-DE"/>
        </w:rPr>
        <w:t xml:space="preserve"> Standards Series </w:t>
      </w:r>
      <w:proofErr w:type="spellStart"/>
      <w:r w:rsidR="003811F4" w:rsidRPr="002D396F">
        <w:rPr>
          <w:lang w:val="de-DE"/>
        </w:rPr>
        <w:t>No</w:t>
      </w:r>
      <w:proofErr w:type="spellEnd"/>
      <w:r w:rsidR="003811F4" w:rsidRPr="002D396F">
        <w:rPr>
          <w:lang w:val="de-DE"/>
        </w:rPr>
        <w:t>. SSR-6 zugelassen wurde, weiterverwendet werden dürfen, vorausgesetzt, alle folgenden Bedingungen werden erfüllt:</w:t>
      </w:r>
    </w:p>
    <w:p w14:paraId="314B0BBA" w14:textId="48F06999" w:rsidR="003811F4" w:rsidRPr="002D396F" w:rsidRDefault="009D2261" w:rsidP="009D2261">
      <w:pPr>
        <w:pStyle w:val="SingleTxtG"/>
        <w:ind w:left="3402" w:hanging="567"/>
        <w:rPr>
          <w:lang w:val="de-DE"/>
        </w:rPr>
      </w:pPr>
      <w:r w:rsidRPr="002D396F">
        <w:rPr>
          <w:lang w:val="de-DE"/>
        </w:rPr>
        <w:t>(i)</w:t>
      </w:r>
      <w:r w:rsidRPr="002D396F">
        <w:rPr>
          <w:lang w:val="de-DE"/>
        </w:rPr>
        <w:tab/>
      </w:r>
      <w:r w:rsidR="003811F4" w:rsidRPr="002D396F">
        <w:rPr>
          <w:lang w:val="de-DE"/>
        </w:rPr>
        <w:t>das Versandstückmuster unterliegt nach dem 31.</w:t>
      </w:r>
      <w:r w:rsidRPr="002D396F">
        <w:rPr>
          <w:lang w:val="de-DE"/>
        </w:rPr>
        <w:t> </w:t>
      </w:r>
      <w:r w:rsidR="003811F4" w:rsidRPr="002D396F">
        <w:rPr>
          <w:lang w:val="de-DE"/>
        </w:rPr>
        <w:t>Dezember 2025 einer multilateralen Zulassung;</w:t>
      </w:r>
    </w:p>
    <w:p w14:paraId="522F3F6C" w14:textId="4C300175" w:rsidR="003811F4" w:rsidRPr="002D396F" w:rsidRDefault="003811F4" w:rsidP="009D2261">
      <w:pPr>
        <w:pStyle w:val="SingleTxtG"/>
        <w:ind w:left="3402" w:hanging="567"/>
        <w:rPr>
          <w:lang w:val="de-DE"/>
        </w:rPr>
      </w:pPr>
      <w:r w:rsidRPr="002D396F">
        <w:rPr>
          <w:lang w:val="de-DE"/>
        </w:rPr>
        <w:t>(ii)</w:t>
      </w:r>
      <w:r w:rsidR="009D2261" w:rsidRPr="002D396F">
        <w:rPr>
          <w:lang w:val="de-DE"/>
        </w:rPr>
        <w:tab/>
      </w:r>
      <w:r w:rsidRPr="002D396F">
        <w:rPr>
          <w:lang w:val="de-DE"/>
        </w:rPr>
        <w:t>die anwendbaren Vorschriften des Abschnitts 1.7.3 werden angewendet;</w:t>
      </w:r>
    </w:p>
    <w:p w14:paraId="2F08D581" w14:textId="5A732DA2" w:rsidR="003811F4" w:rsidRPr="002D396F" w:rsidRDefault="009D2261" w:rsidP="009D2261">
      <w:pPr>
        <w:pStyle w:val="SingleTxtG"/>
        <w:ind w:left="3402" w:hanging="567"/>
        <w:rPr>
          <w:lang w:val="de-DE"/>
        </w:rPr>
      </w:pPr>
      <w:r w:rsidRPr="002D396F">
        <w:rPr>
          <w:lang w:val="de-DE"/>
        </w:rPr>
        <w:t>(iii)</w:t>
      </w:r>
      <w:r w:rsidRPr="002D396F">
        <w:rPr>
          <w:lang w:val="de-DE"/>
        </w:rPr>
        <w:tab/>
      </w:r>
      <w:r w:rsidR="003811F4" w:rsidRPr="002D396F">
        <w:rPr>
          <w:lang w:val="de-DE"/>
        </w:rPr>
        <w:t>die Aktivitätsgrenzwerte und die Stoffbegrenzungen des Abschnitts 2.2.7 werden angewendet;</w:t>
      </w:r>
    </w:p>
    <w:p w14:paraId="19C8CA7B" w14:textId="4A8B4C23" w:rsidR="003811F4" w:rsidRPr="002D396F" w:rsidRDefault="009D2261" w:rsidP="009D2261">
      <w:pPr>
        <w:pStyle w:val="SingleTxtG"/>
        <w:ind w:left="3402" w:hanging="567"/>
        <w:rPr>
          <w:lang w:val="de-DE"/>
        </w:rPr>
      </w:pPr>
      <w:r w:rsidRPr="002D396F">
        <w:rPr>
          <w:lang w:val="de-DE"/>
        </w:rPr>
        <w:t>(iv)</w:t>
      </w:r>
      <w:r w:rsidRPr="002D396F">
        <w:rPr>
          <w:lang w:val="de-DE"/>
        </w:rPr>
        <w:tab/>
      </w:r>
      <w:r w:rsidR="003811F4" w:rsidRPr="002D396F">
        <w:rPr>
          <w:lang w:val="de-DE"/>
        </w:rPr>
        <w:t>die Vorschriften und Beförderungskontrollen in den Teilen 1, 3, 4, 5 und 7 werden angewendet.</w:t>
      </w:r>
    </w:p>
    <w:p w14:paraId="47F1A227" w14:textId="70AA1E68" w:rsidR="003811F4" w:rsidRPr="002D396F" w:rsidRDefault="009D2261" w:rsidP="009D2261">
      <w:pPr>
        <w:pStyle w:val="SingleTxtG"/>
        <w:ind w:left="2268" w:hanging="1134"/>
        <w:rPr>
          <w:lang w:val="de-DE"/>
        </w:rPr>
      </w:pPr>
      <w:r w:rsidRPr="002D396F">
        <w:rPr>
          <w:lang w:val="de-DE"/>
        </w:rPr>
        <w:t>1.6.6.2.2</w:t>
      </w:r>
      <w:r w:rsidRPr="002D396F">
        <w:rPr>
          <w:lang w:val="de-DE"/>
        </w:rPr>
        <w:tab/>
      </w:r>
      <w:r w:rsidR="003811F4" w:rsidRPr="002D396F">
        <w:rPr>
          <w:lang w:val="de-DE"/>
        </w:rPr>
        <w:t>[unverändert]</w:t>
      </w:r>
    </w:p>
    <w:p w14:paraId="759625E8" w14:textId="586E4776" w:rsidR="003811F4" w:rsidRPr="002D396F" w:rsidRDefault="009D2261" w:rsidP="009D2261">
      <w:pPr>
        <w:pStyle w:val="SingleTxtG"/>
        <w:ind w:left="2268" w:hanging="1134"/>
        <w:rPr>
          <w:lang w:val="de-DE"/>
        </w:rPr>
      </w:pPr>
      <w:r w:rsidRPr="002D396F">
        <w:rPr>
          <w:lang w:val="de-DE"/>
        </w:rPr>
        <w:t>1.6.6.2.3</w:t>
      </w:r>
      <w:r w:rsidRPr="002D396F">
        <w:rPr>
          <w:lang w:val="de-DE"/>
        </w:rPr>
        <w:tab/>
      </w:r>
      <w:r w:rsidR="003811F4" w:rsidRPr="002D396F">
        <w:rPr>
          <w:lang w:val="de-DE"/>
        </w:rPr>
        <w:t xml:space="preserve">Die Neuaufnahme der Herstellung von Verpackungen eines Versandstückmusters, das den Vorschriften der Ausgaben 1996, 1996 (überarbeitet), 1996 (in der Fassung 2003), 2005 oder 2009 der IAEA </w:t>
      </w:r>
      <w:proofErr w:type="spellStart"/>
      <w:r w:rsidR="003811F4" w:rsidRPr="002D396F">
        <w:rPr>
          <w:lang w:val="de-DE"/>
        </w:rPr>
        <w:t>Safety</w:t>
      </w:r>
      <w:proofErr w:type="spellEnd"/>
      <w:r w:rsidR="003811F4" w:rsidRPr="002D396F">
        <w:rPr>
          <w:lang w:val="de-DE"/>
        </w:rPr>
        <w:t xml:space="preserve"> Series </w:t>
      </w:r>
      <w:proofErr w:type="spellStart"/>
      <w:r w:rsidR="003811F4" w:rsidRPr="002D396F">
        <w:rPr>
          <w:lang w:val="de-DE"/>
        </w:rPr>
        <w:t>No</w:t>
      </w:r>
      <w:proofErr w:type="spellEnd"/>
      <w:r w:rsidR="003811F4" w:rsidRPr="002D396F">
        <w:rPr>
          <w:lang w:val="de-DE"/>
        </w:rPr>
        <w:t xml:space="preserve">. 6 oder der Ausgabe 2012 der IAEA </w:t>
      </w:r>
      <w:proofErr w:type="spellStart"/>
      <w:r w:rsidR="003811F4" w:rsidRPr="002D396F">
        <w:rPr>
          <w:lang w:val="de-DE"/>
        </w:rPr>
        <w:t>Safety</w:t>
      </w:r>
      <w:proofErr w:type="spellEnd"/>
      <w:r w:rsidR="003811F4" w:rsidRPr="002D396F">
        <w:rPr>
          <w:lang w:val="de-DE"/>
        </w:rPr>
        <w:t xml:space="preserve"> Standards Series </w:t>
      </w:r>
      <w:proofErr w:type="spellStart"/>
      <w:r w:rsidR="003811F4" w:rsidRPr="002D396F">
        <w:rPr>
          <w:lang w:val="de-DE"/>
        </w:rPr>
        <w:t>No</w:t>
      </w:r>
      <w:proofErr w:type="spellEnd"/>
      <w:r w:rsidR="003811F4" w:rsidRPr="002D396F">
        <w:rPr>
          <w:lang w:val="de-DE"/>
        </w:rPr>
        <w:t xml:space="preserve">. SSR-6 entspricht, </w:t>
      </w:r>
      <w:r w:rsidR="006D7BF7">
        <w:rPr>
          <w:lang w:val="de-DE"/>
        </w:rPr>
        <w:t xml:space="preserve">darf </w:t>
      </w:r>
      <w:r w:rsidR="003811F4" w:rsidRPr="002D396F">
        <w:rPr>
          <w:lang w:val="de-DE"/>
        </w:rPr>
        <w:t>nach dem 31. Dezember 2028 nicht genehmigt werden.</w:t>
      </w:r>
      <w:r w:rsidRPr="002D396F">
        <w:rPr>
          <w:lang w:val="de-DE"/>
        </w:rPr>
        <w:t>“</w:t>
      </w:r>
      <w:r w:rsidR="00A05041">
        <w:rPr>
          <w:lang w:val="de-DE"/>
        </w:rPr>
        <w:t>.</w:t>
      </w:r>
    </w:p>
    <w:p w14:paraId="4FBE19FF" w14:textId="77777777" w:rsidR="006F03A7" w:rsidRPr="002D396F" w:rsidRDefault="006F03A7">
      <w:pPr>
        <w:suppressAutoHyphens w:val="0"/>
        <w:spacing w:line="240" w:lineRule="auto"/>
        <w:rPr>
          <w:b/>
          <w:lang w:val="de-DE" w:bidi="de-DE"/>
        </w:rPr>
      </w:pPr>
      <w:r w:rsidRPr="002D396F">
        <w:rPr>
          <w:b/>
          <w:lang w:val="de-DE" w:bidi="de-DE"/>
        </w:rPr>
        <w:br w:type="page"/>
      </w:r>
    </w:p>
    <w:p w14:paraId="572DA598" w14:textId="2565DC38" w:rsidR="003811F4" w:rsidRPr="002D396F" w:rsidRDefault="003811F4" w:rsidP="003811F4">
      <w:pPr>
        <w:pStyle w:val="SingleTxtG"/>
        <w:ind w:left="2268" w:hanging="1134"/>
        <w:rPr>
          <w:lang w:val="de-DE" w:bidi="de-DE"/>
        </w:rPr>
      </w:pPr>
      <w:r w:rsidRPr="002D396F">
        <w:rPr>
          <w:b/>
          <w:lang w:val="de-DE" w:bidi="de-DE"/>
        </w:rPr>
        <w:lastRenderedPageBreak/>
        <w:t>1.6.6.4</w:t>
      </w:r>
      <w:r w:rsidRPr="002D396F">
        <w:rPr>
          <w:b/>
          <w:lang w:val="de-DE" w:bidi="de-DE"/>
        </w:rPr>
        <w:tab/>
      </w:r>
      <w:r w:rsidRPr="002D396F">
        <w:rPr>
          <w:lang w:val="de-DE" w:bidi="de-DE"/>
        </w:rPr>
        <w:t>erhält folgenden Wortlaut:</w:t>
      </w:r>
    </w:p>
    <w:p w14:paraId="006BC830" w14:textId="6869418A" w:rsidR="003811F4" w:rsidRPr="002D396F" w:rsidRDefault="009D2261" w:rsidP="003811F4">
      <w:pPr>
        <w:pStyle w:val="SingleTxtG"/>
        <w:ind w:left="2268" w:hanging="1134"/>
        <w:rPr>
          <w:b/>
          <w:bCs/>
          <w:lang w:val="de-DE" w:bidi="de-DE"/>
        </w:rPr>
      </w:pPr>
      <w:r w:rsidRPr="002D396F">
        <w:rPr>
          <w:bCs/>
          <w:lang w:val="de-DE" w:bidi="de-DE"/>
        </w:rPr>
        <w:t>„</w:t>
      </w:r>
      <w:r w:rsidR="003811F4" w:rsidRPr="002D396F">
        <w:rPr>
          <w:b/>
          <w:bCs/>
          <w:lang w:val="de-DE" w:bidi="de-DE"/>
        </w:rPr>
        <w:t>1.6.6.4</w:t>
      </w:r>
      <w:r w:rsidR="003811F4" w:rsidRPr="002D396F">
        <w:rPr>
          <w:b/>
          <w:bCs/>
          <w:lang w:val="de-DE" w:bidi="de-DE"/>
        </w:rPr>
        <w:tab/>
        <w:t xml:space="preserve">Radioaktive Stoffe in besonderer Form, die nach den Vorschriften der Ausgaben 1985, 1985 (in der Fassung 1990), 1996, 1996 (überarbeitet), 1996 (in der Fassung 2003), 2005 und 2009 der IAEA </w:t>
      </w:r>
      <w:proofErr w:type="spellStart"/>
      <w:r w:rsidR="003811F4" w:rsidRPr="002D396F">
        <w:rPr>
          <w:b/>
          <w:bCs/>
          <w:lang w:val="de-DE" w:bidi="de-DE"/>
        </w:rPr>
        <w:t>Safety</w:t>
      </w:r>
      <w:proofErr w:type="spellEnd"/>
      <w:r w:rsidR="003811F4" w:rsidRPr="002D396F">
        <w:rPr>
          <w:b/>
          <w:bCs/>
          <w:lang w:val="de-DE" w:bidi="de-DE"/>
        </w:rPr>
        <w:t xml:space="preserve"> Series </w:t>
      </w:r>
      <w:proofErr w:type="spellStart"/>
      <w:r w:rsidR="003811F4" w:rsidRPr="002D396F">
        <w:rPr>
          <w:b/>
          <w:bCs/>
          <w:lang w:val="de-DE" w:bidi="de-DE"/>
        </w:rPr>
        <w:t>No</w:t>
      </w:r>
      <w:proofErr w:type="spellEnd"/>
      <w:r w:rsidR="003811F4" w:rsidRPr="002D396F">
        <w:rPr>
          <w:b/>
          <w:bCs/>
          <w:lang w:val="de-DE" w:bidi="de-DE"/>
        </w:rPr>
        <w:t xml:space="preserve">. 6 und der Ausgabe 2012 der IAEA </w:t>
      </w:r>
      <w:proofErr w:type="spellStart"/>
      <w:r w:rsidR="003811F4" w:rsidRPr="002D396F">
        <w:rPr>
          <w:b/>
          <w:bCs/>
          <w:lang w:val="de-DE" w:bidi="de-DE"/>
        </w:rPr>
        <w:t>Safety</w:t>
      </w:r>
      <w:proofErr w:type="spellEnd"/>
      <w:r w:rsidR="003811F4" w:rsidRPr="002D396F">
        <w:rPr>
          <w:b/>
          <w:bCs/>
          <w:lang w:val="de-DE" w:bidi="de-DE"/>
        </w:rPr>
        <w:t xml:space="preserve"> Standards Series </w:t>
      </w:r>
      <w:proofErr w:type="spellStart"/>
      <w:r w:rsidR="003811F4" w:rsidRPr="002D396F">
        <w:rPr>
          <w:b/>
          <w:bCs/>
          <w:lang w:val="de-DE" w:bidi="de-DE"/>
        </w:rPr>
        <w:t>No</w:t>
      </w:r>
      <w:proofErr w:type="spellEnd"/>
      <w:r w:rsidR="003811F4" w:rsidRPr="002D396F">
        <w:rPr>
          <w:b/>
          <w:bCs/>
          <w:lang w:val="de-DE" w:bidi="de-DE"/>
        </w:rPr>
        <w:t>. SSR-6 zugelassen wurden</w:t>
      </w:r>
    </w:p>
    <w:p w14:paraId="7290A923" w14:textId="4EA6E17A" w:rsidR="003811F4" w:rsidRPr="002D396F" w:rsidRDefault="003811F4" w:rsidP="009D2261">
      <w:pPr>
        <w:pStyle w:val="SingleTxtG"/>
        <w:ind w:left="2268"/>
        <w:rPr>
          <w:lang w:val="de-DE" w:bidi="de-DE"/>
        </w:rPr>
      </w:pPr>
      <w:r w:rsidRPr="002D396F">
        <w:rPr>
          <w:lang w:val="de-DE" w:bidi="de-DE"/>
        </w:rPr>
        <w:t>Radioaktive Stoffe in besonderer Form, die nach einer Bauart hergestellt wurden, die eine unilaterale Zulassung durch die zuständige Behörde nach den Vorschriften der Ausgaben 1985, 1985 (in der Fassung 1990), 1996, 1996 (überarbeitet), 1996 (in der</w:t>
      </w:r>
      <w:r w:rsidR="009D2261" w:rsidRPr="002D396F">
        <w:rPr>
          <w:lang w:val="de-DE" w:bidi="de-DE"/>
        </w:rPr>
        <w:t xml:space="preserve"> </w:t>
      </w:r>
      <w:r w:rsidRPr="002D396F">
        <w:rPr>
          <w:lang w:val="de-DE" w:bidi="de-DE"/>
        </w:rPr>
        <w:t xml:space="preserve">Fassung 2003), 2005 und 2009 der IAEA </w:t>
      </w:r>
      <w:proofErr w:type="spellStart"/>
      <w:r w:rsidRPr="002D396F">
        <w:rPr>
          <w:lang w:val="de-DE" w:bidi="de-DE"/>
        </w:rPr>
        <w:t>Safety</w:t>
      </w:r>
      <w:proofErr w:type="spellEnd"/>
      <w:r w:rsidRPr="002D396F">
        <w:rPr>
          <w:lang w:val="de-DE" w:bidi="de-DE"/>
        </w:rPr>
        <w:t xml:space="preserve"> Series </w:t>
      </w:r>
      <w:proofErr w:type="spellStart"/>
      <w:r w:rsidRPr="002D396F">
        <w:rPr>
          <w:lang w:val="de-DE" w:bidi="de-DE"/>
        </w:rPr>
        <w:t>No</w:t>
      </w:r>
      <w:proofErr w:type="spellEnd"/>
      <w:r w:rsidRPr="002D396F">
        <w:rPr>
          <w:lang w:val="de-DE" w:bidi="de-DE"/>
        </w:rPr>
        <w:t xml:space="preserve">. 6 und der Ausgabe 2012 der IAEA </w:t>
      </w:r>
      <w:proofErr w:type="spellStart"/>
      <w:r w:rsidRPr="002D396F">
        <w:rPr>
          <w:lang w:val="de-DE" w:bidi="de-DE"/>
        </w:rPr>
        <w:t>Safety</w:t>
      </w:r>
      <w:proofErr w:type="spellEnd"/>
      <w:r w:rsidRPr="002D396F">
        <w:rPr>
          <w:lang w:val="de-DE" w:bidi="de-DE"/>
        </w:rPr>
        <w:t xml:space="preserve"> Standards Series </w:t>
      </w:r>
      <w:proofErr w:type="spellStart"/>
      <w:r w:rsidRPr="002D396F">
        <w:rPr>
          <w:lang w:val="de-DE" w:bidi="de-DE"/>
        </w:rPr>
        <w:t>No</w:t>
      </w:r>
      <w:proofErr w:type="spellEnd"/>
      <w:r w:rsidRPr="002D396F">
        <w:rPr>
          <w:lang w:val="de-DE" w:bidi="de-DE"/>
        </w:rPr>
        <w:t xml:space="preserve">. SSR-6 erhalten hat, dürfen weiterverwendet werden, wenn das vorgeschriebene Managementsystem nach den anwendbaren Vorschriften des Abschnitts 1.7.3 erfüllt wird. Eine erneute Herstellung von radioaktiven Stoffen in besonderer Form nach einer Bauart, die nach den Vorschriften der Ausgabe 1985 oder 1985 (in der Fassung 1990) der IAEA </w:t>
      </w:r>
      <w:proofErr w:type="spellStart"/>
      <w:r w:rsidRPr="002D396F">
        <w:rPr>
          <w:lang w:val="de-DE" w:bidi="de-DE"/>
        </w:rPr>
        <w:t>Safety</w:t>
      </w:r>
      <w:proofErr w:type="spellEnd"/>
      <w:r w:rsidRPr="002D396F">
        <w:rPr>
          <w:lang w:val="de-DE" w:bidi="de-DE"/>
        </w:rPr>
        <w:t xml:space="preserve"> Series </w:t>
      </w:r>
      <w:proofErr w:type="spellStart"/>
      <w:r w:rsidRPr="002D396F">
        <w:rPr>
          <w:lang w:val="de-DE" w:bidi="de-DE"/>
        </w:rPr>
        <w:t>No</w:t>
      </w:r>
      <w:proofErr w:type="spellEnd"/>
      <w:r w:rsidRPr="002D396F">
        <w:rPr>
          <w:lang w:val="de-DE" w:bidi="de-DE"/>
        </w:rPr>
        <w:t xml:space="preserve">. 6 eine unilaterale Zulassung durch die zuständige Behörde erhalten hat, darf nicht erfolgen. Die Neuaufnahme der Herstellung von radioaktiven Stoffen in besonderer Form nach einer Bauart, die nach den Vorschriften der Ausgabe 1996, 1996 (überarbeitet), 1996 (in der Fassung 2003), 2005 und 2009 der IAEA </w:t>
      </w:r>
      <w:proofErr w:type="spellStart"/>
      <w:r w:rsidRPr="002D396F">
        <w:rPr>
          <w:lang w:val="de-DE" w:bidi="de-DE"/>
        </w:rPr>
        <w:t>Safety</w:t>
      </w:r>
      <w:proofErr w:type="spellEnd"/>
      <w:r w:rsidRPr="002D396F">
        <w:rPr>
          <w:lang w:val="de-DE" w:bidi="de-DE"/>
        </w:rPr>
        <w:t xml:space="preserve"> Series </w:t>
      </w:r>
      <w:proofErr w:type="spellStart"/>
      <w:r w:rsidRPr="002D396F">
        <w:rPr>
          <w:lang w:val="de-DE" w:bidi="de-DE"/>
        </w:rPr>
        <w:t>No</w:t>
      </w:r>
      <w:proofErr w:type="spellEnd"/>
      <w:r w:rsidRPr="002D396F">
        <w:rPr>
          <w:lang w:val="de-DE" w:bidi="de-DE"/>
        </w:rPr>
        <w:t xml:space="preserve">. 6 und der Ausgabe 2012 der IAEA </w:t>
      </w:r>
      <w:proofErr w:type="spellStart"/>
      <w:r w:rsidRPr="002D396F">
        <w:rPr>
          <w:lang w:val="de-DE" w:bidi="de-DE"/>
        </w:rPr>
        <w:t>Safety</w:t>
      </w:r>
      <w:proofErr w:type="spellEnd"/>
      <w:r w:rsidRPr="002D396F">
        <w:rPr>
          <w:lang w:val="de-DE" w:bidi="de-DE"/>
        </w:rPr>
        <w:t xml:space="preserve"> Standards Series </w:t>
      </w:r>
      <w:proofErr w:type="spellStart"/>
      <w:r w:rsidRPr="002D396F">
        <w:rPr>
          <w:lang w:val="de-DE" w:bidi="de-DE"/>
        </w:rPr>
        <w:t>No</w:t>
      </w:r>
      <w:proofErr w:type="spellEnd"/>
      <w:r w:rsidRPr="002D396F">
        <w:rPr>
          <w:lang w:val="de-DE" w:bidi="de-DE"/>
        </w:rPr>
        <w:t xml:space="preserve">. SSR-6 eine unilaterale Zulassung durch die zuständige Behörde erhalten hat, </w:t>
      </w:r>
      <w:r w:rsidR="006D7BF7">
        <w:rPr>
          <w:lang w:val="de-DE" w:bidi="de-DE"/>
        </w:rPr>
        <w:t xml:space="preserve">darf </w:t>
      </w:r>
      <w:r w:rsidRPr="002D396F">
        <w:rPr>
          <w:lang w:val="de-DE" w:bidi="de-DE"/>
        </w:rPr>
        <w:t>nach dem 31. Dezember 2025 nicht genehmigt werden.</w:t>
      </w:r>
      <w:r w:rsidR="009D2261" w:rsidRPr="002D396F">
        <w:rPr>
          <w:lang w:val="de-DE" w:bidi="de-DE"/>
        </w:rPr>
        <w:t>“</w:t>
      </w:r>
      <w:r w:rsidR="00A05041">
        <w:rPr>
          <w:lang w:val="de-DE" w:bidi="de-DE"/>
        </w:rPr>
        <w:t>.</w:t>
      </w:r>
    </w:p>
    <w:p w14:paraId="0E95F8ED" w14:textId="2844C359" w:rsidR="003A1330" w:rsidRPr="002D396F" w:rsidRDefault="003A1330" w:rsidP="003A1330">
      <w:pPr>
        <w:pStyle w:val="H1G"/>
        <w:rPr>
          <w:lang w:val="de-DE"/>
        </w:rPr>
      </w:pPr>
      <w:r w:rsidRPr="002D396F">
        <w:rPr>
          <w:lang w:val="de-DE"/>
        </w:rPr>
        <w:tab/>
      </w:r>
      <w:r w:rsidRPr="002D396F">
        <w:rPr>
          <w:lang w:val="de-DE"/>
        </w:rPr>
        <w:tab/>
      </w:r>
      <w:r w:rsidR="009D2261" w:rsidRPr="002D396F">
        <w:rPr>
          <w:lang w:val="de-DE"/>
        </w:rPr>
        <w:t>Kapitel</w:t>
      </w:r>
      <w:r w:rsidRPr="002D396F">
        <w:rPr>
          <w:lang w:val="de-DE"/>
        </w:rPr>
        <w:t xml:space="preserve"> 1.7</w:t>
      </w:r>
    </w:p>
    <w:p w14:paraId="0432F14E" w14:textId="77777777" w:rsidR="00987849" w:rsidRPr="002D396F" w:rsidRDefault="003A1330" w:rsidP="00987849">
      <w:pPr>
        <w:pStyle w:val="SingleTxtG"/>
        <w:tabs>
          <w:tab w:val="left" w:pos="2268"/>
        </w:tabs>
        <w:rPr>
          <w:lang w:val="de-DE" w:bidi="de-DE"/>
        </w:rPr>
      </w:pPr>
      <w:r w:rsidRPr="002D396F">
        <w:rPr>
          <w:lang w:val="de-DE"/>
        </w:rPr>
        <w:t>1.7.1</w:t>
      </w:r>
      <w:r w:rsidR="00987849" w:rsidRPr="002D396F">
        <w:rPr>
          <w:lang w:val="de-DE"/>
        </w:rPr>
        <w:tab/>
      </w:r>
      <w:r w:rsidR="00987849" w:rsidRPr="002D396F">
        <w:rPr>
          <w:lang w:val="de-DE" w:bidi="de-DE"/>
        </w:rPr>
        <w:t>In der Bem. 1 folgende Änderungen vornehmen:</w:t>
      </w:r>
    </w:p>
    <w:p w14:paraId="47335DEB" w14:textId="3767AB40" w:rsidR="00987849" w:rsidRPr="002D396F" w:rsidRDefault="00987849" w:rsidP="00987849">
      <w:pPr>
        <w:pStyle w:val="SingleTxtG"/>
        <w:numPr>
          <w:ilvl w:val="3"/>
          <w:numId w:val="42"/>
        </w:numPr>
        <w:ind w:left="2694"/>
        <w:rPr>
          <w:lang w:val="de-DE" w:bidi="de-DE"/>
        </w:rPr>
      </w:pPr>
      <w:r w:rsidRPr="002D396F">
        <w:rPr>
          <w:lang w:val="de-DE" w:bidi="de-DE"/>
        </w:rPr>
        <w:t>Im ersten Satz „Bei Unfällen oder Zwischenfällen“ ändern in: „Bei nuklearen oder radiologischen Notfällen“.</w:t>
      </w:r>
    </w:p>
    <w:p w14:paraId="18A6D44B" w14:textId="4ACC16AD" w:rsidR="00987849" w:rsidRPr="002D396F" w:rsidRDefault="00987849" w:rsidP="00987849">
      <w:pPr>
        <w:pStyle w:val="SingleTxtG"/>
        <w:numPr>
          <w:ilvl w:val="3"/>
          <w:numId w:val="42"/>
        </w:numPr>
        <w:ind w:left="2694"/>
        <w:rPr>
          <w:lang w:val="de-DE" w:bidi="de-DE"/>
        </w:rPr>
      </w:pPr>
      <w:r w:rsidRPr="002D396F">
        <w:rPr>
          <w:lang w:val="de-DE" w:bidi="de-DE"/>
        </w:rPr>
        <w:t>Im ersten Satz „Notfallvorschriften“ ändern in: „Vorschriften“.</w:t>
      </w:r>
    </w:p>
    <w:p w14:paraId="532B0581" w14:textId="77777777" w:rsidR="00987849" w:rsidRPr="002D396F" w:rsidRDefault="00987849" w:rsidP="00987849">
      <w:pPr>
        <w:pStyle w:val="SingleTxtG"/>
        <w:numPr>
          <w:ilvl w:val="3"/>
          <w:numId w:val="42"/>
        </w:numPr>
        <w:ind w:left="2694"/>
        <w:rPr>
          <w:lang w:val="de-DE" w:bidi="de-DE"/>
        </w:rPr>
      </w:pPr>
      <w:r w:rsidRPr="002D396F">
        <w:rPr>
          <w:lang w:val="de-DE" w:bidi="de-DE"/>
        </w:rPr>
        <w:t>Der zweite Satz erhält folgenden Wortlaut:</w:t>
      </w:r>
    </w:p>
    <w:p w14:paraId="09DEEEA4" w14:textId="7324F2A3" w:rsidR="00987849" w:rsidRPr="002D396F" w:rsidRDefault="00987849" w:rsidP="00987849">
      <w:pPr>
        <w:pStyle w:val="SingleTxtG"/>
        <w:ind w:left="2694" w:firstLine="9"/>
        <w:rPr>
          <w:lang w:val="de-DE" w:bidi="de-DE"/>
        </w:rPr>
      </w:pPr>
      <w:r w:rsidRPr="002D396F">
        <w:rPr>
          <w:lang w:val="de-DE" w:bidi="de-DE"/>
        </w:rPr>
        <w:t xml:space="preserve">„Dies schließt Vorkehrungen für die Vorbereitung und Reaktion ein, die in Übereinstimmung mit den nationalen und/oder internationalen Anforderungen und in kohärenter und koordinierter Weise mit den nationalen und/oder internationalen </w:t>
      </w:r>
      <w:r w:rsidR="006D7BF7" w:rsidRPr="002D396F">
        <w:rPr>
          <w:lang w:val="de-DE" w:bidi="de-DE"/>
        </w:rPr>
        <w:t>Notfall</w:t>
      </w:r>
      <w:r w:rsidR="006D7BF7">
        <w:rPr>
          <w:lang w:val="de-DE" w:bidi="de-DE"/>
        </w:rPr>
        <w:t>vorkehrungen</w:t>
      </w:r>
      <w:r w:rsidR="006D7BF7" w:rsidRPr="002D396F">
        <w:rPr>
          <w:lang w:val="de-DE" w:bidi="de-DE"/>
        </w:rPr>
        <w:t xml:space="preserve"> </w:t>
      </w:r>
      <w:r w:rsidRPr="002D396F">
        <w:rPr>
          <w:lang w:val="de-DE" w:bidi="de-DE"/>
        </w:rPr>
        <w:t>getroffen werden.“</w:t>
      </w:r>
      <w:r w:rsidR="00A05041">
        <w:rPr>
          <w:lang w:val="de-DE" w:bidi="de-DE"/>
        </w:rPr>
        <w:t>.</w:t>
      </w:r>
    </w:p>
    <w:p w14:paraId="4051D837" w14:textId="77777777" w:rsidR="00FC06C9" w:rsidRDefault="00FC06C9">
      <w:pPr>
        <w:suppressAutoHyphens w:val="0"/>
        <w:spacing w:line="240" w:lineRule="auto"/>
        <w:rPr>
          <w:lang w:val="de-DE" w:bidi="de-DE"/>
        </w:rPr>
      </w:pPr>
      <w:r>
        <w:rPr>
          <w:lang w:val="de-DE" w:bidi="de-DE"/>
        </w:rPr>
        <w:br w:type="page"/>
      </w:r>
    </w:p>
    <w:p w14:paraId="407D33BE" w14:textId="0210246B" w:rsidR="00084222" w:rsidRPr="002D396F" w:rsidRDefault="00084222" w:rsidP="00084222">
      <w:pPr>
        <w:pStyle w:val="SingleTxtG"/>
        <w:tabs>
          <w:tab w:val="left" w:pos="2268"/>
        </w:tabs>
        <w:ind w:left="2259" w:hanging="1125"/>
        <w:rPr>
          <w:lang w:val="de-DE" w:bidi="de-DE"/>
        </w:rPr>
      </w:pPr>
      <w:r w:rsidRPr="002D396F">
        <w:rPr>
          <w:lang w:val="de-DE" w:bidi="de-DE"/>
        </w:rPr>
        <w:lastRenderedPageBreak/>
        <w:t>1.7.1</w:t>
      </w:r>
      <w:r w:rsidRPr="002D396F">
        <w:rPr>
          <w:lang w:val="de-DE" w:bidi="de-DE"/>
        </w:rPr>
        <w:tab/>
        <w:t>Die Bem. 2 erhält folgenden Wortlaut:</w:t>
      </w:r>
    </w:p>
    <w:p w14:paraId="37317D67" w14:textId="2B12052F" w:rsidR="00084222" w:rsidRPr="002D396F" w:rsidRDefault="00084222" w:rsidP="00084222">
      <w:pPr>
        <w:pStyle w:val="SingleTxtG"/>
        <w:tabs>
          <w:tab w:val="left" w:pos="2268"/>
        </w:tabs>
        <w:ind w:left="2259" w:hanging="1125"/>
        <w:rPr>
          <w:lang w:val="de-DE" w:bidi="de-DE"/>
        </w:rPr>
      </w:pPr>
      <w:r w:rsidRPr="002D396F">
        <w:rPr>
          <w:lang w:val="de-DE" w:bidi="de-DE"/>
        </w:rPr>
        <w:tab/>
      </w:r>
      <w:r w:rsidRPr="002D396F">
        <w:rPr>
          <w:b/>
          <w:bCs/>
          <w:lang w:val="de-DE" w:bidi="de-DE"/>
        </w:rPr>
        <w:t>„2.</w:t>
      </w:r>
      <w:r w:rsidRPr="002D396F">
        <w:rPr>
          <w:lang w:val="de-DE" w:bidi="de-DE"/>
        </w:rPr>
        <w:t xml:space="preserve"> Die Vorkehrungen für die Vorbereitung und Reaktion müssen auf einem abgestuften Ansatz basieren und die festgestellten Gefahren und ihre möglichen Folgen, einschließlich der Bildung anderer gefährlicher Stoffe, die sich aus der Reaktion zwischen dem Inhalt einer Sendung und der Umgebung bei einem nuklearen oder radiologischen Notfall ergeben können, berücksichtigen. Leitlinien für das Treffen solcher Vorkehrungen sind in </w:t>
      </w:r>
      <w:r w:rsidR="00070855" w:rsidRPr="002D396F">
        <w:rPr>
          <w:lang w:val="de-DE" w:bidi="de-DE"/>
        </w:rPr>
        <w:t>„</w:t>
      </w:r>
      <w:proofErr w:type="spellStart"/>
      <w:r w:rsidRPr="002D396F">
        <w:rPr>
          <w:lang w:val="de-DE" w:bidi="de-DE"/>
        </w:rPr>
        <w:t>Preparedness</w:t>
      </w:r>
      <w:proofErr w:type="spellEnd"/>
      <w:r w:rsidRPr="002D396F">
        <w:rPr>
          <w:lang w:val="de-DE" w:bidi="de-DE"/>
        </w:rPr>
        <w:t xml:space="preserve"> and Response </w:t>
      </w:r>
      <w:proofErr w:type="spellStart"/>
      <w:r w:rsidRPr="002D396F">
        <w:rPr>
          <w:lang w:val="de-DE" w:bidi="de-DE"/>
        </w:rPr>
        <w:t>for</w:t>
      </w:r>
      <w:proofErr w:type="spellEnd"/>
      <w:r w:rsidRPr="002D396F">
        <w:rPr>
          <w:lang w:val="de-DE" w:bidi="de-DE"/>
        </w:rPr>
        <w:t xml:space="preserve"> a </w:t>
      </w:r>
      <w:proofErr w:type="spellStart"/>
      <w:r w:rsidRPr="002D396F">
        <w:rPr>
          <w:lang w:val="de-DE" w:bidi="de-DE"/>
        </w:rPr>
        <w:t>Nuclear</w:t>
      </w:r>
      <w:proofErr w:type="spellEnd"/>
      <w:r w:rsidRPr="002D396F">
        <w:rPr>
          <w:lang w:val="de-DE" w:bidi="de-DE"/>
        </w:rPr>
        <w:t xml:space="preserve"> </w:t>
      </w:r>
      <w:proofErr w:type="spellStart"/>
      <w:r w:rsidRPr="002D396F">
        <w:rPr>
          <w:lang w:val="de-DE" w:bidi="de-DE"/>
        </w:rPr>
        <w:t>or</w:t>
      </w:r>
      <w:proofErr w:type="spellEnd"/>
      <w:r w:rsidRPr="002D396F">
        <w:rPr>
          <w:lang w:val="de-DE" w:bidi="de-DE"/>
        </w:rPr>
        <w:t xml:space="preserve"> Radiological Emergency</w:t>
      </w:r>
      <w:r w:rsidR="00070855" w:rsidRPr="002D396F">
        <w:rPr>
          <w:lang w:val="de-DE" w:bidi="de-DE"/>
        </w:rPr>
        <w:t>“</w:t>
      </w:r>
      <w:r w:rsidRPr="002D396F">
        <w:rPr>
          <w:lang w:val="de-DE" w:bidi="de-DE"/>
        </w:rPr>
        <w:t xml:space="preserve"> (Vorbereitung und Reaktion auf einen nuklearen oder radiologischen Notfall), IAEA </w:t>
      </w:r>
      <w:proofErr w:type="spellStart"/>
      <w:r w:rsidRPr="002D396F">
        <w:rPr>
          <w:lang w:val="de-DE" w:bidi="de-DE"/>
        </w:rPr>
        <w:t>Safety</w:t>
      </w:r>
      <w:proofErr w:type="spellEnd"/>
      <w:r w:rsidRPr="002D396F">
        <w:rPr>
          <w:lang w:val="de-DE" w:bidi="de-DE"/>
        </w:rPr>
        <w:t xml:space="preserve"> Standards Series </w:t>
      </w:r>
      <w:proofErr w:type="spellStart"/>
      <w:r w:rsidRPr="002D396F">
        <w:rPr>
          <w:lang w:val="de-DE" w:bidi="de-DE"/>
        </w:rPr>
        <w:t>No</w:t>
      </w:r>
      <w:proofErr w:type="spellEnd"/>
      <w:r w:rsidRPr="002D396F">
        <w:rPr>
          <w:lang w:val="de-DE" w:bidi="de-DE"/>
        </w:rPr>
        <w:t xml:space="preserve">. GSR Part 7, IAEA, Wien (2015); </w:t>
      </w:r>
      <w:r w:rsidR="00070855" w:rsidRPr="002D396F">
        <w:rPr>
          <w:lang w:val="de-DE" w:bidi="de-DE"/>
        </w:rPr>
        <w:t>„</w:t>
      </w:r>
      <w:proofErr w:type="spellStart"/>
      <w:r w:rsidRPr="002D396F">
        <w:rPr>
          <w:lang w:val="de-DE" w:bidi="de-DE"/>
        </w:rPr>
        <w:t>Criteria</w:t>
      </w:r>
      <w:proofErr w:type="spellEnd"/>
      <w:r w:rsidRPr="002D396F">
        <w:rPr>
          <w:lang w:val="de-DE" w:bidi="de-DE"/>
        </w:rPr>
        <w:t xml:space="preserve"> </w:t>
      </w:r>
      <w:proofErr w:type="spellStart"/>
      <w:r w:rsidRPr="002D396F">
        <w:rPr>
          <w:lang w:val="de-DE" w:bidi="de-DE"/>
        </w:rPr>
        <w:t>for</w:t>
      </w:r>
      <w:proofErr w:type="spellEnd"/>
      <w:r w:rsidRPr="002D396F">
        <w:rPr>
          <w:lang w:val="de-DE" w:bidi="de-DE"/>
        </w:rPr>
        <w:t xml:space="preserve"> Use in </w:t>
      </w:r>
      <w:proofErr w:type="spellStart"/>
      <w:r w:rsidRPr="002D396F">
        <w:rPr>
          <w:lang w:val="de-DE" w:bidi="de-DE"/>
        </w:rPr>
        <w:t>Preparedness</w:t>
      </w:r>
      <w:proofErr w:type="spellEnd"/>
      <w:r w:rsidRPr="002D396F">
        <w:rPr>
          <w:lang w:val="de-DE" w:bidi="de-DE"/>
        </w:rPr>
        <w:t xml:space="preserve"> and Response </w:t>
      </w:r>
      <w:proofErr w:type="spellStart"/>
      <w:r w:rsidRPr="002D396F">
        <w:rPr>
          <w:lang w:val="de-DE" w:bidi="de-DE"/>
        </w:rPr>
        <w:t>for</w:t>
      </w:r>
      <w:proofErr w:type="spellEnd"/>
      <w:r w:rsidRPr="002D396F">
        <w:rPr>
          <w:lang w:val="de-DE" w:bidi="de-DE"/>
        </w:rPr>
        <w:t xml:space="preserve"> a </w:t>
      </w:r>
      <w:proofErr w:type="spellStart"/>
      <w:r w:rsidRPr="002D396F">
        <w:rPr>
          <w:lang w:val="de-DE" w:bidi="de-DE"/>
        </w:rPr>
        <w:t>Nuclear</w:t>
      </w:r>
      <w:proofErr w:type="spellEnd"/>
      <w:r w:rsidRPr="002D396F">
        <w:rPr>
          <w:lang w:val="de-DE" w:bidi="de-DE"/>
        </w:rPr>
        <w:t xml:space="preserve"> </w:t>
      </w:r>
      <w:proofErr w:type="spellStart"/>
      <w:r w:rsidRPr="002D396F">
        <w:rPr>
          <w:lang w:val="de-DE" w:bidi="de-DE"/>
        </w:rPr>
        <w:t>or</w:t>
      </w:r>
      <w:proofErr w:type="spellEnd"/>
      <w:r w:rsidRPr="002D396F">
        <w:rPr>
          <w:lang w:val="de-DE" w:bidi="de-DE"/>
        </w:rPr>
        <w:t xml:space="preserve"> Radiological Emergency</w:t>
      </w:r>
      <w:r w:rsidR="00070855" w:rsidRPr="002D396F">
        <w:rPr>
          <w:lang w:val="de-DE" w:bidi="de-DE"/>
        </w:rPr>
        <w:t>“</w:t>
      </w:r>
      <w:r w:rsidRPr="002D396F">
        <w:rPr>
          <w:lang w:val="de-DE" w:bidi="de-DE"/>
        </w:rPr>
        <w:t xml:space="preserve"> (Kriterien für die Verwendung bei der Vorbereitung und Reaktion auf einen nuklearen oder radiologischen Notfall), IAEA </w:t>
      </w:r>
      <w:proofErr w:type="spellStart"/>
      <w:r w:rsidRPr="002D396F">
        <w:rPr>
          <w:lang w:val="de-DE" w:bidi="de-DE"/>
        </w:rPr>
        <w:t>Safety</w:t>
      </w:r>
      <w:proofErr w:type="spellEnd"/>
      <w:r w:rsidRPr="002D396F">
        <w:rPr>
          <w:lang w:val="de-DE" w:bidi="de-DE"/>
        </w:rPr>
        <w:t xml:space="preserve"> Standards Series </w:t>
      </w:r>
      <w:proofErr w:type="spellStart"/>
      <w:r w:rsidRPr="002D396F">
        <w:rPr>
          <w:lang w:val="de-DE" w:bidi="de-DE"/>
        </w:rPr>
        <w:t>No</w:t>
      </w:r>
      <w:proofErr w:type="spellEnd"/>
      <w:r w:rsidRPr="002D396F">
        <w:rPr>
          <w:lang w:val="de-DE" w:bidi="de-DE"/>
        </w:rPr>
        <w:t xml:space="preserve">. GSG-2, IAEA, Wien (2011); </w:t>
      </w:r>
      <w:r w:rsidR="00070855" w:rsidRPr="002D396F">
        <w:rPr>
          <w:lang w:val="de-DE" w:bidi="de-DE"/>
        </w:rPr>
        <w:t>„</w:t>
      </w:r>
      <w:r w:rsidRPr="002D396F">
        <w:rPr>
          <w:lang w:val="de-DE" w:bidi="de-DE"/>
        </w:rPr>
        <w:t xml:space="preserve">Arrangements </w:t>
      </w:r>
      <w:proofErr w:type="spellStart"/>
      <w:r w:rsidRPr="002D396F">
        <w:rPr>
          <w:lang w:val="de-DE" w:bidi="de-DE"/>
        </w:rPr>
        <w:t>for</w:t>
      </w:r>
      <w:proofErr w:type="spellEnd"/>
      <w:r w:rsidRPr="002D396F">
        <w:rPr>
          <w:lang w:val="de-DE" w:bidi="de-DE"/>
        </w:rPr>
        <w:t xml:space="preserve"> </w:t>
      </w:r>
      <w:proofErr w:type="spellStart"/>
      <w:r w:rsidRPr="002D396F">
        <w:rPr>
          <w:lang w:val="de-DE" w:bidi="de-DE"/>
        </w:rPr>
        <w:t>Preparedness</w:t>
      </w:r>
      <w:proofErr w:type="spellEnd"/>
      <w:r w:rsidRPr="002D396F">
        <w:rPr>
          <w:lang w:val="de-DE" w:bidi="de-DE"/>
        </w:rPr>
        <w:t xml:space="preserve"> </w:t>
      </w:r>
      <w:proofErr w:type="spellStart"/>
      <w:r w:rsidRPr="002D396F">
        <w:rPr>
          <w:lang w:val="de-DE" w:bidi="de-DE"/>
        </w:rPr>
        <w:t>for</w:t>
      </w:r>
      <w:proofErr w:type="spellEnd"/>
      <w:r w:rsidRPr="002D396F">
        <w:rPr>
          <w:lang w:val="de-DE" w:bidi="de-DE"/>
        </w:rPr>
        <w:t xml:space="preserve"> a </w:t>
      </w:r>
      <w:proofErr w:type="spellStart"/>
      <w:r w:rsidRPr="002D396F">
        <w:rPr>
          <w:lang w:val="de-DE" w:bidi="de-DE"/>
        </w:rPr>
        <w:t>Nuclear</w:t>
      </w:r>
      <w:proofErr w:type="spellEnd"/>
      <w:r w:rsidRPr="002D396F">
        <w:rPr>
          <w:lang w:val="de-DE" w:bidi="de-DE"/>
        </w:rPr>
        <w:t xml:space="preserve"> </w:t>
      </w:r>
      <w:proofErr w:type="spellStart"/>
      <w:r w:rsidRPr="002D396F">
        <w:rPr>
          <w:lang w:val="de-DE" w:bidi="de-DE"/>
        </w:rPr>
        <w:t>or</w:t>
      </w:r>
      <w:proofErr w:type="spellEnd"/>
      <w:r w:rsidRPr="002D396F">
        <w:rPr>
          <w:lang w:val="de-DE" w:bidi="de-DE"/>
        </w:rPr>
        <w:t xml:space="preserve"> Radiological Emergency</w:t>
      </w:r>
      <w:r w:rsidR="00070855" w:rsidRPr="002D396F">
        <w:rPr>
          <w:lang w:val="de-DE" w:bidi="de-DE"/>
        </w:rPr>
        <w:t>“</w:t>
      </w:r>
      <w:r w:rsidRPr="002D396F">
        <w:rPr>
          <w:lang w:val="de-DE" w:bidi="de-DE"/>
        </w:rPr>
        <w:t xml:space="preserve"> (Vorkehrungen für die Vorbereitung auf einen nuklearen oder radiologischen Notfall), IAEA </w:t>
      </w:r>
      <w:proofErr w:type="spellStart"/>
      <w:r w:rsidRPr="002D396F">
        <w:rPr>
          <w:lang w:val="de-DE" w:bidi="de-DE"/>
        </w:rPr>
        <w:t>Safety</w:t>
      </w:r>
      <w:proofErr w:type="spellEnd"/>
      <w:r w:rsidRPr="002D396F">
        <w:rPr>
          <w:lang w:val="de-DE" w:bidi="de-DE"/>
        </w:rPr>
        <w:t xml:space="preserve"> Standards Series </w:t>
      </w:r>
      <w:proofErr w:type="spellStart"/>
      <w:r w:rsidRPr="002D396F">
        <w:rPr>
          <w:lang w:val="de-DE" w:bidi="de-DE"/>
        </w:rPr>
        <w:t>No</w:t>
      </w:r>
      <w:proofErr w:type="spellEnd"/>
      <w:r w:rsidRPr="002D396F">
        <w:rPr>
          <w:lang w:val="de-DE" w:bidi="de-DE"/>
        </w:rPr>
        <w:t xml:space="preserve">. GS-G-2.1, IAEA, Wien (2007), und </w:t>
      </w:r>
      <w:r w:rsidR="00070855" w:rsidRPr="002D396F">
        <w:rPr>
          <w:lang w:val="de-DE" w:bidi="de-DE"/>
        </w:rPr>
        <w:t>„</w:t>
      </w:r>
      <w:r w:rsidRPr="002D396F">
        <w:rPr>
          <w:lang w:val="de-DE" w:bidi="de-DE"/>
        </w:rPr>
        <w:t xml:space="preserve">Arrangements </w:t>
      </w:r>
      <w:proofErr w:type="spellStart"/>
      <w:r w:rsidRPr="002D396F">
        <w:rPr>
          <w:lang w:val="de-DE" w:bidi="de-DE"/>
        </w:rPr>
        <w:t>for</w:t>
      </w:r>
      <w:proofErr w:type="spellEnd"/>
      <w:r w:rsidRPr="002D396F">
        <w:rPr>
          <w:lang w:val="de-DE" w:bidi="de-DE"/>
        </w:rPr>
        <w:t xml:space="preserve"> </w:t>
      </w:r>
      <w:proofErr w:type="spellStart"/>
      <w:r w:rsidRPr="002D396F">
        <w:rPr>
          <w:lang w:val="de-DE" w:bidi="de-DE"/>
        </w:rPr>
        <w:t>the</w:t>
      </w:r>
      <w:proofErr w:type="spellEnd"/>
      <w:r w:rsidRPr="002D396F">
        <w:rPr>
          <w:lang w:val="de-DE" w:bidi="de-DE"/>
        </w:rPr>
        <w:t xml:space="preserve"> Termination </w:t>
      </w:r>
      <w:proofErr w:type="spellStart"/>
      <w:r w:rsidRPr="002D396F">
        <w:rPr>
          <w:lang w:val="de-DE" w:bidi="de-DE"/>
        </w:rPr>
        <w:t>of</w:t>
      </w:r>
      <w:proofErr w:type="spellEnd"/>
      <w:r w:rsidRPr="002D396F">
        <w:rPr>
          <w:lang w:val="de-DE" w:bidi="de-DE"/>
        </w:rPr>
        <w:t xml:space="preserve"> a </w:t>
      </w:r>
      <w:proofErr w:type="spellStart"/>
      <w:r w:rsidRPr="002D396F">
        <w:rPr>
          <w:lang w:val="de-DE" w:bidi="de-DE"/>
        </w:rPr>
        <w:t>Nuclear</w:t>
      </w:r>
      <w:proofErr w:type="spellEnd"/>
      <w:r w:rsidRPr="002D396F">
        <w:rPr>
          <w:lang w:val="de-DE" w:bidi="de-DE"/>
        </w:rPr>
        <w:t xml:space="preserve"> </w:t>
      </w:r>
      <w:proofErr w:type="spellStart"/>
      <w:r w:rsidRPr="002D396F">
        <w:rPr>
          <w:lang w:val="de-DE" w:bidi="de-DE"/>
        </w:rPr>
        <w:t>or</w:t>
      </w:r>
      <w:proofErr w:type="spellEnd"/>
      <w:r w:rsidRPr="002D396F">
        <w:rPr>
          <w:lang w:val="de-DE" w:bidi="de-DE"/>
        </w:rPr>
        <w:t xml:space="preserve"> Radiological Emergency</w:t>
      </w:r>
      <w:r w:rsidR="00070855" w:rsidRPr="002D396F">
        <w:rPr>
          <w:lang w:val="de-DE" w:bidi="de-DE"/>
        </w:rPr>
        <w:t>“</w:t>
      </w:r>
      <w:r w:rsidRPr="002D396F">
        <w:rPr>
          <w:lang w:val="de-DE" w:bidi="de-DE"/>
        </w:rPr>
        <w:t xml:space="preserve"> (Vorkehrungen für die Beendigung eines nuklearen oder radiologischen Notfalls), IAEA </w:t>
      </w:r>
      <w:proofErr w:type="spellStart"/>
      <w:r w:rsidRPr="002D396F">
        <w:rPr>
          <w:lang w:val="de-DE" w:bidi="de-DE"/>
        </w:rPr>
        <w:t>Safety</w:t>
      </w:r>
      <w:proofErr w:type="spellEnd"/>
      <w:r w:rsidRPr="002D396F">
        <w:rPr>
          <w:lang w:val="de-DE" w:bidi="de-DE"/>
        </w:rPr>
        <w:t xml:space="preserve"> Standards Series </w:t>
      </w:r>
      <w:proofErr w:type="spellStart"/>
      <w:r w:rsidRPr="002D396F">
        <w:rPr>
          <w:lang w:val="de-DE" w:bidi="de-DE"/>
        </w:rPr>
        <w:t>No</w:t>
      </w:r>
      <w:proofErr w:type="spellEnd"/>
      <w:r w:rsidRPr="002D396F">
        <w:rPr>
          <w:lang w:val="de-DE" w:bidi="de-DE"/>
        </w:rPr>
        <w:t>. GSG-11, IAEA, Wien (2018) enthalten.“</w:t>
      </w:r>
      <w:r w:rsidR="00A05041">
        <w:rPr>
          <w:lang w:val="de-DE" w:bidi="de-DE"/>
        </w:rPr>
        <w:t>.</w:t>
      </w:r>
    </w:p>
    <w:p w14:paraId="5F479CA8" w14:textId="7732F970" w:rsidR="002202E0" w:rsidRPr="002D396F" w:rsidRDefault="003A1330" w:rsidP="002202E0">
      <w:pPr>
        <w:pStyle w:val="SingleTxtG"/>
        <w:tabs>
          <w:tab w:val="left" w:pos="2268"/>
        </w:tabs>
        <w:ind w:left="2268" w:hanging="1134"/>
        <w:rPr>
          <w:lang w:val="de-DE" w:bidi="de-DE"/>
        </w:rPr>
      </w:pPr>
      <w:r w:rsidRPr="002D396F">
        <w:rPr>
          <w:lang w:val="de-DE"/>
        </w:rPr>
        <w:t>1.7.1.1</w:t>
      </w:r>
      <w:r w:rsidRPr="002D396F">
        <w:rPr>
          <w:lang w:val="de-DE"/>
        </w:rPr>
        <w:tab/>
      </w:r>
      <w:r w:rsidR="002202E0" w:rsidRPr="002D396F">
        <w:rPr>
          <w:lang w:val="de-DE" w:bidi="de-DE"/>
        </w:rPr>
        <w:t>[Die Änderung zum ersten Satz in der englischen Fassung hat keine Auswirkungen auf den deutschen Text.]</w:t>
      </w:r>
    </w:p>
    <w:p w14:paraId="2FBD95DF" w14:textId="77777777" w:rsidR="002202E0" w:rsidRPr="002D396F" w:rsidRDefault="002202E0" w:rsidP="002202E0">
      <w:pPr>
        <w:pStyle w:val="SingleTxtG"/>
        <w:ind w:left="2259" w:firstLine="9"/>
        <w:rPr>
          <w:lang w:val="de-DE" w:bidi="de-DE"/>
        </w:rPr>
      </w:pPr>
      <w:r w:rsidRPr="002D396F">
        <w:rPr>
          <w:lang w:val="de-DE" w:bidi="de-DE"/>
        </w:rPr>
        <w:t>Der zweite und dritte Satz erhalten folgenden Wortlaut:</w:t>
      </w:r>
    </w:p>
    <w:p w14:paraId="7711AC50" w14:textId="6D5DA02E" w:rsidR="002202E0" w:rsidRPr="002D396F" w:rsidRDefault="002202E0" w:rsidP="002202E0">
      <w:pPr>
        <w:pStyle w:val="SingleTxtG"/>
        <w:ind w:left="2259" w:firstLine="9"/>
        <w:rPr>
          <w:lang w:val="de-DE" w:bidi="de-DE"/>
        </w:rPr>
      </w:pPr>
      <w:r w:rsidRPr="002D396F">
        <w:t>„</w:t>
      </w:r>
      <w:proofErr w:type="spellStart"/>
      <w:r w:rsidRPr="002D396F">
        <w:t>Diese</w:t>
      </w:r>
      <w:proofErr w:type="spellEnd"/>
      <w:r w:rsidRPr="002D396F">
        <w:t xml:space="preserve"> Standards </w:t>
      </w:r>
      <w:proofErr w:type="spellStart"/>
      <w:r w:rsidRPr="002D396F">
        <w:t>basieren</w:t>
      </w:r>
      <w:proofErr w:type="spellEnd"/>
      <w:r w:rsidRPr="002D396F">
        <w:t xml:space="preserve"> auf den </w:t>
      </w:r>
      <w:r w:rsidR="00070855" w:rsidRPr="002D396F">
        <w:t>“</w:t>
      </w:r>
      <w:r w:rsidRPr="002D396F">
        <w:t xml:space="preserve">IAEA Regulations for the Safe Transport of Radioactive Material, </w:t>
      </w:r>
      <w:proofErr w:type="spellStart"/>
      <w:r w:rsidRPr="002D396F">
        <w:t>Ausgabe</w:t>
      </w:r>
      <w:proofErr w:type="spellEnd"/>
      <w:r w:rsidRPr="002D396F">
        <w:t xml:space="preserve"> 2018</w:t>
      </w:r>
      <w:r w:rsidR="00547CF8" w:rsidRPr="002D396F">
        <w:t>”</w:t>
      </w:r>
      <w:r w:rsidRPr="002D396F">
        <w:t xml:space="preserve">, IAEA Safety Standards Series No. </w:t>
      </w:r>
      <w:r w:rsidRPr="002D396F">
        <w:rPr>
          <w:lang w:bidi="de-DE"/>
        </w:rPr>
        <w:t xml:space="preserve">SSR-6, (Rev.1), IAEA, Wien (2018). </w:t>
      </w:r>
      <w:r w:rsidRPr="002D396F">
        <w:t xml:space="preserve">Das </w:t>
      </w:r>
      <w:proofErr w:type="spellStart"/>
      <w:r w:rsidRPr="002D396F">
        <w:t>erläuternde</w:t>
      </w:r>
      <w:proofErr w:type="spellEnd"/>
      <w:r w:rsidRPr="002D396F">
        <w:t xml:space="preserve"> Material </w:t>
      </w:r>
      <w:proofErr w:type="spellStart"/>
      <w:r w:rsidRPr="002D396F">
        <w:t>ist</w:t>
      </w:r>
      <w:proofErr w:type="spellEnd"/>
      <w:r w:rsidRPr="002D396F">
        <w:t xml:space="preserve"> in </w:t>
      </w:r>
      <w:r w:rsidR="00070855" w:rsidRPr="002D396F">
        <w:t>“</w:t>
      </w:r>
      <w:r w:rsidRPr="002D396F">
        <w:t>Advisory Material for the IAEA Regulations for the Safe Transport of Radioactive Material (2018 edition)</w:t>
      </w:r>
      <w:r w:rsidR="00070855" w:rsidRPr="002D396F">
        <w:t>”</w:t>
      </w:r>
      <w:r w:rsidRPr="002D396F">
        <w:t xml:space="preserve">, IAEA Safety Standards Series No. </w:t>
      </w:r>
      <w:r w:rsidRPr="002D396F">
        <w:rPr>
          <w:lang w:val="de-DE" w:bidi="de-DE"/>
        </w:rPr>
        <w:t>SSG-26, (Rev.1), IAEA, Wien (2019) enthalten.</w:t>
      </w:r>
      <w:r w:rsidR="00070855" w:rsidRPr="002D396F">
        <w:rPr>
          <w:lang w:val="de-DE" w:bidi="de-DE"/>
        </w:rPr>
        <w:t>”</w:t>
      </w:r>
      <w:r w:rsidR="00A05041">
        <w:rPr>
          <w:lang w:val="de-DE" w:bidi="de-DE"/>
        </w:rPr>
        <w:t>.</w:t>
      </w:r>
    </w:p>
    <w:p w14:paraId="55459E71" w14:textId="79983199" w:rsidR="00CB7900" w:rsidRPr="002D396F" w:rsidRDefault="003A1330" w:rsidP="007708DB">
      <w:pPr>
        <w:pStyle w:val="SingleTxtG"/>
        <w:tabs>
          <w:tab w:val="left" w:pos="2268"/>
        </w:tabs>
        <w:ind w:left="2268" w:hanging="1134"/>
        <w:rPr>
          <w:lang w:val="de-DE" w:bidi="de-DE"/>
        </w:rPr>
      </w:pPr>
      <w:r w:rsidRPr="002D396F">
        <w:rPr>
          <w:lang w:val="de-DE"/>
        </w:rPr>
        <w:t>1.7.1.2</w:t>
      </w:r>
      <w:r w:rsidRPr="002D396F">
        <w:rPr>
          <w:lang w:val="de-DE"/>
        </w:rPr>
        <w:tab/>
      </w:r>
      <w:r w:rsidR="00CB7900" w:rsidRPr="002D396F">
        <w:rPr>
          <w:lang w:val="de-DE" w:bidi="de-DE"/>
        </w:rPr>
        <w:t>[Die erste Änderung zum ersten Satz in der englischen Fassung hat keine Auswirkungen auf den deutschen Text.]</w:t>
      </w:r>
    </w:p>
    <w:p w14:paraId="52F9170C" w14:textId="1EC6B72E" w:rsidR="00CB7900" w:rsidRPr="002D396F" w:rsidRDefault="00CB7900" w:rsidP="007708DB">
      <w:pPr>
        <w:pStyle w:val="SingleTxtG"/>
        <w:ind w:left="2259" w:firstLine="9"/>
        <w:rPr>
          <w:lang w:val="de-DE" w:bidi="de-DE"/>
        </w:rPr>
      </w:pPr>
      <w:r w:rsidRPr="002D396F">
        <w:rPr>
          <w:lang w:val="de-DE" w:bidi="de-DE"/>
        </w:rPr>
        <w:t xml:space="preserve">Im ersten Satz </w:t>
      </w:r>
      <w:r w:rsidR="007708DB" w:rsidRPr="002D396F">
        <w:rPr>
          <w:lang w:val="de-DE" w:bidi="de-DE"/>
        </w:rPr>
        <w:t>„</w:t>
      </w:r>
      <w:r w:rsidRPr="002D396F">
        <w:rPr>
          <w:lang w:val="de-DE" w:bidi="de-DE"/>
        </w:rPr>
        <w:t>vor den Strahlungseinflüssen bei der Beförderung</w:t>
      </w:r>
      <w:r w:rsidR="007708DB" w:rsidRPr="002D396F">
        <w:rPr>
          <w:lang w:val="de-DE" w:bidi="de-DE"/>
        </w:rPr>
        <w:t>“</w:t>
      </w:r>
      <w:r w:rsidRPr="002D396F">
        <w:rPr>
          <w:lang w:val="de-DE" w:bidi="de-DE"/>
        </w:rPr>
        <w:t xml:space="preserve"> ändern in:</w:t>
      </w:r>
      <w:r w:rsidR="007708DB" w:rsidRPr="002D396F">
        <w:rPr>
          <w:lang w:val="de-DE" w:bidi="de-DE"/>
        </w:rPr>
        <w:t xml:space="preserve"> „</w:t>
      </w:r>
      <w:r w:rsidRPr="002D396F">
        <w:rPr>
          <w:lang w:val="de-DE" w:bidi="de-DE"/>
        </w:rPr>
        <w:t>vor den schädlichen Einflüssen ionisierender Strahlung während der Beförderung</w:t>
      </w:r>
      <w:r w:rsidR="007708DB" w:rsidRPr="002D396F">
        <w:rPr>
          <w:lang w:val="de-DE" w:bidi="de-DE"/>
        </w:rPr>
        <w:t>“</w:t>
      </w:r>
      <w:r w:rsidRPr="002D396F">
        <w:rPr>
          <w:lang w:val="de-DE" w:bidi="de-DE"/>
        </w:rPr>
        <w:t>.</w:t>
      </w:r>
    </w:p>
    <w:p w14:paraId="530B7701" w14:textId="5EB3BAC8" w:rsidR="00CB7900" w:rsidRPr="002D396F" w:rsidRDefault="00CB7900" w:rsidP="007708DB">
      <w:pPr>
        <w:pStyle w:val="SingleTxtG"/>
        <w:ind w:left="2259" w:firstLine="9"/>
        <w:rPr>
          <w:lang w:val="de-DE" w:bidi="de-DE"/>
        </w:rPr>
      </w:pPr>
      <w:r w:rsidRPr="002D396F">
        <w:rPr>
          <w:lang w:val="de-DE" w:bidi="de-DE"/>
        </w:rPr>
        <w:t>[Die Änderung zu Absatz b) in der englischen Fassung hat keine Auswirkungen auf den deutschen Text.]</w:t>
      </w:r>
    </w:p>
    <w:p w14:paraId="2CC13E91" w14:textId="47E246E1" w:rsidR="00CB7900" w:rsidRPr="002D396F" w:rsidRDefault="00CB7900" w:rsidP="007708DB">
      <w:pPr>
        <w:pStyle w:val="SingleTxtG"/>
        <w:ind w:left="2259" w:firstLine="9"/>
        <w:rPr>
          <w:lang w:val="de-DE" w:bidi="de-DE"/>
        </w:rPr>
      </w:pPr>
      <w:r w:rsidRPr="002D396F">
        <w:rPr>
          <w:lang w:val="de-DE" w:bidi="de-DE"/>
        </w:rPr>
        <w:t xml:space="preserve">Im letzten Satz </w:t>
      </w:r>
      <w:r w:rsidR="007708DB" w:rsidRPr="002D396F">
        <w:rPr>
          <w:lang w:val="de-DE" w:bidi="de-DE"/>
        </w:rPr>
        <w:t>„</w:t>
      </w:r>
      <w:r w:rsidRPr="002D396F">
        <w:rPr>
          <w:lang w:val="de-DE" w:bidi="de-DE"/>
        </w:rPr>
        <w:t>Schließlich</w:t>
      </w:r>
      <w:r w:rsidR="007708DB" w:rsidRPr="002D396F">
        <w:rPr>
          <w:lang w:val="de-DE" w:bidi="de-DE"/>
        </w:rPr>
        <w:t>“</w:t>
      </w:r>
      <w:r w:rsidRPr="002D396F">
        <w:rPr>
          <w:lang w:val="de-DE" w:bidi="de-DE"/>
        </w:rPr>
        <w:t xml:space="preserve"> ändern in:</w:t>
      </w:r>
      <w:r w:rsidR="007708DB" w:rsidRPr="002D396F">
        <w:rPr>
          <w:lang w:val="de-DE" w:bidi="de-DE"/>
        </w:rPr>
        <w:t xml:space="preserve"> „</w:t>
      </w:r>
      <w:r w:rsidRPr="002D396F">
        <w:rPr>
          <w:lang w:val="de-DE" w:bidi="de-DE"/>
        </w:rPr>
        <w:t>Drittens</w:t>
      </w:r>
      <w:r w:rsidR="007708DB" w:rsidRPr="002D396F">
        <w:rPr>
          <w:lang w:val="de-DE" w:bidi="de-DE"/>
        </w:rPr>
        <w:t>“</w:t>
      </w:r>
      <w:r w:rsidRPr="002D396F">
        <w:rPr>
          <w:lang w:val="de-DE" w:bidi="de-DE"/>
        </w:rPr>
        <w:t>.</w:t>
      </w:r>
    </w:p>
    <w:p w14:paraId="26EEE53C" w14:textId="77777777" w:rsidR="00CB7900" w:rsidRPr="002D396F" w:rsidRDefault="00CB7900" w:rsidP="007708DB">
      <w:pPr>
        <w:pStyle w:val="SingleTxtG"/>
        <w:ind w:left="2259" w:firstLine="9"/>
        <w:rPr>
          <w:lang w:val="de-DE" w:bidi="de-DE"/>
        </w:rPr>
      </w:pPr>
      <w:r w:rsidRPr="002D396F">
        <w:rPr>
          <w:lang w:val="de-DE" w:bidi="de-DE"/>
        </w:rPr>
        <w:t>Am Ende folgenden Satz hinzufügen:</w:t>
      </w:r>
    </w:p>
    <w:p w14:paraId="775CD807" w14:textId="3BD7092F" w:rsidR="00CB7900" w:rsidRPr="002D396F" w:rsidRDefault="007708DB" w:rsidP="007708DB">
      <w:pPr>
        <w:pStyle w:val="SingleTxtG"/>
        <w:ind w:left="2259" w:firstLine="9"/>
        <w:rPr>
          <w:lang w:val="de-DE" w:bidi="de-DE"/>
        </w:rPr>
      </w:pPr>
      <w:r w:rsidRPr="002D396F">
        <w:rPr>
          <w:lang w:val="de-DE" w:bidi="de-DE"/>
        </w:rPr>
        <w:t>„</w:t>
      </w:r>
      <w:r w:rsidR="00CB7900" w:rsidRPr="002D396F">
        <w:rPr>
          <w:lang w:val="de-DE" w:bidi="de-DE"/>
        </w:rPr>
        <w:t>Schließlich wird ein weiterer Schutz durch Vorkehrungen für die Planung und Vorbereitung von Notfallmaßnahmen zum Schutz von Personen, Eigentum und Umwelt gewährleistet.</w:t>
      </w:r>
      <w:r w:rsidRPr="002D396F">
        <w:rPr>
          <w:lang w:val="de-DE" w:bidi="de-DE"/>
        </w:rPr>
        <w:t>“</w:t>
      </w:r>
      <w:r w:rsidR="00A05041">
        <w:rPr>
          <w:lang w:val="de-DE" w:bidi="de-DE"/>
        </w:rPr>
        <w:t>.</w:t>
      </w:r>
    </w:p>
    <w:p w14:paraId="07C5D616" w14:textId="1867D6D3" w:rsidR="003A1330" w:rsidRPr="002D396F" w:rsidRDefault="003A1330" w:rsidP="003A1330">
      <w:pPr>
        <w:pStyle w:val="SingleTxtG"/>
        <w:tabs>
          <w:tab w:val="left" w:pos="2268"/>
        </w:tabs>
        <w:ind w:left="2259" w:hanging="1125"/>
        <w:rPr>
          <w:b/>
          <w:bCs/>
          <w:lang w:val="de-DE"/>
        </w:rPr>
      </w:pPr>
      <w:r w:rsidRPr="002D396F">
        <w:rPr>
          <w:b/>
          <w:bCs/>
          <w:lang w:val="de-DE"/>
        </w:rPr>
        <w:t xml:space="preserve">(ADN): </w:t>
      </w:r>
      <w:r w:rsidRPr="002D396F">
        <w:rPr>
          <w:lang w:val="de-DE"/>
        </w:rPr>
        <w:t>1.7.1.5.1 a)</w:t>
      </w:r>
    </w:p>
    <w:p w14:paraId="55439DE5" w14:textId="08944DC4" w:rsidR="00DA6F71" w:rsidRPr="002D396F" w:rsidRDefault="003A1330" w:rsidP="00DA6F71">
      <w:pPr>
        <w:pStyle w:val="SingleTxtG"/>
        <w:tabs>
          <w:tab w:val="left" w:pos="2268"/>
        </w:tabs>
        <w:ind w:left="2259" w:hanging="1125"/>
        <w:rPr>
          <w:lang w:val="de-DE"/>
        </w:rPr>
      </w:pPr>
      <w:r w:rsidRPr="002D396F">
        <w:rPr>
          <w:lang w:val="de-DE"/>
        </w:rPr>
        <w:tab/>
      </w:r>
      <w:r w:rsidR="00DA6F71" w:rsidRPr="002D396F">
        <w:rPr>
          <w:lang w:val="de-DE"/>
        </w:rPr>
        <w:t xml:space="preserve">In Absatz a) nach </w:t>
      </w:r>
      <w:r w:rsidR="00070855" w:rsidRPr="002D396F">
        <w:rPr>
          <w:lang w:val="de-DE"/>
        </w:rPr>
        <w:t>„</w:t>
      </w:r>
      <w:r w:rsidR="00DA6F71" w:rsidRPr="002D396F">
        <w:rPr>
          <w:lang w:val="de-DE"/>
        </w:rPr>
        <w:t>5.2.1.10</w:t>
      </w:r>
      <w:r w:rsidR="00070855" w:rsidRPr="002D396F">
        <w:rPr>
          <w:lang w:val="de-DE"/>
        </w:rPr>
        <w:t>“</w:t>
      </w:r>
      <w:r w:rsidR="00DA6F71" w:rsidRPr="002D396F">
        <w:rPr>
          <w:lang w:val="de-DE"/>
        </w:rPr>
        <w:t xml:space="preserve"> einfügen: „, der Absätze 5.4.1.2.5.1 f) (i) und (ii), 5.4.1.2.5.1 </w:t>
      </w:r>
      <w:r w:rsidR="001B0CCC" w:rsidRPr="002D396F">
        <w:rPr>
          <w:lang w:val="de-DE"/>
        </w:rPr>
        <w:t>(</w:t>
      </w:r>
      <w:r w:rsidR="00DA6F71" w:rsidRPr="002D396F">
        <w:rPr>
          <w:lang w:val="de-DE"/>
        </w:rPr>
        <w:t>i),“.</w:t>
      </w:r>
    </w:p>
    <w:p w14:paraId="5EB54E4E" w14:textId="2B1A70F8" w:rsidR="00DA6F71" w:rsidRPr="002D396F" w:rsidRDefault="00DA6F71" w:rsidP="00DA6F71">
      <w:pPr>
        <w:pStyle w:val="SingleTxtG"/>
        <w:tabs>
          <w:tab w:val="left" w:pos="2268"/>
        </w:tabs>
        <w:ind w:left="2259" w:hanging="1125"/>
        <w:rPr>
          <w:lang w:val="de-DE"/>
        </w:rPr>
      </w:pPr>
      <w:r w:rsidRPr="002D396F">
        <w:rPr>
          <w:lang w:val="de-DE"/>
        </w:rPr>
        <w:tab/>
        <w:t>In Absatz a) nach „7.1.4.14.7.3.1“ einfügen: „7.1.4.14.7.4.3“.</w:t>
      </w:r>
    </w:p>
    <w:p w14:paraId="04527013" w14:textId="08B66E10" w:rsidR="00DA6F71" w:rsidRPr="002D396F" w:rsidRDefault="003A1330" w:rsidP="00DA6F71">
      <w:pPr>
        <w:pStyle w:val="SingleTxtG"/>
        <w:tabs>
          <w:tab w:val="left" w:pos="2268"/>
        </w:tabs>
        <w:ind w:left="2259" w:hanging="1125"/>
        <w:rPr>
          <w:lang w:val="de-DE"/>
        </w:rPr>
      </w:pPr>
      <w:r w:rsidRPr="002D396F">
        <w:rPr>
          <w:lang w:val="de-DE"/>
        </w:rPr>
        <w:t>1.7.1.5.2</w:t>
      </w:r>
      <w:r w:rsidRPr="002D396F">
        <w:rPr>
          <w:lang w:val="de-DE"/>
        </w:rPr>
        <w:tab/>
      </w:r>
      <w:r w:rsidR="00DA6F71" w:rsidRPr="002D396F">
        <w:rPr>
          <w:lang w:val="de-DE"/>
        </w:rPr>
        <w:t>Den zweiten Satz streichen.</w:t>
      </w:r>
    </w:p>
    <w:p w14:paraId="5A1DA5C2" w14:textId="65ABBD90" w:rsidR="00DA6F71" w:rsidRPr="002D396F" w:rsidRDefault="00DA6F71" w:rsidP="00DA6F71">
      <w:pPr>
        <w:pStyle w:val="SingleTxtG"/>
        <w:tabs>
          <w:tab w:val="left" w:pos="2268"/>
        </w:tabs>
        <w:ind w:left="2259" w:hanging="1125"/>
        <w:rPr>
          <w:lang w:val="de-DE"/>
        </w:rPr>
      </w:pPr>
      <w:r w:rsidRPr="002D396F">
        <w:rPr>
          <w:lang w:val="de-DE"/>
        </w:rPr>
        <w:lastRenderedPageBreak/>
        <w:t>1.7.2.4</w:t>
      </w:r>
      <w:r w:rsidRPr="002D396F">
        <w:rPr>
          <w:lang w:val="de-DE"/>
        </w:rPr>
        <w:tab/>
        <w:t>Im letzten Satz „Individual- oder Arbeitsplatzüberwachung“ ändern in: „Arbeitsplatz- oder Individualüberwachung“.</w:t>
      </w:r>
    </w:p>
    <w:p w14:paraId="00084854" w14:textId="052D5148" w:rsidR="009E6827" w:rsidRPr="002D396F" w:rsidRDefault="003A1330" w:rsidP="009E6827">
      <w:pPr>
        <w:pStyle w:val="SingleTxtG"/>
        <w:tabs>
          <w:tab w:val="left" w:pos="2268"/>
        </w:tabs>
        <w:ind w:left="2259" w:hanging="1125"/>
        <w:rPr>
          <w:lang w:val="de-DE"/>
        </w:rPr>
      </w:pPr>
      <w:r w:rsidRPr="002D396F">
        <w:rPr>
          <w:lang w:val="de-DE"/>
        </w:rPr>
        <w:t>1.7.4.2</w:t>
      </w:r>
      <w:r w:rsidRPr="002D396F">
        <w:rPr>
          <w:lang w:val="de-DE"/>
        </w:rPr>
        <w:tab/>
      </w:r>
      <w:r w:rsidR="009E6827" w:rsidRPr="002D396F">
        <w:rPr>
          <w:lang w:val="de-DE"/>
        </w:rPr>
        <w:t>Im zweiten Satz „durch alternative Mittel nachgewiesen wurden“ ändern in: „durch Mittel nachgewiesen wurden, die eine Alternative zu den übrigen Bestimmungen des RID/ADR/ADN darstellen,“.</w:t>
      </w:r>
    </w:p>
    <w:p w14:paraId="32CD7347" w14:textId="6A290482" w:rsidR="009E6827" w:rsidRPr="002D396F" w:rsidRDefault="009E6827" w:rsidP="009E6827">
      <w:pPr>
        <w:pStyle w:val="SingleTxtG"/>
        <w:tabs>
          <w:tab w:val="left" w:pos="2268"/>
        </w:tabs>
        <w:ind w:left="2259" w:hanging="1125"/>
        <w:rPr>
          <w:lang w:val="de-DE"/>
        </w:rPr>
      </w:pPr>
      <w:r w:rsidRPr="002D396F">
        <w:rPr>
          <w:lang w:val="de-DE"/>
        </w:rPr>
        <w:tab/>
        <w:t>Im zweiten Satz „für einzelne Sendungen“ ändern in: „für eine einzelne Sendung“.</w:t>
      </w:r>
    </w:p>
    <w:p w14:paraId="1257D254" w14:textId="55BD85DF" w:rsidR="009E6827" w:rsidRPr="002D396F" w:rsidRDefault="009E6827" w:rsidP="009E6827">
      <w:pPr>
        <w:pStyle w:val="SingleTxtG"/>
        <w:tabs>
          <w:tab w:val="left" w:pos="2268"/>
        </w:tabs>
        <w:ind w:left="2259" w:hanging="1125"/>
        <w:rPr>
          <w:lang w:val="de-DE"/>
        </w:rPr>
      </w:pPr>
      <w:r w:rsidRPr="002D396F">
        <w:rPr>
          <w:lang w:val="de-DE"/>
        </w:rPr>
        <w:tab/>
        <w:t>Im dritten Satz nach „aller anwendbaren Vorschriften“ einfügen: „des RID/ADR/ADN“.</w:t>
      </w:r>
    </w:p>
    <w:p w14:paraId="799E4B5C" w14:textId="301182C5" w:rsidR="009E6827" w:rsidRPr="002D396F" w:rsidRDefault="003A1330" w:rsidP="009E6827">
      <w:pPr>
        <w:pStyle w:val="SingleTxtG"/>
        <w:tabs>
          <w:tab w:val="left" w:pos="2268"/>
        </w:tabs>
        <w:ind w:left="2259" w:hanging="1125"/>
        <w:rPr>
          <w:lang w:val="de-DE"/>
        </w:rPr>
      </w:pPr>
      <w:r w:rsidRPr="002D396F">
        <w:rPr>
          <w:lang w:val="de-DE"/>
        </w:rPr>
        <w:t>1.7.6.1</w:t>
      </w:r>
      <w:r w:rsidRPr="002D396F">
        <w:rPr>
          <w:lang w:val="de-DE"/>
        </w:rPr>
        <w:tab/>
      </w:r>
      <w:r w:rsidR="009E6827" w:rsidRPr="002D396F">
        <w:rPr>
          <w:lang w:val="de-DE"/>
        </w:rPr>
        <w:t>[Die Änderung zum Einleitungssatz in der englischen Fassung hat keine Auswirkungen auf den deutschen Text.]</w:t>
      </w:r>
    </w:p>
    <w:p w14:paraId="3BD105B8" w14:textId="42A394CA" w:rsidR="009E6827" w:rsidRPr="002D396F" w:rsidRDefault="009E6827" w:rsidP="009E6827">
      <w:pPr>
        <w:pStyle w:val="SingleTxtG"/>
        <w:tabs>
          <w:tab w:val="left" w:pos="2268"/>
        </w:tabs>
        <w:ind w:left="2259" w:hanging="1125"/>
        <w:rPr>
          <w:lang w:val="de-DE"/>
        </w:rPr>
      </w:pPr>
      <w:r w:rsidRPr="002D396F">
        <w:rPr>
          <w:lang w:val="de-DE"/>
        </w:rPr>
        <w:tab/>
        <w:t>In Absatz a) „der Absender, der Empfänger, der Beförderer“ ändern in: „der Absender, der Beförderer</w:t>
      </w:r>
      <w:r w:rsidR="006D7BF7">
        <w:rPr>
          <w:lang w:val="de-DE"/>
        </w:rPr>
        <w:t>,</w:t>
      </w:r>
      <w:r w:rsidRPr="002D396F">
        <w:rPr>
          <w:lang w:val="de-DE"/>
        </w:rPr>
        <w:t xml:space="preserve"> der Empfänger“.</w:t>
      </w:r>
    </w:p>
    <w:p w14:paraId="7BA394A1" w14:textId="4A923954" w:rsidR="009E6827" w:rsidRPr="002D396F" w:rsidRDefault="009E6827" w:rsidP="009E6827">
      <w:pPr>
        <w:pStyle w:val="SingleTxtG"/>
        <w:tabs>
          <w:tab w:val="left" w:pos="2268"/>
        </w:tabs>
        <w:ind w:left="2259" w:hanging="1125"/>
        <w:rPr>
          <w:lang w:val="de-DE"/>
        </w:rPr>
      </w:pPr>
      <w:r w:rsidRPr="002D396F">
        <w:rPr>
          <w:lang w:val="de-DE"/>
        </w:rPr>
        <w:tab/>
        <w:t>In Absatz b) „der Beförderer, der Absender oder der Empfänger“ ändern in: „der Absender, der Beförderer oder der Empfänger“.</w:t>
      </w:r>
    </w:p>
    <w:p w14:paraId="17C04D35" w14:textId="76A44BE5" w:rsidR="009E6827" w:rsidRPr="002D396F" w:rsidRDefault="009E6827" w:rsidP="009E6827">
      <w:pPr>
        <w:pStyle w:val="SingleTxtG"/>
        <w:tabs>
          <w:tab w:val="left" w:pos="2268"/>
        </w:tabs>
        <w:ind w:left="2259" w:hanging="1125"/>
        <w:rPr>
          <w:lang w:val="de-DE"/>
        </w:rPr>
      </w:pPr>
      <w:r w:rsidRPr="002D396F">
        <w:rPr>
          <w:lang w:val="de-DE"/>
        </w:rPr>
        <w:tab/>
        <w:t>In Absatz b) (iii) „ähnlicher Umstände“ ändern in: „ähnlicher Ursachen und Umstände“.</w:t>
      </w:r>
    </w:p>
    <w:p w14:paraId="01C3CC6A" w14:textId="07D19F85" w:rsidR="009E6827" w:rsidRPr="002D396F" w:rsidRDefault="009E6827" w:rsidP="009E6827">
      <w:pPr>
        <w:pStyle w:val="SingleTxtG"/>
        <w:tabs>
          <w:tab w:val="left" w:pos="2268"/>
        </w:tabs>
        <w:ind w:left="2259" w:hanging="1125"/>
        <w:rPr>
          <w:lang w:val="de-DE"/>
        </w:rPr>
      </w:pPr>
      <w:r w:rsidRPr="002D396F">
        <w:rPr>
          <w:lang w:val="de-DE"/>
        </w:rPr>
        <w:tab/>
      </w:r>
      <w:bookmarkStart w:id="7" w:name="_Hlk15546541"/>
      <w:r w:rsidRPr="002D396F">
        <w:rPr>
          <w:lang w:val="de-DE"/>
        </w:rPr>
        <w:t>[Die Änderung zu Absatz b) (iv) in der englischen Fassung hat keine Auswirkungen auf den deutschen Text.]</w:t>
      </w:r>
      <w:bookmarkEnd w:id="7"/>
    </w:p>
    <w:p w14:paraId="1A8AF496" w14:textId="15E0BA3B" w:rsidR="003A1330" w:rsidRPr="002D396F" w:rsidRDefault="003A1330" w:rsidP="003A1330">
      <w:pPr>
        <w:pStyle w:val="H1G"/>
        <w:rPr>
          <w:lang w:val="de-DE"/>
        </w:rPr>
      </w:pPr>
      <w:r w:rsidRPr="002D396F">
        <w:rPr>
          <w:lang w:val="de-DE"/>
        </w:rPr>
        <w:tab/>
      </w:r>
      <w:r w:rsidRPr="002D396F">
        <w:rPr>
          <w:lang w:val="de-DE"/>
        </w:rPr>
        <w:tab/>
      </w:r>
      <w:r w:rsidR="009E6827" w:rsidRPr="002D396F">
        <w:rPr>
          <w:lang w:val="de-DE"/>
        </w:rPr>
        <w:t>Kapitel</w:t>
      </w:r>
      <w:r w:rsidRPr="002D396F">
        <w:rPr>
          <w:lang w:val="de-DE"/>
        </w:rPr>
        <w:t xml:space="preserve"> 1.8</w:t>
      </w:r>
    </w:p>
    <w:p w14:paraId="0F1E5AA1" w14:textId="0168ECAF" w:rsidR="009E6827" w:rsidRPr="002D396F" w:rsidRDefault="003A1330" w:rsidP="009E6827">
      <w:pPr>
        <w:pStyle w:val="SingleTxtG"/>
        <w:tabs>
          <w:tab w:val="left" w:pos="2268"/>
        </w:tabs>
        <w:ind w:left="2259" w:hanging="1125"/>
        <w:rPr>
          <w:lang w:val="de-DE"/>
        </w:rPr>
      </w:pPr>
      <w:r w:rsidRPr="002D396F">
        <w:rPr>
          <w:lang w:val="de-DE"/>
        </w:rPr>
        <w:t>1.8.5.3</w:t>
      </w:r>
      <w:r w:rsidRPr="002D396F">
        <w:rPr>
          <w:lang w:val="de-DE"/>
        </w:rPr>
        <w:tab/>
      </w:r>
      <w:r w:rsidR="009E6827" w:rsidRPr="002D396F">
        <w:rPr>
          <w:lang w:val="de-DE"/>
        </w:rPr>
        <w:t xml:space="preserve">In dem nach dem Einleitungssatz „Sind bei einem Ereignis radioaktive Stoffe beteiligt, gelten folgende Kriterien für den Produktaustritt:“ erscheinenden Absatz b) „(Schedule II der IAEA </w:t>
      </w:r>
      <w:proofErr w:type="spellStart"/>
      <w:r w:rsidR="009E6827" w:rsidRPr="002D396F">
        <w:rPr>
          <w:lang w:val="de-DE"/>
        </w:rPr>
        <w:t>Safety</w:t>
      </w:r>
      <w:proofErr w:type="spellEnd"/>
      <w:r w:rsidR="009E6827" w:rsidRPr="002D396F">
        <w:rPr>
          <w:lang w:val="de-DE"/>
        </w:rPr>
        <w:t xml:space="preserve"> Series </w:t>
      </w:r>
      <w:proofErr w:type="spellStart"/>
      <w:r w:rsidR="009E6827" w:rsidRPr="002D396F">
        <w:rPr>
          <w:lang w:val="de-DE"/>
        </w:rPr>
        <w:t>No</w:t>
      </w:r>
      <w:proofErr w:type="spellEnd"/>
      <w:r w:rsidR="009E6827" w:rsidRPr="002D396F">
        <w:rPr>
          <w:lang w:val="de-DE"/>
        </w:rPr>
        <w:t xml:space="preserve">. 115 – </w:t>
      </w:r>
      <w:r w:rsidR="00070855" w:rsidRPr="002D396F">
        <w:rPr>
          <w:lang w:val="de-DE"/>
        </w:rPr>
        <w:t>„</w:t>
      </w:r>
      <w:r w:rsidR="009E6827" w:rsidRPr="002D396F">
        <w:rPr>
          <w:lang w:val="de-DE"/>
        </w:rPr>
        <w:t xml:space="preserve">International Basic </w:t>
      </w:r>
      <w:proofErr w:type="spellStart"/>
      <w:r w:rsidR="009E6827" w:rsidRPr="002D396F">
        <w:rPr>
          <w:lang w:val="de-DE"/>
        </w:rPr>
        <w:t>Safety</w:t>
      </w:r>
      <w:proofErr w:type="spellEnd"/>
      <w:r w:rsidR="009E6827" w:rsidRPr="002D396F">
        <w:rPr>
          <w:lang w:val="de-DE"/>
        </w:rPr>
        <w:t xml:space="preserve"> Standards </w:t>
      </w:r>
      <w:proofErr w:type="spellStart"/>
      <w:r w:rsidR="009E6827" w:rsidRPr="002D396F">
        <w:rPr>
          <w:lang w:val="de-DE"/>
        </w:rPr>
        <w:t>for</w:t>
      </w:r>
      <w:proofErr w:type="spellEnd"/>
      <w:r w:rsidR="009E6827" w:rsidRPr="002D396F">
        <w:rPr>
          <w:lang w:val="de-DE"/>
        </w:rPr>
        <w:t xml:space="preserve"> </w:t>
      </w:r>
      <w:proofErr w:type="spellStart"/>
      <w:r w:rsidR="009E6827" w:rsidRPr="002D396F">
        <w:rPr>
          <w:lang w:val="de-DE"/>
        </w:rPr>
        <w:t>Protection</w:t>
      </w:r>
      <w:proofErr w:type="spellEnd"/>
      <w:r w:rsidR="009E6827" w:rsidRPr="002D396F">
        <w:rPr>
          <w:lang w:val="de-DE"/>
        </w:rPr>
        <w:t xml:space="preserve"> </w:t>
      </w:r>
      <w:proofErr w:type="spellStart"/>
      <w:r w:rsidR="009E6827" w:rsidRPr="002D396F">
        <w:rPr>
          <w:lang w:val="de-DE"/>
        </w:rPr>
        <w:t>against</w:t>
      </w:r>
      <w:proofErr w:type="spellEnd"/>
      <w:r w:rsidR="009E6827" w:rsidRPr="002D396F">
        <w:rPr>
          <w:lang w:val="de-DE"/>
        </w:rPr>
        <w:t xml:space="preserve"> </w:t>
      </w:r>
      <w:proofErr w:type="spellStart"/>
      <w:r w:rsidR="009E6827" w:rsidRPr="002D396F">
        <w:rPr>
          <w:lang w:val="de-DE"/>
        </w:rPr>
        <w:t>Ionizing</w:t>
      </w:r>
      <w:proofErr w:type="spellEnd"/>
      <w:r w:rsidR="009E6827" w:rsidRPr="002D396F">
        <w:rPr>
          <w:lang w:val="de-DE"/>
        </w:rPr>
        <w:t xml:space="preserve"> Radiation and </w:t>
      </w:r>
      <w:proofErr w:type="spellStart"/>
      <w:r w:rsidR="009E6827" w:rsidRPr="002D396F">
        <w:rPr>
          <w:lang w:val="de-DE"/>
        </w:rPr>
        <w:t>for</w:t>
      </w:r>
      <w:proofErr w:type="spellEnd"/>
      <w:r w:rsidR="009E6827" w:rsidRPr="002D396F">
        <w:rPr>
          <w:lang w:val="de-DE"/>
        </w:rPr>
        <w:t xml:space="preserve"> </w:t>
      </w:r>
      <w:proofErr w:type="spellStart"/>
      <w:r w:rsidR="009E6827" w:rsidRPr="002D396F">
        <w:rPr>
          <w:lang w:val="de-DE"/>
        </w:rPr>
        <w:t>Safety</w:t>
      </w:r>
      <w:proofErr w:type="spellEnd"/>
      <w:r w:rsidR="009E6827" w:rsidRPr="002D396F">
        <w:rPr>
          <w:lang w:val="de-DE"/>
        </w:rPr>
        <w:t xml:space="preserve"> </w:t>
      </w:r>
      <w:proofErr w:type="spellStart"/>
      <w:r w:rsidR="009E6827" w:rsidRPr="002D396F">
        <w:rPr>
          <w:lang w:val="de-DE"/>
        </w:rPr>
        <w:t>of</w:t>
      </w:r>
      <w:proofErr w:type="spellEnd"/>
      <w:r w:rsidR="009E6827" w:rsidRPr="002D396F">
        <w:rPr>
          <w:lang w:val="de-DE"/>
        </w:rPr>
        <w:t xml:space="preserve"> Radiation Sources</w:t>
      </w:r>
      <w:r w:rsidR="00070855" w:rsidRPr="002D396F">
        <w:rPr>
          <w:lang w:val="de-DE"/>
        </w:rPr>
        <w:t>“</w:t>
      </w:r>
      <w:r w:rsidR="009E6827" w:rsidRPr="002D396F">
        <w:rPr>
          <w:lang w:val="de-DE"/>
        </w:rPr>
        <w:t xml:space="preserve"> (Internationale grundlegende Sicherheitsnormen für den Schutz vor ionisierender Strahlung und für die Sicherheit von Strahlungsquellen))“ ändern in:</w:t>
      </w:r>
    </w:p>
    <w:p w14:paraId="1C5C0F4D" w14:textId="56C4DB73" w:rsidR="009E6827" w:rsidRPr="002D396F" w:rsidRDefault="009E6827" w:rsidP="009E6827">
      <w:pPr>
        <w:pStyle w:val="SingleTxtG"/>
        <w:tabs>
          <w:tab w:val="left" w:pos="2268"/>
        </w:tabs>
        <w:ind w:left="2259" w:hanging="1125"/>
        <w:rPr>
          <w:lang w:val="de-DE"/>
        </w:rPr>
      </w:pPr>
      <w:r w:rsidRPr="002D396F">
        <w:rPr>
          <w:lang w:val="de-DE"/>
        </w:rPr>
        <w:tab/>
        <w:t>„(</w:t>
      </w:r>
      <w:r w:rsidR="00E83D1D" w:rsidRPr="002D396F">
        <w:rPr>
          <w:rFonts w:eastAsia="Calibri" w:cs="Arial"/>
          <w:szCs w:val="22"/>
          <w:lang w:val="de-DE"/>
        </w:rPr>
        <w:t>«</w:t>
      </w:r>
      <w:r w:rsidRPr="002D396F">
        <w:rPr>
          <w:lang w:val="de-DE"/>
        </w:rPr>
        <w:t xml:space="preserve">Radiation </w:t>
      </w:r>
      <w:proofErr w:type="spellStart"/>
      <w:r w:rsidRPr="002D396F">
        <w:rPr>
          <w:lang w:val="de-DE"/>
        </w:rPr>
        <w:t>Protection</w:t>
      </w:r>
      <w:proofErr w:type="spellEnd"/>
      <w:r w:rsidRPr="002D396F">
        <w:rPr>
          <w:lang w:val="de-DE"/>
        </w:rPr>
        <w:t xml:space="preserve"> and </w:t>
      </w:r>
      <w:proofErr w:type="spellStart"/>
      <w:r w:rsidRPr="002D396F">
        <w:rPr>
          <w:lang w:val="de-DE"/>
        </w:rPr>
        <w:t>Safety</w:t>
      </w:r>
      <w:proofErr w:type="spellEnd"/>
      <w:r w:rsidRPr="002D396F">
        <w:rPr>
          <w:lang w:val="de-DE"/>
        </w:rPr>
        <w:t xml:space="preserve"> </w:t>
      </w:r>
      <w:proofErr w:type="spellStart"/>
      <w:r w:rsidRPr="002D396F">
        <w:rPr>
          <w:lang w:val="de-DE"/>
        </w:rPr>
        <w:t>of</w:t>
      </w:r>
      <w:proofErr w:type="spellEnd"/>
      <w:r w:rsidRPr="002D396F">
        <w:rPr>
          <w:lang w:val="de-DE"/>
        </w:rPr>
        <w:t xml:space="preserve"> Radiation Sources: International Basic </w:t>
      </w:r>
      <w:proofErr w:type="spellStart"/>
      <w:r w:rsidRPr="002D396F">
        <w:rPr>
          <w:lang w:val="de-DE"/>
        </w:rPr>
        <w:t>Safety</w:t>
      </w:r>
      <w:proofErr w:type="spellEnd"/>
      <w:r w:rsidRPr="002D396F">
        <w:rPr>
          <w:lang w:val="de-DE"/>
        </w:rPr>
        <w:t xml:space="preserve"> Standards</w:t>
      </w:r>
      <w:r w:rsidR="00E83D1D" w:rsidRPr="002D396F">
        <w:rPr>
          <w:rFonts w:eastAsia="Calibri"/>
          <w:sz w:val="22"/>
          <w:szCs w:val="22"/>
          <w:lang w:val="de-DE"/>
        </w:rPr>
        <w:t>»</w:t>
      </w:r>
      <w:r w:rsidR="00544364" w:rsidRPr="002D396F">
        <w:rPr>
          <w:lang w:val="de-DE"/>
        </w:rPr>
        <w:t>)</w:t>
      </w:r>
      <w:r w:rsidRPr="002D396F">
        <w:rPr>
          <w:lang w:val="de-DE"/>
        </w:rPr>
        <w:t xml:space="preserve"> (Strahlenschutz und Sicherheit von Strahlenquellen: Internationale grundlegende Sicherheitsnormen), IAEA </w:t>
      </w:r>
      <w:proofErr w:type="spellStart"/>
      <w:r w:rsidRPr="002D396F">
        <w:rPr>
          <w:lang w:val="de-DE"/>
        </w:rPr>
        <w:t>Safety</w:t>
      </w:r>
      <w:proofErr w:type="spellEnd"/>
      <w:r w:rsidRPr="002D396F">
        <w:rPr>
          <w:lang w:val="de-DE"/>
        </w:rPr>
        <w:t xml:space="preserve"> Standards Series </w:t>
      </w:r>
      <w:proofErr w:type="spellStart"/>
      <w:r w:rsidRPr="002D396F">
        <w:rPr>
          <w:lang w:val="de-DE"/>
        </w:rPr>
        <w:t>No</w:t>
      </w:r>
      <w:proofErr w:type="spellEnd"/>
      <w:r w:rsidRPr="002D396F">
        <w:rPr>
          <w:lang w:val="de-DE"/>
        </w:rPr>
        <w:t>. GSR Teil 3, IAEA, Wien (2014))“.</w:t>
      </w:r>
    </w:p>
    <w:p w14:paraId="50C84EDB" w14:textId="371631A5" w:rsidR="00A524AE" w:rsidRPr="002D396F" w:rsidRDefault="00A524AE">
      <w:pPr>
        <w:suppressAutoHyphens w:val="0"/>
        <w:spacing w:line="240" w:lineRule="auto"/>
        <w:rPr>
          <w:b/>
          <w:sz w:val="24"/>
          <w:lang w:val="de-DE"/>
        </w:rPr>
      </w:pPr>
    </w:p>
    <w:p w14:paraId="2946A45F" w14:textId="3C0BF80A" w:rsidR="003A1330" w:rsidRPr="002D396F" w:rsidRDefault="007D43B4" w:rsidP="003A1330">
      <w:pPr>
        <w:pStyle w:val="H1G"/>
        <w:rPr>
          <w:lang w:val="de-DE"/>
        </w:rPr>
      </w:pPr>
      <w:r w:rsidRPr="002D396F">
        <w:rPr>
          <w:lang w:val="de-DE"/>
        </w:rPr>
        <w:tab/>
      </w:r>
      <w:r w:rsidRPr="002D396F">
        <w:rPr>
          <w:lang w:val="de-DE"/>
        </w:rPr>
        <w:tab/>
      </w:r>
      <w:r w:rsidR="009E6827" w:rsidRPr="002D396F">
        <w:rPr>
          <w:lang w:val="de-DE"/>
        </w:rPr>
        <w:t>Kapitel</w:t>
      </w:r>
      <w:r w:rsidR="003A1330" w:rsidRPr="002D396F">
        <w:rPr>
          <w:lang w:val="de-DE"/>
        </w:rPr>
        <w:t xml:space="preserve"> 1.10</w:t>
      </w:r>
    </w:p>
    <w:p w14:paraId="161C90E1" w14:textId="5CF39288" w:rsidR="003A1330" w:rsidRPr="002D396F" w:rsidRDefault="00A524AE" w:rsidP="003A1330">
      <w:pPr>
        <w:pStyle w:val="SingleTxtG"/>
        <w:tabs>
          <w:tab w:val="left" w:pos="2268"/>
        </w:tabs>
        <w:ind w:left="2259" w:hanging="1125"/>
        <w:rPr>
          <w:lang w:val="de-DE"/>
        </w:rPr>
      </w:pPr>
      <w:r w:rsidRPr="002D396F">
        <w:rPr>
          <w:lang w:val="de-DE"/>
        </w:rPr>
        <w:t>Tabelle</w:t>
      </w:r>
      <w:r w:rsidR="003A1330" w:rsidRPr="002D396F">
        <w:rPr>
          <w:lang w:val="de-DE"/>
        </w:rPr>
        <w:t xml:space="preserve"> 1.10.3.1.2</w:t>
      </w:r>
    </w:p>
    <w:p w14:paraId="06AC9AA0" w14:textId="77777777" w:rsidR="00A524AE" w:rsidRPr="002D396F" w:rsidRDefault="003A1330" w:rsidP="00A524AE">
      <w:pPr>
        <w:pStyle w:val="SingleTxtG"/>
        <w:tabs>
          <w:tab w:val="left" w:pos="2268"/>
        </w:tabs>
        <w:ind w:left="2259" w:hanging="1125"/>
        <w:rPr>
          <w:lang w:val="de-DE"/>
        </w:rPr>
      </w:pPr>
      <w:r w:rsidRPr="002D396F">
        <w:rPr>
          <w:lang w:val="de-DE"/>
        </w:rPr>
        <w:tab/>
      </w:r>
      <w:r w:rsidR="00A524AE" w:rsidRPr="002D396F">
        <w:rPr>
          <w:lang w:val="de-DE"/>
        </w:rPr>
        <w:t>In der Tabelle 1.10.3.1.2 folgende Änderungen vornehmen:</w:t>
      </w:r>
    </w:p>
    <w:p w14:paraId="7C35F346" w14:textId="4BBCD894" w:rsidR="00A524AE" w:rsidRPr="002D396F" w:rsidRDefault="00A524AE" w:rsidP="00A524AE">
      <w:pPr>
        <w:pStyle w:val="SingleTxtG"/>
        <w:numPr>
          <w:ilvl w:val="0"/>
          <w:numId w:val="46"/>
        </w:numPr>
        <w:tabs>
          <w:tab w:val="left" w:pos="2268"/>
        </w:tabs>
        <w:rPr>
          <w:lang w:val="de-DE"/>
        </w:rPr>
      </w:pPr>
      <w:r w:rsidRPr="002D396F">
        <w:rPr>
          <w:lang w:val="de-DE"/>
        </w:rPr>
        <w:t>Unter Klasse 1, Unterklasse 1.4 in der dritten Spalte „und 500“ ändern in: „0500, 0512 und 0513“.</w:t>
      </w:r>
    </w:p>
    <w:p w14:paraId="3CC2CEBF" w14:textId="1668C817" w:rsidR="00A524AE" w:rsidRPr="002D396F" w:rsidRDefault="00A524AE" w:rsidP="00A524AE">
      <w:pPr>
        <w:pStyle w:val="SingleTxtG"/>
        <w:numPr>
          <w:ilvl w:val="0"/>
          <w:numId w:val="46"/>
        </w:numPr>
        <w:tabs>
          <w:tab w:val="left" w:pos="2268"/>
        </w:tabs>
        <w:rPr>
          <w:lang w:val="de-DE"/>
        </w:rPr>
      </w:pPr>
      <w:r w:rsidRPr="002D396F">
        <w:rPr>
          <w:lang w:val="de-DE"/>
        </w:rPr>
        <w:t>Nach der Zeile für die Unterklasse 1.5 folgende Zeile einfügen: „</w:t>
      </w:r>
    </w:p>
    <w:tbl>
      <w:tblPr>
        <w:tblStyle w:val="TableNormal1"/>
        <w:tblW w:w="0" w:type="auto"/>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8"/>
        <w:gridCol w:w="2788"/>
        <w:gridCol w:w="990"/>
        <w:gridCol w:w="1417"/>
        <w:gridCol w:w="1273"/>
      </w:tblGrid>
      <w:tr w:rsidR="00A524AE" w:rsidRPr="002D396F" w14:paraId="295DEE17" w14:textId="77777777" w:rsidTr="00591AC6">
        <w:trPr>
          <w:trHeight w:val="251"/>
        </w:trPr>
        <w:tc>
          <w:tcPr>
            <w:tcW w:w="926" w:type="dxa"/>
            <w:vMerge w:val="restart"/>
          </w:tcPr>
          <w:p w14:paraId="18825B38" w14:textId="77777777" w:rsidR="00A524AE" w:rsidRPr="002D396F" w:rsidRDefault="00A524AE" w:rsidP="00A524AE">
            <w:pPr>
              <w:suppressAutoHyphens w:val="0"/>
              <w:spacing w:line="248" w:lineRule="exact"/>
              <w:ind w:left="107"/>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Klasse</w:t>
            </w:r>
          </w:p>
        </w:tc>
        <w:tc>
          <w:tcPr>
            <w:tcW w:w="928" w:type="dxa"/>
            <w:vMerge w:val="restart"/>
          </w:tcPr>
          <w:p w14:paraId="5BF2210C" w14:textId="031EA82D" w:rsidR="00A524AE" w:rsidRPr="002D396F" w:rsidRDefault="00A524AE" w:rsidP="00A524AE">
            <w:pPr>
              <w:suppressAutoHyphens w:val="0"/>
              <w:spacing w:line="240" w:lineRule="auto"/>
              <w:ind w:left="127" w:right="98" w:firstLine="12"/>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Unter-klasse</w:t>
            </w:r>
          </w:p>
        </w:tc>
        <w:tc>
          <w:tcPr>
            <w:tcW w:w="2788" w:type="dxa"/>
            <w:vMerge w:val="restart"/>
          </w:tcPr>
          <w:p w14:paraId="72EAC1EB" w14:textId="77777777" w:rsidR="00A524AE" w:rsidRPr="002D396F" w:rsidRDefault="00A524AE" w:rsidP="00A524AE">
            <w:pPr>
              <w:suppressAutoHyphens w:val="0"/>
              <w:spacing w:line="248" w:lineRule="exact"/>
              <w:ind w:left="209"/>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Stoff oder Gegenstand</w:t>
            </w:r>
          </w:p>
        </w:tc>
        <w:tc>
          <w:tcPr>
            <w:tcW w:w="3680" w:type="dxa"/>
            <w:gridSpan w:val="3"/>
          </w:tcPr>
          <w:p w14:paraId="331E382D" w14:textId="77777777" w:rsidR="00A524AE" w:rsidRPr="002D396F" w:rsidRDefault="00A524AE" w:rsidP="00A524AE">
            <w:pPr>
              <w:suppressAutoHyphens w:val="0"/>
              <w:spacing w:line="232" w:lineRule="exact"/>
              <w:ind w:left="1477" w:right="1455"/>
              <w:jc w:val="center"/>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Menge</w:t>
            </w:r>
          </w:p>
        </w:tc>
      </w:tr>
      <w:tr w:rsidR="00A524AE" w:rsidRPr="002D396F" w14:paraId="220AA25B" w14:textId="77777777" w:rsidTr="00591AC6">
        <w:trPr>
          <w:trHeight w:val="506"/>
        </w:trPr>
        <w:tc>
          <w:tcPr>
            <w:tcW w:w="926" w:type="dxa"/>
            <w:vMerge/>
            <w:tcBorders>
              <w:top w:val="nil"/>
            </w:tcBorders>
          </w:tcPr>
          <w:p w14:paraId="1383B6BC" w14:textId="77777777" w:rsidR="00A524AE" w:rsidRPr="002D396F" w:rsidRDefault="00A524AE" w:rsidP="00A524AE">
            <w:pPr>
              <w:suppressAutoHyphens w:val="0"/>
              <w:spacing w:line="240" w:lineRule="auto"/>
              <w:rPr>
                <w:rFonts w:ascii="Times New Roman" w:eastAsia="Arial" w:hAnsi="Times New Roman"/>
                <w:sz w:val="20"/>
                <w:szCs w:val="20"/>
                <w:lang w:val="de-DE" w:eastAsia="de-DE" w:bidi="de-DE"/>
              </w:rPr>
            </w:pPr>
          </w:p>
        </w:tc>
        <w:tc>
          <w:tcPr>
            <w:tcW w:w="928" w:type="dxa"/>
            <w:vMerge/>
            <w:tcBorders>
              <w:top w:val="nil"/>
            </w:tcBorders>
          </w:tcPr>
          <w:p w14:paraId="3F05FDA0" w14:textId="77777777" w:rsidR="00A524AE" w:rsidRPr="002D396F" w:rsidRDefault="00A524AE" w:rsidP="00A524AE">
            <w:pPr>
              <w:suppressAutoHyphens w:val="0"/>
              <w:spacing w:line="240" w:lineRule="auto"/>
              <w:rPr>
                <w:rFonts w:ascii="Times New Roman" w:eastAsia="Arial" w:hAnsi="Times New Roman"/>
                <w:sz w:val="20"/>
                <w:szCs w:val="20"/>
                <w:lang w:val="de-DE" w:eastAsia="de-DE" w:bidi="de-DE"/>
              </w:rPr>
            </w:pPr>
          </w:p>
        </w:tc>
        <w:tc>
          <w:tcPr>
            <w:tcW w:w="2788" w:type="dxa"/>
            <w:vMerge/>
            <w:tcBorders>
              <w:top w:val="nil"/>
            </w:tcBorders>
          </w:tcPr>
          <w:p w14:paraId="63DFA6DC" w14:textId="77777777" w:rsidR="00A524AE" w:rsidRPr="002D396F" w:rsidRDefault="00A524AE" w:rsidP="00A524AE">
            <w:pPr>
              <w:suppressAutoHyphens w:val="0"/>
              <w:spacing w:line="240" w:lineRule="auto"/>
              <w:rPr>
                <w:rFonts w:ascii="Times New Roman" w:eastAsia="Arial" w:hAnsi="Times New Roman"/>
                <w:sz w:val="20"/>
                <w:szCs w:val="20"/>
                <w:lang w:val="de-DE" w:eastAsia="de-DE" w:bidi="de-DE"/>
              </w:rPr>
            </w:pPr>
          </w:p>
        </w:tc>
        <w:tc>
          <w:tcPr>
            <w:tcW w:w="990" w:type="dxa"/>
          </w:tcPr>
          <w:p w14:paraId="1611278E" w14:textId="77777777" w:rsidR="00A524AE" w:rsidRPr="002D396F" w:rsidRDefault="00A524AE" w:rsidP="00A524AE">
            <w:pPr>
              <w:suppressAutoHyphens w:val="0"/>
              <w:spacing w:line="246" w:lineRule="exact"/>
              <w:ind w:left="241"/>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Tank</w:t>
            </w:r>
          </w:p>
          <w:p w14:paraId="2B274010" w14:textId="77777777" w:rsidR="00A524AE" w:rsidRPr="002D396F" w:rsidRDefault="00A524AE" w:rsidP="00A524AE">
            <w:pPr>
              <w:suppressAutoHyphens w:val="0"/>
              <w:spacing w:line="240" w:lineRule="exact"/>
              <w:ind w:left="128"/>
              <w:rPr>
                <w:rFonts w:ascii="Times New Roman" w:eastAsia="Arial" w:hAnsi="Times New Roman"/>
                <w:sz w:val="20"/>
                <w:szCs w:val="20"/>
                <w:lang w:val="de-DE" w:eastAsia="de-DE" w:bidi="de-DE"/>
              </w:rPr>
            </w:pPr>
            <w:r w:rsidRPr="002D396F">
              <w:rPr>
                <w:rFonts w:ascii="Times New Roman" w:eastAsia="Arial" w:hAnsi="Times New Roman"/>
                <w:b/>
                <w:sz w:val="20"/>
                <w:szCs w:val="20"/>
                <w:lang w:val="de-DE" w:eastAsia="de-DE" w:bidi="de-DE"/>
              </w:rPr>
              <w:t>(Liter)</w:t>
            </w:r>
            <w:r w:rsidRPr="002D396F">
              <w:rPr>
                <w:rFonts w:ascii="Times New Roman" w:eastAsia="Arial" w:hAnsi="Times New Roman"/>
                <w:position w:val="8"/>
                <w:sz w:val="16"/>
                <w:szCs w:val="16"/>
                <w:lang w:val="de-DE" w:eastAsia="de-DE" w:bidi="de-DE"/>
              </w:rPr>
              <w:t>c)</w:t>
            </w:r>
          </w:p>
        </w:tc>
        <w:tc>
          <w:tcPr>
            <w:tcW w:w="1417" w:type="dxa"/>
          </w:tcPr>
          <w:p w14:paraId="4E0CC77F" w14:textId="3628354E" w:rsidR="00A524AE" w:rsidRPr="002D396F" w:rsidRDefault="00A524AE" w:rsidP="00A524AE">
            <w:pPr>
              <w:suppressAutoHyphens w:val="0"/>
              <w:spacing w:line="246" w:lineRule="exact"/>
              <w:ind w:left="120"/>
              <w:rPr>
                <w:rFonts w:ascii="Times New Roman" w:eastAsia="Arial" w:hAnsi="Times New Roman"/>
                <w:sz w:val="20"/>
                <w:szCs w:val="20"/>
                <w:lang w:val="de-DE" w:eastAsia="de-DE" w:bidi="de-DE"/>
              </w:rPr>
            </w:pPr>
            <w:r w:rsidRPr="002D396F">
              <w:rPr>
                <w:rFonts w:ascii="Times New Roman" w:eastAsia="Arial" w:hAnsi="Times New Roman"/>
                <w:b/>
                <w:sz w:val="20"/>
                <w:szCs w:val="20"/>
                <w:lang w:val="de-DE" w:eastAsia="de-DE" w:bidi="de-DE"/>
              </w:rPr>
              <w:t>lose Schüttung (kg)</w:t>
            </w:r>
            <w:r w:rsidRPr="002D396F">
              <w:rPr>
                <w:rFonts w:ascii="Times New Roman" w:eastAsia="Arial" w:hAnsi="Times New Roman"/>
                <w:position w:val="8"/>
                <w:sz w:val="16"/>
                <w:szCs w:val="16"/>
                <w:lang w:val="de-DE" w:eastAsia="de-DE" w:bidi="de-DE"/>
              </w:rPr>
              <w:t>d)</w:t>
            </w:r>
          </w:p>
        </w:tc>
        <w:tc>
          <w:tcPr>
            <w:tcW w:w="1273" w:type="dxa"/>
          </w:tcPr>
          <w:p w14:paraId="619EBECD" w14:textId="5F78D101" w:rsidR="00A524AE" w:rsidRPr="002D396F" w:rsidRDefault="00A524AE" w:rsidP="00A524AE">
            <w:pPr>
              <w:suppressAutoHyphens w:val="0"/>
              <w:spacing w:line="248" w:lineRule="exact"/>
              <w:ind w:left="172"/>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Versand</w:t>
            </w:r>
            <w:r w:rsidR="00546B99" w:rsidRPr="002D396F">
              <w:rPr>
                <w:rFonts w:ascii="Times New Roman" w:eastAsia="Arial" w:hAnsi="Times New Roman"/>
                <w:b/>
                <w:sz w:val="20"/>
                <w:szCs w:val="20"/>
                <w:lang w:val="de-DE" w:eastAsia="de-DE" w:bidi="de-DE"/>
              </w:rPr>
              <w:softHyphen/>
            </w:r>
            <w:r w:rsidRPr="002D396F">
              <w:rPr>
                <w:rFonts w:ascii="Times New Roman" w:eastAsia="Arial" w:hAnsi="Times New Roman"/>
                <w:b/>
                <w:sz w:val="20"/>
                <w:szCs w:val="20"/>
                <w:lang w:val="de-DE" w:eastAsia="de-DE" w:bidi="de-DE"/>
              </w:rPr>
              <w:t>stück (kg)</w:t>
            </w:r>
          </w:p>
        </w:tc>
      </w:tr>
      <w:tr w:rsidR="00A524AE" w:rsidRPr="002D396F" w14:paraId="2BA857A6" w14:textId="77777777" w:rsidTr="00591AC6">
        <w:trPr>
          <w:trHeight w:val="760"/>
        </w:trPr>
        <w:tc>
          <w:tcPr>
            <w:tcW w:w="926" w:type="dxa"/>
          </w:tcPr>
          <w:p w14:paraId="0D033568" w14:textId="77777777" w:rsidR="00A524AE" w:rsidRPr="002D396F" w:rsidRDefault="00A524AE" w:rsidP="00A524AE">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1</w:t>
            </w:r>
          </w:p>
        </w:tc>
        <w:tc>
          <w:tcPr>
            <w:tcW w:w="928" w:type="dxa"/>
          </w:tcPr>
          <w:p w14:paraId="4F24A109" w14:textId="77777777" w:rsidR="00A524AE" w:rsidRPr="002D396F" w:rsidRDefault="00A524AE" w:rsidP="00A524AE">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1.6</w:t>
            </w:r>
          </w:p>
        </w:tc>
        <w:tc>
          <w:tcPr>
            <w:tcW w:w="2788" w:type="dxa"/>
          </w:tcPr>
          <w:p w14:paraId="58739374" w14:textId="4990A58E" w:rsidR="00A524AE" w:rsidRPr="002D396F" w:rsidRDefault="00A524AE" w:rsidP="00A524AE">
            <w:pPr>
              <w:suppressAutoHyphens w:val="0"/>
              <w:spacing w:line="250" w:lineRule="exact"/>
              <w:ind w:left="111"/>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explosive Stoffe und Gegenstände mit Explosivstoff</w:t>
            </w:r>
          </w:p>
        </w:tc>
        <w:tc>
          <w:tcPr>
            <w:tcW w:w="990" w:type="dxa"/>
          </w:tcPr>
          <w:p w14:paraId="64ECBC87" w14:textId="77777777" w:rsidR="00A524AE" w:rsidRPr="002D396F" w:rsidRDefault="00A524AE" w:rsidP="00A524AE">
            <w:pPr>
              <w:suppressAutoHyphens w:val="0"/>
              <w:spacing w:line="154" w:lineRule="exact"/>
              <w:ind w:left="415" w:right="400"/>
              <w:jc w:val="center"/>
              <w:rPr>
                <w:rFonts w:ascii="Times New Roman" w:eastAsia="Arial" w:hAnsi="Times New Roman"/>
                <w:sz w:val="20"/>
                <w:szCs w:val="20"/>
                <w:lang w:val="de-DE" w:eastAsia="de-DE" w:bidi="de-DE"/>
              </w:rPr>
            </w:pPr>
            <w:r w:rsidRPr="002D396F">
              <w:rPr>
                <w:rFonts w:ascii="Times New Roman" w:eastAsia="Arial" w:hAnsi="Times New Roman"/>
                <w:sz w:val="18"/>
                <w:szCs w:val="18"/>
                <w:lang w:val="de-DE" w:eastAsia="de-DE" w:bidi="de-DE"/>
              </w:rPr>
              <w:t>a)</w:t>
            </w:r>
          </w:p>
        </w:tc>
        <w:tc>
          <w:tcPr>
            <w:tcW w:w="1417" w:type="dxa"/>
          </w:tcPr>
          <w:p w14:paraId="69097CC1" w14:textId="77777777" w:rsidR="00A524AE" w:rsidRPr="002D396F" w:rsidRDefault="00A524AE" w:rsidP="00A524AE">
            <w:pPr>
              <w:suppressAutoHyphens w:val="0"/>
              <w:spacing w:line="154" w:lineRule="exact"/>
              <w:ind w:left="629" w:right="612"/>
              <w:jc w:val="center"/>
              <w:rPr>
                <w:rFonts w:ascii="Times New Roman" w:eastAsia="Arial" w:hAnsi="Times New Roman"/>
                <w:sz w:val="20"/>
                <w:szCs w:val="20"/>
                <w:lang w:val="de-DE" w:eastAsia="de-DE" w:bidi="de-DE"/>
              </w:rPr>
            </w:pPr>
            <w:r w:rsidRPr="002D396F">
              <w:rPr>
                <w:rFonts w:ascii="Times New Roman" w:eastAsia="Arial" w:hAnsi="Times New Roman"/>
                <w:sz w:val="18"/>
                <w:szCs w:val="18"/>
                <w:lang w:val="de-DE" w:eastAsia="de-DE" w:bidi="de-DE"/>
              </w:rPr>
              <w:t>a)</w:t>
            </w:r>
          </w:p>
        </w:tc>
        <w:tc>
          <w:tcPr>
            <w:tcW w:w="1273" w:type="dxa"/>
          </w:tcPr>
          <w:p w14:paraId="2C03DFAA" w14:textId="77777777" w:rsidR="00A524AE" w:rsidRPr="002D396F" w:rsidRDefault="00A524AE" w:rsidP="00A524AE">
            <w:pPr>
              <w:suppressAutoHyphens w:val="0"/>
              <w:spacing w:line="250" w:lineRule="exact"/>
              <w:ind w:left="20"/>
              <w:jc w:val="center"/>
              <w:rPr>
                <w:rFonts w:ascii="Times New Roman" w:eastAsia="Arial" w:hAnsi="Times New Roman"/>
                <w:sz w:val="20"/>
                <w:szCs w:val="20"/>
                <w:lang w:val="de-DE" w:eastAsia="de-DE" w:bidi="de-DE"/>
              </w:rPr>
            </w:pPr>
            <w:r w:rsidRPr="002D396F">
              <w:rPr>
                <w:rFonts w:ascii="Times New Roman" w:eastAsia="Arial" w:hAnsi="Times New Roman"/>
                <w:sz w:val="18"/>
                <w:szCs w:val="18"/>
                <w:lang w:val="de-DE" w:eastAsia="de-DE" w:bidi="de-DE"/>
              </w:rPr>
              <w:t>0</w:t>
            </w:r>
          </w:p>
        </w:tc>
      </w:tr>
    </w:tbl>
    <w:p w14:paraId="74373B71" w14:textId="43882F4F" w:rsidR="00A524AE" w:rsidRPr="002D396F" w:rsidRDefault="006964A4" w:rsidP="006964A4">
      <w:pPr>
        <w:widowControl w:val="0"/>
        <w:suppressAutoHyphens w:val="0"/>
        <w:autoSpaceDE w:val="0"/>
        <w:autoSpaceDN w:val="0"/>
        <w:spacing w:line="249" w:lineRule="exact"/>
        <w:ind w:left="1891"/>
        <w:jc w:val="right"/>
        <w:rPr>
          <w:rFonts w:ascii="Arial" w:eastAsia="Arial" w:hAnsi="Arial" w:cs="Arial"/>
          <w:sz w:val="22"/>
          <w:szCs w:val="22"/>
          <w:lang w:val="de-DE" w:eastAsia="de-DE" w:bidi="de-DE"/>
        </w:rPr>
      </w:pPr>
      <w:r w:rsidRPr="002D396F">
        <w:rPr>
          <w:rFonts w:ascii="Arial" w:eastAsia="Arial" w:hAnsi="Arial" w:cs="Arial"/>
          <w:sz w:val="22"/>
          <w:szCs w:val="22"/>
          <w:lang w:val="de-DE" w:eastAsia="de-DE" w:bidi="de-DE"/>
        </w:rPr>
        <w:t>“</w:t>
      </w:r>
      <w:r w:rsidR="00A05041">
        <w:rPr>
          <w:rFonts w:ascii="Arial" w:eastAsia="Arial" w:hAnsi="Arial" w:cs="Arial"/>
          <w:sz w:val="22"/>
          <w:szCs w:val="22"/>
          <w:lang w:val="de-DE" w:eastAsia="de-DE" w:bidi="de-DE"/>
        </w:rPr>
        <w:t>.</w:t>
      </w:r>
    </w:p>
    <w:p w14:paraId="6E65D780" w14:textId="6D254A79" w:rsidR="00A524AE" w:rsidRPr="002D396F" w:rsidRDefault="00A524AE" w:rsidP="00A524AE">
      <w:pPr>
        <w:pStyle w:val="SingleTxtG"/>
        <w:numPr>
          <w:ilvl w:val="0"/>
          <w:numId w:val="46"/>
        </w:numPr>
        <w:tabs>
          <w:tab w:val="left" w:pos="2268"/>
        </w:tabs>
        <w:rPr>
          <w:lang w:val="de-DE"/>
        </w:rPr>
      </w:pPr>
      <w:r w:rsidRPr="002D396F">
        <w:rPr>
          <w:lang w:val="de-DE"/>
        </w:rPr>
        <w:lastRenderedPageBreak/>
        <w:t>Unter „Klasse 6.2“ erhält die Eintragung in der dritten Spalte folgenden Wortlaut:</w:t>
      </w:r>
    </w:p>
    <w:p w14:paraId="540937A5" w14:textId="71971403" w:rsidR="00A524AE" w:rsidRPr="002D396F" w:rsidRDefault="00A524AE" w:rsidP="00A524AE">
      <w:pPr>
        <w:pStyle w:val="SingleTxtG"/>
        <w:ind w:left="2694"/>
        <w:rPr>
          <w:lang w:val="de-DE"/>
        </w:rPr>
      </w:pPr>
      <w:r w:rsidRPr="002D396F">
        <w:rPr>
          <w:lang w:val="de-DE"/>
        </w:rPr>
        <w:t>„ansteckungsgefährliche Stoffe der Kategorie A (UN-Nummern 2814 und 2900 [mit Ausnahme von tierischen Stoffen]) und medizinische Abfälle der Kategorie A (UN-Nummer 3549)“.</w:t>
      </w:r>
    </w:p>
    <w:p w14:paraId="49951439" w14:textId="26321AB9" w:rsidR="00A524AE" w:rsidRPr="002D396F" w:rsidRDefault="003A1330" w:rsidP="00A524AE">
      <w:pPr>
        <w:pStyle w:val="SingleTxtG"/>
        <w:tabs>
          <w:tab w:val="left" w:pos="2268"/>
        </w:tabs>
        <w:ind w:left="2259" w:hanging="1125"/>
        <w:rPr>
          <w:lang w:val="de-DE"/>
        </w:rPr>
      </w:pPr>
      <w:r w:rsidRPr="002D396F">
        <w:rPr>
          <w:lang w:val="de-DE"/>
        </w:rPr>
        <w:t>1.10.5</w:t>
      </w:r>
      <w:r w:rsidRPr="002D396F">
        <w:rPr>
          <w:lang w:val="de-DE"/>
        </w:rPr>
        <w:tab/>
      </w:r>
      <w:r w:rsidR="00A524AE" w:rsidRPr="002D396F">
        <w:rPr>
          <w:lang w:val="de-DE"/>
        </w:rPr>
        <w:t xml:space="preserve">„The </w:t>
      </w:r>
      <w:proofErr w:type="spellStart"/>
      <w:r w:rsidR="00A524AE" w:rsidRPr="002D396F">
        <w:rPr>
          <w:lang w:val="de-DE"/>
        </w:rPr>
        <w:t>Physical</w:t>
      </w:r>
      <w:proofErr w:type="spellEnd"/>
      <w:r w:rsidR="00A524AE" w:rsidRPr="002D396F">
        <w:rPr>
          <w:lang w:val="de-DE"/>
        </w:rPr>
        <w:t xml:space="preserve"> </w:t>
      </w:r>
      <w:proofErr w:type="spellStart"/>
      <w:r w:rsidR="00A524AE" w:rsidRPr="002D396F">
        <w:rPr>
          <w:lang w:val="de-DE"/>
        </w:rPr>
        <w:t>Protection</w:t>
      </w:r>
      <w:proofErr w:type="spellEnd"/>
      <w:r w:rsidR="00A524AE" w:rsidRPr="002D396F">
        <w:rPr>
          <w:lang w:val="de-DE"/>
        </w:rPr>
        <w:t xml:space="preserve"> </w:t>
      </w:r>
      <w:proofErr w:type="spellStart"/>
      <w:r w:rsidR="00A524AE" w:rsidRPr="002D396F">
        <w:rPr>
          <w:lang w:val="de-DE"/>
        </w:rPr>
        <w:t>of</w:t>
      </w:r>
      <w:proofErr w:type="spellEnd"/>
      <w:r w:rsidR="00A524AE" w:rsidRPr="002D396F">
        <w:rPr>
          <w:lang w:val="de-DE"/>
        </w:rPr>
        <w:t xml:space="preserve"> </w:t>
      </w:r>
      <w:proofErr w:type="spellStart"/>
      <w:r w:rsidR="00A524AE" w:rsidRPr="002D396F">
        <w:rPr>
          <w:lang w:val="de-DE"/>
        </w:rPr>
        <w:t>Nuclear</w:t>
      </w:r>
      <w:proofErr w:type="spellEnd"/>
      <w:r w:rsidR="00A524AE" w:rsidRPr="002D396F">
        <w:rPr>
          <w:lang w:val="de-DE"/>
        </w:rPr>
        <w:t xml:space="preserve"> Material and </w:t>
      </w:r>
      <w:proofErr w:type="spellStart"/>
      <w:r w:rsidR="00A524AE" w:rsidRPr="002D396F">
        <w:rPr>
          <w:lang w:val="de-DE"/>
        </w:rPr>
        <w:t>Nuclear</w:t>
      </w:r>
      <w:proofErr w:type="spellEnd"/>
      <w:r w:rsidR="00A524AE" w:rsidRPr="002D396F">
        <w:rPr>
          <w:lang w:val="de-DE"/>
        </w:rPr>
        <w:t xml:space="preserve"> </w:t>
      </w:r>
      <w:proofErr w:type="spellStart"/>
      <w:r w:rsidR="00A524AE" w:rsidRPr="002D396F">
        <w:rPr>
          <w:lang w:val="de-DE"/>
        </w:rPr>
        <w:t>Facilities</w:t>
      </w:r>
      <w:proofErr w:type="spellEnd"/>
      <w:r w:rsidR="00070855" w:rsidRPr="002D396F">
        <w:rPr>
          <w:lang w:val="de-DE"/>
        </w:rPr>
        <w:t>“</w:t>
      </w:r>
      <w:r w:rsidR="00A524AE" w:rsidRPr="002D396F">
        <w:rPr>
          <w:lang w:val="de-DE"/>
        </w:rPr>
        <w:t xml:space="preserve"> (IAEA-Rundschreiben über den physischen Schutz von Kernmaterial und Atomanlagen)“ ändern in:</w:t>
      </w:r>
    </w:p>
    <w:p w14:paraId="19873032" w14:textId="314F51AF" w:rsidR="00A524AE" w:rsidRPr="002D396F" w:rsidRDefault="00070855" w:rsidP="00A524AE">
      <w:pPr>
        <w:pStyle w:val="SingleTxtG"/>
        <w:ind w:left="2259" w:firstLine="9"/>
        <w:rPr>
          <w:lang w:val="de-DE"/>
        </w:rPr>
      </w:pPr>
      <w:r w:rsidRPr="002D396F">
        <w:rPr>
          <w:lang w:val="de-DE"/>
        </w:rPr>
        <w:t>„</w:t>
      </w:r>
      <w:proofErr w:type="spellStart"/>
      <w:r w:rsidR="00A524AE" w:rsidRPr="002D396F">
        <w:rPr>
          <w:lang w:val="de-DE"/>
        </w:rPr>
        <w:t>Nuclear</w:t>
      </w:r>
      <w:proofErr w:type="spellEnd"/>
      <w:r w:rsidR="00A524AE" w:rsidRPr="002D396F">
        <w:rPr>
          <w:lang w:val="de-DE"/>
        </w:rPr>
        <w:t xml:space="preserve"> Security </w:t>
      </w:r>
      <w:proofErr w:type="spellStart"/>
      <w:r w:rsidR="00A524AE" w:rsidRPr="002D396F">
        <w:rPr>
          <w:lang w:val="de-DE"/>
        </w:rPr>
        <w:t>Recommendations</w:t>
      </w:r>
      <w:proofErr w:type="spellEnd"/>
      <w:r w:rsidR="00A524AE" w:rsidRPr="002D396F">
        <w:rPr>
          <w:lang w:val="de-DE"/>
        </w:rPr>
        <w:t xml:space="preserve"> on </w:t>
      </w:r>
      <w:proofErr w:type="spellStart"/>
      <w:r w:rsidR="00A524AE" w:rsidRPr="002D396F">
        <w:rPr>
          <w:lang w:val="de-DE"/>
        </w:rPr>
        <w:t>Physical</w:t>
      </w:r>
      <w:proofErr w:type="spellEnd"/>
      <w:r w:rsidR="00A524AE" w:rsidRPr="002D396F">
        <w:rPr>
          <w:lang w:val="de-DE"/>
        </w:rPr>
        <w:t xml:space="preserve"> </w:t>
      </w:r>
      <w:proofErr w:type="spellStart"/>
      <w:r w:rsidR="00A524AE" w:rsidRPr="002D396F">
        <w:rPr>
          <w:lang w:val="de-DE"/>
        </w:rPr>
        <w:t>Protection</w:t>
      </w:r>
      <w:proofErr w:type="spellEnd"/>
      <w:r w:rsidR="00A524AE" w:rsidRPr="002D396F">
        <w:rPr>
          <w:lang w:val="de-DE"/>
        </w:rPr>
        <w:t xml:space="preserve"> </w:t>
      </w:r>
      <w:proofErr w:type="spellStart"/>
      <w:r w:rsidR="00A524AE" w:rsidRPr="002D396F">
        <w:rPr>
          <w:lang w:val="de-DE"/>
        </w:rPr>
        <w:t>of</w:t>
      </w:r>
      <w:proofErr w:type="spellEnd"/>
      <w:r w:rsidR="00A524AE" w:rsidRPr="002D396F">
        <w:rPr>
          <w:lang w:val="de-DE"/>
        </w:rPr>
        <w:t xml:space="preserve"> </w:t>
      </w:r>
      <w:proofErr w:type="spellStart"/>
      <w:r w:rsidR="00A524AE" w:rsidRPr="002D396F">
        <w:rPr>
          <w:lang w:val="de-DE"/>
        </w:rPr>
        <w:t>Nuclear</w:t>
      </w:r>
      <w:proofErr w:type="spellEnd"/>
      <w:r w:rsidR="00A524AE" w:rsidRPr="002D396F">
        <w:rPr>
          <w:lang w:val="de-DE"/>
        </w:rPr>
        <w:t xml:space="preserve"> Material and </w:t>
      </w:r>
      <w:proofErr w:type="spellStart"/>
      <w:r w:rsidR="00A524AE" w:rsidRPr="002D396F">
        <w:rPr>
          <w:lang w:val="de-DE"/>
        </w:rPr>
        <w:t>Nuclear</w:t>
      </w:r>
      <w:proofErr w:type="spellEnd"/>
      <w:r w:rsidR="00A524AE" w:rsidRPr="002D396F">
        <w:rPr>
          <w:lang w:val="de-DE"/>
        </w:rPr>
        <w:t xml:space="preserve"> </w:t>
      </w:r>
      <w:proofErr w:type="spellStart"/>
      <w:r w:rsidR="00A524AE" w:rsidRPr="002D396F">
        <w:rPr>
          <w:lang w:val="de-DE"/>
        </w:rPr>
        <w:t>Facilities</w:t>
      </w:r>
      <w:proofErr w:type="spellEnd"/>
      <w:r w:rsidRPr="002D396F">
        <w:rPr>
          <w:lang w:val="de-DE"/>
        </w:rPr>
        <w:t>“</w:t>
      </w:r>
      <w:r w:rsidR="00A524AE" w:rsidRPr="002D396F">
        <w:rPr>
          <w:lang w:val="de-DE"/>
        </w:rPr>
        <w:t xml:space="preserve"> (IAEA-Rundschreiben über nukleare Sicherheitsempfehlungen zum physischen Schutz von Kernmaterial und Atomanlagen“.</w:t>
      </w:r>
    </w:p>
    <w:p w14:paraId="4DF267CC" w14:textId="5A8BBE5E" w:rsidR="00A524AE" w:rsidRPr="002D396F" w:rsidRDefault="00A524AE" w:rsidP="00A524AE">
      <w:pPr>
        <w:pStyle w:val="SingleTxtG"/>
        <w:tabs>
          <w:tab w:val="left" w:pos="2268"/>
        </w:tabs>
        <w:ind w:left="2259" w:hanging="1125"/>
        <w:rPr>
          <w:lang w:val="de-DE" w:bidi="de-DE"/>
        </w:rPr>
      </w:pPr>
      <w:r w:rsidRPr="002D396F">
        <w:rPr>
          <w:lang w:val="de-DE" w:bidi="de-DE"/>
        </w:rPr>
        <w:tab/>
        <w:t>Die Fußnote 2</w:t>
      </w:r>
      <w:r w:rsidR="00602926">
        <w:rPr>
          <w:lang w:val="de-DE" w:bidi="de-DE"/>
        </w:rPr>
        <w:t>)</w:t>
      </w:r>
      <w:r w:rsidRPr="002D396F">
        <w:rPr>
          <w:lang w:val="de-DE" w:bidi="de-DE"/>
        </w:rPr>
        <w:t xml:space="preserve"> erhält folgenden Wortlaut: „2) INFCIRC/225/Rev.5, IAEA, Wien (2011).“</w:t>
      </w:r>
      <w:r w:rsidR="00A05041">
        <w:rPr>
          <w:lang w:val="de-DE" w:bidi="de-DE"/>
        </w:rPr>
        <w:t>.</w:t>
      </w:r>
    </w:p>
    <w:p w14:paraId="5052A539" w14:textId="1612E623" w:rsidR="003A1330" w:rsidRPr="002D396F" w:rsidRDefault="003A1330" w:rsidP="003A1330">
      <w:pPr>
        <w:pStyle w:val="H1G"/>
        <w:rPr>
          <w:lang w:val="de-DE"/>
        </w:rPr>
      </w:pPr>
      <w:r w:rsidRPr="002D396F">
        <w:rPr>
          <w:lang w:val="de-DE"/>
        </w:rPr>
        <w:tab/>
      </w:r>
      <w:r w:rsidRPr="002D396F">
        <w:rPr>
          <w:lang w:val="de-DE"/>
        </w:rPr>
        <w:tab/>
      </w:r>
      <w:r w:rsidR="00A524AE" w:rsidRPr="002D396F">
        <w:rPr>
          <w:lang w:val="de-DE"/>
        </w:rPr>
        <w:t>Kapitel</w:t>
      </w:r>
      <w:r w:rsidRPr="002D396F">
        <w:rPr>
          <w:lang w:val="de-DE"/>
        </w:rPr>
        <w:t xml:space="preserve"> 2.1</w:t>
      </w:r>
    </w:p>
    <w:p w14:paraId="09D1674B" w14:textId="3E12FFBB" w:rsidR="00A524AE" w:rsidRPr="002D396F" w:rsidRDefault="003A1330" w:rsidP="00A524AE">
      <w:pPr>
        <w:pStyle w:val="SingleTxtG"/>
        <w:ind w:left="2259" w:hanging="1125"/>
        <w:rPr>
          <w:lang w:val="de-DE"/>
        </w:rPr>
      </w:pPr>
      <w:r w:rsidRPr="002D396F">
        <w:rPr>
          <w:lang w:val="de-DE"/>
        </w:rPr>
        <w:t>2.1.5.4</w:t>
      </w:r>
      <w:r w:rsidRPr="002D396F">
        <w:rPr>
          <w:lang w:val="de-DE"/>
        </w:rPr>
        <w:tab/>
      </w:r>
      <w:r w:rsidR="00A524AE" w:rsidRPr="002D396F">
        <w:rPr>
          <w:lang w:val="de-DE"/>
        </w:rPr>
        <w:t>Am Ende folgenden Satz hinzufügen: „Dieser Abschnitt gilt jedoch für Gegenstände, die explosive Stoffe enthalten, die in Übereinstimmung mit Absatz 2.2.1.1.8.2 aus der Klasse 1 ausgeschlossen sind.“</w:t>
      </w:r>
      <w:r w:rsidR="00A05041">
        <w:rPr>
          <w:lang w:val="de-DE"/>
        </w:rPr>
        <w:t>.</w:t>
      </w:r>
    </w:p>
    <w:p w14:paraId="4F8D60DB" w14:textId="429C0BD8" w:rsidR="003A1330" w:rsidRPr="002D396F" w:rsidRDefault="003A1330" w:rsidP="003A1330">
      <w:pPr>
        <w:pStyle w:val="H1G"/>
        <w:rPr>
          <w:lang w:val="de-DE"/>
        </w:rPr>
      </w:pPr>
      <w:r w:rsidRPr="002D396F">
        <w:rPr>
          <w:lang w:val="de-DE"/>
        </w:rPr>
        <w:tab/>
      </w:r>
      <w:r w:rsidRPr="002D396F">
        <w:rPr>
          <w:lang w:val="de-DE"/>
        </w:rPr>
        <w:tab/>
      </w:r>
      <w:r w:rsidR="00A524AE" w:rsidRPr="002D396F">
        <w:rPr>
          <w:lang w:val="de-DE"/>
        </w:rPr>
        <w:t>Kapitel</w:t>
      </w:r>
      <w:r w:rsidRPr="002D396F">
        <w:rPr>
          <w:lang w:val="de-DE"/>
        </w:rPr>
        <w:t xml:space="preserve"> 2.2</w:t>
      </w:r>
    </w:p>
    <w:p w14:paraId="7DC99D14" w14:textId="76E22836" w:rsidR="003A1330" w:rsidRPr="002D396F" w:rsidRDefault="003A1330" w:rsidP="003A1330">
      <w:pPr>
        <w:pStyle w:val="SingleTxtG"/>
        <w:ind w:left="2259" w:hanging="1125"/>
        <w:rPr>
          <w:lang w:val="de-DE"/>
        </w:rPr>
      </w:pPr>
      <w:bookmarkStart w:id="8" w:name="_Hlk10113789"/>
      <w:r w:rsidRPr="002D396F">
        <w:rPr>
          <w:b/>
          <w:bCs/>
          <w:lang w:val="de-DE"/>
        </w:rPr>
        <w:t xml:space="preserve">(ADR:) </w:t>
      </w:r>
      <w:r w:rsidRPr="002D396F">
        <w:rPr>
          <w:lang w:val="de-DE"/>
        </w:rPr>
        <w:t>2.2.1.1.7.2</w:t>
      </w:r>
    </w:p>
    <w:p w14:paraId="1E79D831" w14:textId="77777777" w:rsidR="00533945" w:rsidRDefault="00591AC6" w:rsidP="00533945">
      <w:pPr>
        <w:pStyle w:val="SingleTxtG"/>
        <w:ind w:left="2268"/>
        <w:rPr>
          <w:lang w:val="de-DE"/>
        </w:rPr>
      </w:pPr>
      <w:r w:rsidRPr="002D396F">
        <w:rPr>
          <w:lang w:val="de-DE"/>
        </w:rPr>
        <w:t>[Die erste Änderung zum ersten Satz in der englischen Fassung hat keine Auswirkungen auf den deutschen Text.]</w:t>
      </w:r>
      <w:bookmarkEnd w:id="8"/>
    </w:p>
    <w:p w14:paraId="46B7D4E8" w14:textId="75D599CA" w:rsidR="00533945" w:rsidRDefault="003A1330" w:rsidP="00533945">
      <w:pPr>
        <w:pStyle w:val="SingleTxtG"/>
        <w:rPr>
          <w:lang w:val="de-DE" w:eastAsia="en-GB"/>
        </w:rPr>
      </w:pPr>
      <w:r w:rsidRPr="002D396F">
        <w:rPr>
          <w:lang w:val="de-DE" w:eastAsia="en-GB"/>
        </w:rPr>
        <w:t>2.2.1.1.7.2</w:t>
      </w:r>
    </w:p>
    <w:p w14:paraId="1D05F1DC" w14:textId="156F9D07" w:rsidR="00591AC6" w:rsidRPr="002D396F" w:rsidRDefault="00591AC6" w:rsidP="00533945">
      <w:pPr>
        <w:pStyle w:val="SingleTxtG"/>
        <w:ind w:left="2268"/>
        <w:rPr>
          <w:lang w:val="de-DE" w:eastAsia="en-GB"/>
        </w:rPr>
      </w:pPr>
      <w:r w:rsidRPr="002D396F">
        <w:rPr>
          <w:lang w:val="de-DE" w:eastAsia="en-GB"/>
        </w:rPr>
        <w:t>Im ersten Satz nach „oder 0336“ einfügen:</w:t>
      </w:r>
    </w:p>
    <w:p w14:paraId="3E30C4E5" w14:textId="188FD3F0" w:rsidR="00591AC6" w:rsidRPr="002D396F" w:rsidRDefault="00591AC6" w:rsidP="00533945">
      <w:pPr>
        <w:pStyle w:val="SingleTxtG"/>
        <w:ind w:left="2268"/>
        <w:rPr>
          <w:lang w:val="de-DE" w:eastAsia="en-GB"/>
        </w:rPr>
      </w:pPr>
      <w:r w:rsidRPr="002D396F">
        <w:rPr>
          <w:lang w:val="de-DE" w:eastAsia="en-GB"/>
        </w:rPr>
        <w:t xml:space="preserve">„sowie [die Zuordnung] von Gegenständen zur UN-Nummer 0431, sofern diese für </w:t>
      </w:r>
      <w:r w:rsidR="006D7BF7">
        <w:rPr>
          <w:lang w:val="de-DE" w:eastAsia="en-GB"/>
        </w:rPr>
        <w:t>bühnenpyrotechnische</w:t>
      </w:r>
      <w:r w:rsidR="006D7BF7" w:rsidRPr="002D396F">
        <w:rPr>
          <w:lang w:val="de-DE" w:eastAsia="en-GB"/>
        </w:rPr>
        <w:t xml:space="preserve"> </w:t>
      </w:r>
      <w:r w:rsidRPr="002D396F">
        <w:rPr>
          <w:lang w:val="de-DE" w:eastAsia="en-GB"/>
        </w:rPr>
        <w:t>Effekte verwendet werden, die der Begriffsbestimmung für den Typ des Gegenstands und der Spezifikation 1.4G in der Tabelle für die vorgegebene Klassifizierung von Feuerwerkskörpern in Absatz 2.2.1.1.7.5 entsprechen,“.</w:t>
      </w:r>
    </w:p>
    <w:p w14:paraId="7776542F" w14:textId="50943D53" w:rsidR="003A1330" w:rsidRPr="002D396F" w:rsidRDefault="003A1330" w:rsidP="003A1330">
      <w:pPr>
        <w:pStyle w:val="SingleTxtG"/>
        <w:ind w:left="2259" w:hanging="1125"/>
        <w:rPr>
          <w:lang w:val="de-DE"/>
        </w:rPr>
      </w:pPr>
      <w:bookmarkStart w:id="9" w:name="_Hlk10113808"/>
      <w:r w:rsidRPr="002D396F">
        <w:rPr>
          <w:lang w:val="de-DE" w:eastAsia="en-GB"/>
        </w:rPr>
        <w:t xml:space="preserve">2.2.1.1.8.2 </w:t>
      </w:r>
      <w:r w:rsidRPr="002D396F">
        <w:rPr>
          <w:lang w:val="de-DE"/>
        </w:rPr>
        <w:t>b)</w:t>
      </w:r>
      <w:r w:rsidRPr="002D396F">
        <w:rPr>
          <w:lang w:val="de-DE"/>
        </w:rPr>
        <w:tab/>
      </w:r>
    </w:p>
    <w:p w14:paraId="2DEC38E7" w14:textId="77777777" w:rsidR="0044686B" w:rsidRPr="002D396F" w:rsidRDefault="003A1330" w:rsidP="0044686B">
      <w:pPr>
        <w:pStyle w:val="SingleTxtG"/>
        <w:ind w:left="2259" w:hanging="1125"/>
        <w:rPr>
          <w:lang w:val="de-DE"/>
        </w:rPr>
      </w:pPr>
      <w:r w:rsidRPr="002D396F">
        <w:rPr>
          <w:lang w:val="de-DE"/>
        </w:rPr>
        <w:tab/>
      </w:r>
      <w:r w:rsidR="0044686B" w:rsidRPr="002D396F">
        <w:rPr>
          <w:lang w:val="de-DE"/>
        </w:rPr>
        <w:t>In der Bem. zu Absatz b) streichen:</w:t>
      </w:r>
    </w:p>
    <w:p w14:paraId="405E341E" w14:textId="19E25D84" w:rsidR="0044686B" w:rsidRPr="002D396F" w:rsidRDefault="0044686B" w:rsidP="0044686B">
      <w:pPr>
        <w:pStyle w:val="SingleTxtG"/>
        <w:ind w:left="2259" w:firstLine="9"/>
        <w:rPr>
          <w:lang w:val="de-DE"/>
        </w:rPr>
      </w:pPr>
      <w:r w:rsidRPr="002D396F">
        <w:rPr>
          <w:lang w:val="de-DE"/>
        </w:rPr>
        <w:t>„wie beispielsweise in der Norm ISO 12097-3 beschrieben,“ und folgenden neuen Satz hinzufügen:</w:t>
      </w:r>
    </w:p>
    <w:p w14:paraId="38DB3EB6" w14:textId="79E96BC4" w:rsidR="0044686B" w:rsidRPr="002D396F" w:rsidRDefault="0044686B" w:rsidP="0044686B">
      <w:pPr>
        <w:pStyle w:val="SingleTxtG"/>
        <w:ind w:left="2259" w:firstLine="9"/>
        <w:rPr>
          <w:lang w:val="de-DE"/>
        </w:rPr>
      </w:pPr>
      <w:r w:rsidRPr="002D396F">
        <w:rPr>
          <w:lang w:val="de-DE"/>
        </w:rPr>
        <w:t>„Eine solche Methode ist in der Norm ISO 14451-2 mit einer Aufheizrate von 80 K/min beschrieben.“</w:t>
      </w:r>
      <w:r w:rsidR="00A05041">
        <w:rPr>
          <w:lang w:val="de-DE"/>
        </w:rPr>
        <w:t>.</w:t>
      </w:r>
    </w:p>
    <w:p w14:paraId="227E397B" w14:textId="78A98CA6" w:rsidR="0044686B" w:rsidRPr="002D396F" w:rsidRDefault="003A1330" w:rsidP="0044686B">
      <w:pPr>
        <w:pStyle w:val="SingleTxtG"/>
        <w:ind w:left="2268" w:hanging="1134"/>
        <w:rPr>
          <w:lang w:val="de-DE"/>
        </w:rPr>
      </w:pPr>
      <w:r w:rsidRPr="002D396F">
        <w:rPr>
          <w:lang w:val="de-DE"/>
        </w:rPr>
        <w:t>2.2.1.4</w:t>
      </w:r>
      <w:r w:rsidRPr="002D396F">
        <w:rPr>
          <w:lang w:val="de-DE"/>
        </w:rPr>
        <w:tab/>
      </w:r>
      <w:r w:rsidR="0044686B" w:rsidRPr="002D396F">
        <w:rPr>
          <w:lang w:val="de-DE"/>
        </w:rPr>
        <w:t>In der Begriffsbestimmung von „GEGENSTÄNDE MIT EXPLOSIVSTOFF, EXTREM UNEMPFINDLICH (GEGENSTÄNDE, EEI): UN-Nummer 0486“ „Gegenstände, die nur extrem unempfindliche Stoffe enthalten“ ändern in:</w:t>
      </w:r>
    </w:p>
    <w:p w14:paraId="2D875902" w14:textId="7E0CF0F5" w:rsidR="0044686B" w:rsidRPr="002D396F" w:rsidRDefault="0044686B" w:rsidP="0044686B">
      <w:pPr>
        <w:pStyle w:val="SingleTxtG"/>
        <w:ind w:left="2268"/>
        <w:rPr>
          <w:lang w:val="de-DE"/>
        </w:rPr>
      </w:pPr>
      <w:r w:rsidRPr="002D396F">
        <w:rPr>
          <w:lang w:val="de-DE"/>
        </w:rPr>
        <w:t>„Gegenstände, die überwiegend extrem unempfindliche Stoffe enthalten“.</w:t>
      </w:r>
    </w:p>
    <w:p w14:paraId="6E283844" w14:textId="0381B9C5" w:rsidR="003A1330" w:rsidRPr="002D396F" w:rsidRDefault="00EA4F02" w:rsidP="003A1330">
      <w:pPr>
        <w:pStyle w:val="SingleTxtG"/>
        <w:rPr>
          <w:i/>
          <w:iCs/>
          <w:lang w:val="de-DE"/>
        </w:rPr>
      </w:pPr>
      <w:r w:rsidRPr="002D396F">
        <w:rPr>
          <w:i/>
          <w:iCs/>
          <w:lang w:val="de-DE"/>
        </w:rPr>
        <w:t xml:space="preserve">(Korrektur der </w:t>
      </w:r>
      <w:r w:rsidR="003A1330" w:rsidRPr="002D396F">
        <w:rPr>
          <w:i/>
          <w:iCs/>
          <w:lang w:val="de-DE"/>
        </w:rPr>
        <w:t>20</w:t>
      </w:r>
      <w:r w:rsidRPr="002D396F">
        <w:rPr>
          <w:i/>
          <w:iCs/>
          <w:lang w:val="de-DE"/>
        </w:rPr>
        <w:t>. revidierten Fassung</w:t>
      </w:r>
      <w:r w:rsidR="003A1330" w:rsidRPr="002D396F">
        <w:rPr>
          <w:i/>
          <w:iCs/>
          <w:lang w:val="de-DE"/>
        </w:rPr>
        <w:t xml:space="preserve"> </w:t>
      </w:r>
      <w:r w:rsidRPr="002D396F">
        <w:rPr>
          <w:i/>
          <w:iCs/>
          <w:lang w:val="de-DE"/>
        </w:rPr>
        <w:t xml:space="preserve">der </w:t>
      </w:r>
      <w:r w:rsidR="003A1330" w:rsidRPr="002D396F">
        <w:rPr>
          <w:i/>
          <w:iCs/>
          <w:lang w:val="de-DE"/>
        </w:rPr>
        <w:t>Mode</w:t>
      </w:r>
      <w:r w:rsidRPr="002D396F">
        <w:rPr>
          <w:i/>
          <w:iCs/>
          <w:lang w:val="de-DE"/>
        </w:rPr>
        <w:t>l</w:t>
      </w:r>
      <w:r w:rsidR="003A1330" w:rsidRPr="002D396F">
        <w:rPr>
          <w:i/>
          <w:iCs/>
          <w:lang w:val="de-DE"/>
        </w:rPr>
        <w:t>l</w:t>
      </w:r>
      <w:r w:rsidRPr="002D396F">
        <w:rPr>
          <w:i/>
          <w:iCs/>
          <w:lang w:val="de-DE"/>
        </w:rPr>
        <w:t>vorschriften</w:t>
      </w:r>
      <w:r w:rsidR="003A1330" w:rsidRPr="002D396F">
        <w:rPr>
          <w:i/>
          <w:iCs/>
          <w:lang w:val="de-DE"/>
        </w:rPr>
        <w:t>)</w:t>
      </w:r>
    </w:p>
    <w:bookmarkEnd w:id="9"/>
    <w:p w14:paraId="6D9B577E" w14:textId="77777777" w:rsidR="00533945" w:rsidRDefault="00533945">
      <w:pPr>
        <w:suppressAutoHyphens w:val="0"/>
        <w:spacing w:line="240" w:lineRule="auto"/>
        <w:rPr>
          <w:lang w:val="de-DE"/>
        </w:rPr>
      </w:pPr>
      <w:r>
        <w:rPr>
          <w:lang w:val="de-DE"/>
        </w:rPr>
        <w:br w:type="page"/>
      </w:r>
    </w:p>
    <w:p w14:paraId="12F6377E" w14:textId="3AF895E5" w:rsidR="0044686B" w:rsidRPr="002D396F" w:rsidRDefault="003A1330" w:rsidP="0044686B">
      <w:pPr>
        <w:pStyle w:val="SingleTxtG"/>
        <w:ind w:left="2259" w:hanging="1125"/>
        <w:rPr>
          <w:lang w:val="de-DE"/>
        </w:rPr>
      </w:pPr>
      <w:r w:rsidRPr="002D396F">
        <w:rPr>
          <w:lang w:val="de-DE"/>
        </w:rPr>
        <w:lastRenderedPageBreak/>
        <w:t>2.2.1.4</w:t>
      </w:r>
      <w:r w:rsidRPr="002D396F">
        <w:rPr>
          <w:lang w:val="de-DE"/>
        </w:rPr>
        <w:tab/>
      </w:r>
      <w:r w:rsidR="0044686B" w:rsidRPr="002D396F">
        <w:rPr>
          <w:lang w:val="de-DE"/>
        </w:rPr>
        <w:t>Nach der Begriffsbestimmung von „SPRENGKAPSELN, ELEKTRISCH: UN-Nummern 0030, 0255, 0456“ einfügen:</w:t>
      </w:r>
    </w:p>
    <w:p w14:paraId="7C94359F" w14:textId="5D2DA3FA" w:rsidR="006F03A7" w:rsidRPr="002D396F" w:rsidRDefault="0044686B" w:rsidP="00FC06C9">
      <w:pPr>
        <w:pStyle w:val="SingleTxtG"/>
        <w:ind w:left="2259" w:firstLine="9"/>
        <w:rPr>
          <w:lang w:val="de-DE"/>
        </w:rPr>
      </w:pPr>
      <w:r w:rsidRPr="002D396F">
        <w:rPr>
          <w:lang w:val="de-DE"/>
        </w:rPr>
        <w:t>„SPRENGKAPSELN, ELEKTRONISCH, programmierbar: UN-Nummern 0511, 0512, 0513</w:t>
      </w:r>
    </w:p>
    <w:p w14:paraId="136698F0" w14:textId="0AD83F4F" w:rsidR="0044686B" w:rsidRPr="002D396F" w:rsidRDefault="0044686B" w:rsidP="0044686B">
      <w:pPr>
        <w:pStyle w:val="SingleTxtG"/>
        <w:ind w:left="2259" w:firstLine="9"/>
        <w:rPr>
          <w:lang w:val="de-DE"/>
        </w:rPr>
      </w:pPr>
      <w:r w:rsidRPr="002D396F">
        <w:rPr>
          <w:lang w:val="de-DE"/>
        </w:rPr>
        <w:t>Sprengkapseln mit verbesserten Sicherheits- und Sicherungsmerkmalen, die elektronische Komponenten verwenden, um ein Zündsignal mit validierten Befehlen und sicherer Kommunikation zu übertragen. Sprengkapseln dieser Art können nicht mit anderen Mitteln ausgelöst werden.“</w:t>
      </w:r>
      <w:r w:rsidR="00A05041">
        <w:rPr>
          <w:lang w:val="de-DE"/>
        </w:rPr>
        <w:t>.</w:t>
      </w:r>
    </w:p>
    <w:p w14:paraId="172D07B8" w14:textId="68E3C0E5" w:rsidR="00AD21B5" w:rsidRPr="002D396F" w:rsidRDefault="003A1330" w:rsidP="00AD21B5">
      <w:pPr>
        <w:pStyle w:val="SingleTxtG"/>
        <w:ind w:left="2259" w:hanging="1125"/>
        <w:rPr>
          <w:lang w:val="de-DE"/>
        </w:rPr>
      </w:pPr>
      <w:r w:rsidRPr="002D396F">
        <w:rPr>
          <w:lang w:val="de-DE"/>
        </w:rPr>
        <w:t>2.2.2.1.5</w:t>
      </w:r>
      <w:r w:rsidRPr="002D396F">
        <w:rPr>
          <w:lang w:val="de-DE"/>
        </w:rPr>
        <w:tab/>
      </w:r>
      <w:r w:rsidR="00AD21B5" w:rsidRPr="002D396F">
        <w:rPr>
          <w:lang w:val="de-DE"/>
        </w:rPr>
        <w:t>Unter der Überschrift „Entzündbare Gase“ im Satz nach Absatz b) „ISO 10156:2010“ ändern in: „ISO 10156:2017“.</w:t>
      </w:r>
    </w:p>
    <w:p w14:paraId="16F4CBEA" w14:textId="4169E584" w:rsidR="00AD21B5" w:rsidRPr="002D396F" w:rsidRDefault="00AD21B5" w:rsidP="0054610A">
      <w:pPr>
        <w:pStyle w:val="SingleTxtG"/>
        <w:ind w:left="2259" w:firstLine="9"/>
        <w:rPr>
          <w:lang w:val="de-DE"/>
        </w:rPr>
      </w:pPr>
      <w:r w:rsidRPr="002D396F">
        <w:rPr>
          <w:lang w:val="de-DE"/>
        </w:rPr>
        <w:t>Unter der Überschrift „Oxidierende Gase“ im zweiten Satz „ISO 10156:2010“ ändern in: „ISO 10156:2017“.</w:t>
      </w:r>
    </w:p>
    <w:p w14:paraId="026D9442" w14:textId="7ABF5BDF" w:rsidR="0054610A" w:rsidRPr="002D396F" w:rsidRDefault="0054610A" w:rsidP="0054610A">
      <w:pPr>
        <w:pStyle w:val="SingleTxtG"/>
        <w:rPr>
          <w:lang w:val="de-DE"/>
        </w:rPr>
      </w:pPr>
      <w:bookmarkStart w:id="10" w:name="_Hlk10113904"/>
      <w:r w:rsidRPr="002D396F">
        <w:rPr>
          <w:lang w:val="de-DE"/>
        </w:rPr>
        <w:t>2.2.41.1.4</w:t>
      </w:r>
      <w:r w:rsidRPr="002D396F">
        <w:rPr>
          <w:lang w:val="de-DE"/>
        </w:rPr>
        <w:tab/>
        <w:t>„Handbuch Prüfungen und Kriterien Teil III Unterabschnitt 33.2.1“ ändern in: „Handbuch Prüfungen und Kriterien Teil III Unterabschnitt 33.2“ (zweimal).</w:t>
      </w:r>
    </w:p>
    <w:p w14:paraId="0201C6C8" w14:textId="0784E000" w:rsidR="0054610A" w:rsidRPr="002D396F" w:rsidRDefault="0054610A" w:rsidP="0054610A">
      <w:pPr>
        <w:pStyle w:val="SingleTxtG"/>
        <w:rPr>
          <w:lang w:val="de-DE"/>
        </w:rPr>
      </w:pPr>
      <w:r w:rsidRPr="002D396F">
        <w:rPr>
          <w:lang w:val="de-DE"/>
        </w:rPr>
        <w:t>2.2.41.1.5</w:t>
      </w:r>
      <w:r w:rsidRPr="002D396F">
        <w:rPr>
          <w:lang w:val="de-DE"/>
        </w:rPr>
        <w:tab/>
        <w:t>Im Einleitungssatz „Handbuch Prüfungen und Kriterien Teil III Unterabschnitt 33.2.1“ ändern in: „Handbuch Prüfungen und Kriterien Teil III Unterabschnitt 33.2“.</w:t>
      </w:r>
    </w:p>
    <w:p w14:paraId="68FAFB10" w14:textId="723FB442" w:rsidR="0054610A" w:rsidRPr="002D396F" w:rsidRDefault="0054610A" w:rsidP="0054610A">
      <w:pPr>
        <w:pStyle w:val="SingleTxtG"/>
        <w:rPr>
          <w:lang w:val="de-DE"/>
        </w:rPr>
      </w:pPr>
      <w:r w:rsidRPr="002D396F">
        <w:rPr>
          <w:lang w:val="de-DE"/>
        </w:rPr>
        <w:t>2.2.41.1.6</w:t>
      </w:r>
      <w:r w:rsidRPr="002D396F">
        <w:rPr>
          <w:lang w:val="de-DE"/>
        </w:rPr>
        <w:tab/>
        <w:t>„Handbuch Prüfungen und Kriterien Teil III Unterabschnitt 33.2.1“ ändern in: „Handbuch Prüfungen und Kriterien Teil III Unterabschnitt 33.2“.</w:t>
      </w:r>
    </w:p>
    <w:p w14:paraId="035FE669" w14:textId="2D5472BB" w:rsidR="0054610A" w:rsidRPr="002D396F" w:rsidRDefault="0054610A" w:rsidP="0054610A">
      <w:pPr>
        <w:pStyle w:val="SingleTxtG"/>
        <w:rPr>
          <w:lang w:val="de-DE"/>
        </w:rPr>
      </w:pPr>
      <w:r w:rsidRPr="002D396F">
        <w:rPr>
          <w:lang w:val="de-DE"/>
        </w:rPr>
        <w:t>2.2.41.1.8</w:t>
      </w:r>
      <w:r w:rsidRPr="002D396F">
        <w:rPr>
          <w:lang w:val="de-DE"/>
        </w:rPr>
        <w:tab/>
        <w:t>Im Einleitungssatz „Handbuch Prüfungen und Kriterien Teil III Unterabschnitt 33.2.1“ ändern in: „Handbuch Prüfungen und Kriterien Teil III Unterabschnitt 33.2“.</w:t>
      </w:r>
    </w:p>
    <w:p w14:paraId="4EC93B1D" w14:textId="035876B8" w:rsidR="0054610A" w:rsidRPr="002D396F" w:rsidRDefault="0054610A" w:rsidP="0054610A">
      <w:pPr>
        <w:pStyle w:val="SingleTxtG"/>
        <w:rPr>
          <w:lang w:val="de-DE"/>
        </w:rPr>
      </w:pPr>
      <w:r w:rsidRPr="002D396F">
        <w:rPr>
          <w:lang w:val="de-DE"/>
        </w:rPr>
        <w:t>2.2.41.1.10</w:t>
      </w:r>
      <w:r w:rsidRPr="002D396F">
        <w:rPr>
          <w:lang w:val="de-DE"/>
        </w:rPr>
        <w:tab/>
      </w:r>
      <w:r w:rsidR="00A05041">
        <w:rPr>
          <w:lang w:val="de-DE"/>
        </w:rPr>
        <w:t>„</w:t>
      </w:r>
      <w:r w:rsidRPr="002D396F">
        <w:rPr>
          <w:lang w:val="de-DE"/>
        </w:rPr>
        <w:t xml:space="preserve">aromatische </w:t>
      </w:r>
      <w:proofErr w:type="spellStart"/>
      <w:r w:rsidRPr="002D396F">
        <w:rPr>
          <w:lang w:val="de-DE"/>
        </w:rPr>
        <w:t>Sulfohydrazide</w:t>
      </w:r>
      <w:proofErr w:type="spellEnd"/>
      <w:r w:rsidR="00A05041">
        <w:rPr>
          <w:lang w:val="de-DE"/>
        </w:rPr>
        <w:t>“</w:t>
      </w:r>
      <w:r w:rsidRPr="002D396F">
        <w:rPr>
          <w:lang w:val="de-DE"/>
        </w:rPr>
        <w:t xml:space="preserve"> ändern in: </w:t>
      </w:r>
      <w:r w:rsidR="00A05041">
        <w:rPr>
          <w:lang w:val="de-DE"/>
        </w:rPr>
        <w:t>„</w:t>
      </w:r>
      <w:r w:rsidRPr="002D396F">
        <w:rPr>
          <w:lang w:val="de-DE"/>
        </w:rPr>
        <w:t xml:space="preserve">aromatische </w:t>
      </w:r>
      <w:proofErr w:type="spellStart"/>
      <w:r w:rsidRPr="002D396F">
        <w:rPr>
          <w:lang w:val="de-DE"/>
        </w:rPr>
        <w:t>Sulfonylhydrazide</w:t>
      </w:r>
      <w:proofErr w:type="spellEnd"/>
      <w:r w:rsidR="00A05041">
        <w:rPr>
          <w:lang w:val="de-DE"/>
        </w:rPr>
        <w:t>“</w:t>
      </w:r>
      <w:r w:rsidRPr="002D396F">
        <w:rPr>
          <w:lang w:val="de-DE"/>
        </w:rPr>
        <w:t>.</w:t>
      </w:r>
    </w:p>
    <w:p w14:paraId="632AE7C3" w14:textId="4A72D22B" w:rsidR="003A1330" w:rsidRPr="002D396F" w:rsidRDefault="003A1330" w:rsidP="003A1330">
      <w:pPr>
        <w:pStyle w:val="SingleTxtG"/>
        <w:rPr>
          <w:i/>
          <w:iCs/>
          <w:lang w:val="de-DE"/>
        </w:rPr>
      </w:pPr>
      <w:r w:rsidRPr="002D396F">
        <w:rPr>
          <w:i/>
          <w:iCs/>
          <w:lang w:val="de-DE"/>
        </w:rPr>
        <w:t>(</w:t>
      </w:r>
      <w:r w:rsidR="00EA4F02" w:rsidRPr="002D396F">
        <w:rPr>
          <w:i/>
          <w:iCs/>
          <w:lang w:val="de-DE"/>
        </w:rPr>
        <w:t>Korrektur der 20. revidierten Fassung der Modellvorschriften</w:t>
      </w:r>
      <w:r w:rsidRPr="002D396F">
        <w:rPr>
          <w:i/>
          <w:iCs/>
          <w:lang w:val="de-DE"/>
        </w:rPr>
        <w:t>)</w:t>
      </w:r>
    </w:p>
    <w:p w14:paraId="38857818" w14:textId="7352AECF" w:rsidR="00F91DD9" w:rsidRPr="002D396F" w:rsidRDefault="00F91DD9" w:rsidP="00F91DD9">
      <w:pPr>
        <w:pStyle w:val="SingleTxtG"/>
        <w:rPr>
          <w:lang w:val="de-DE"/>
        </w:rPr>
      </w:pPr>
      <w:bookmarkStart w:id="11" w:name="_Hlk10113960"/>
      <w:bookmarkEnd w:id="10"/>
      <w:r w:rsidRPr="002D396F">
        <w:rPr>
          <w:lang w:val="de-DE"/>
        </w:rPr>
        <w:t>2.2.42.1.4</w:t>
      </w:r>
      <w:r w:rsidRPr="002D396F">
        <w:rPr>
          <w:lang w:val="de-DE"/>
        </w:rPr>
        <w:tab/>
      </w:r>
      <w:r w:rsidR="001E124C" w:rsidRPr="002D396F">
        <w:rPr>
          <w:lang w:val="de-DE"/>
        </w:rPr>
        <w:t>„</w:t>
      </w:r>
      <w:r w:rsidRPr="002D396F">
        <w:rPr>
          <w:lang w:val="de-DE"/>
        </w:rPr>
        <w:t>Handbuch Prüfungen und Kriterien Teil III Unterabschnitt 33.3</w:t>
      </w:r>
      <w:r w:rsidR="001E124C" w:rsidRPr="002D396F">
        <w:rPr>
          <w:lang w:val="de-DE"/>
        </w:rPr>
        <w:t>“</w:t>
      </w:r>
      <w:r w:rsidRPr="002D396F">
        <w:rPr>
          <w:lang w:val="de-DE"/>
        </w:rPr>
        <w:t xml:space="preserve"> ändern in: </w:t>
      </w:r>
      <w:r w:rsidR="001E124C" w:rsidRPr="002D396F">
        <w:rPr>
          <w:lang w:val="de-DE"/>
        </w:rPr>
        <w:t>„</w:t>
      </w:r>
      <w:r w:rsidRPr="002D396F">
        <w:rPr>
          <w:lang w:val="de-DE"/>
        </w:rPr>
        <w:t>Handbuch Prüfungen und Kriterien Teil III Unterabschnitt 33.4</w:t>
      </w:r>
      <w:r w:rsidR="001E124C" w:rsidRPr="002D396F">
        <w:rPr>
          <w:lang w:val="de-DE"/>
        </w:rPr>
        <w:t>“</w:t>
      </w:r>
      <w:r w:rsidRPr="002D396F">
        <w:rPr>
          <w:lang w:val="de-DE"/>
        </w:rPr>
        <w:t xml:space="preserve"> (zweimal).</w:t>
      </w:r>
    </w:p>
    <w:p w14:paraId="6D804177" w14:textId="13BC4105" w:rsidR="00F91DD9" w:rsidRPr="002D396F" w:rsidRDefault="00F91DD9" w:rsidP="00F91DD9">
      <w:pPr>
        <w:pStyle w:val="SingleTxtG"/>
        <w:rPr>
          <w:lang w:val="de-DE"/>
        </w:rPr>
      </w:pPr>
      <w:r w:rsidRPr="002D396F">
        <w:rPr>
          <w:lang w:val="de-DE"/>
        </w:rPr>
        <w:t>2.2.42.1.5</w:t>
      </w:r>
      <w:r w:rsidRPr="002D396F">
        <w:rPr>
          <w:lang w:val="de-DE"/>
        </w:rPr>
        <w:tab/>
        <w:t xml:space="preserve">Im Einleitungssatz </w:t>
      </w:r>
      <w:r w:rsidR="001E124C" w:rsidRPr="002D396F">
        <w:rPr>
          <w:lang w:val="de-DE"/>
        </w:rPr>
        <w:t>„</w:t>
      </w:r>
      <w:r w:rsidRPr="002D396F">
        <w:rPr>
          <w:lang w:val="de-DE"/>
        </w:rPr>
        <w:t>Handbuch Prüfungen und Kriterien Teil III Unterabschnitt 33.3</w:t>
      </w:r>
      <w:r w:rsidR="001E124C" w:rsidRPr="002D396F">
        <w:rPr>
          <w:lang w:val="de-DE"/>
        </w:rPr>
        <w:t>“</w:t>
      </w:r>
      <w:r w:rsidRPr="002D396F">
        <w:rPr>
          <w:lang w:val="de-DE"/>
        </w:rPr>
        <w:t xml:space="preserve"> ändern in:</w:t>
      </w:r>
      <w:r w:rsidR="001E124C" w:rsidRPr="002D396F">
        <w:rPr>
          <w:lang w:val="de-DE"/>
        </w:rPr>
        <w:t xml:space="preserve"> „</w:t>
      </w:r>
      <w:r w:rsidRPr="002D396F">
        <w:rPr>
          <w:lang w:val="de-DE"/>
        </w:rPr>
        <w:t>Handbuch Prüfungen und Kriterien Teil III Unterabschnitt 33.4</w:t>
      </w:r>
      <w:r w:rsidR="001E124C" w:rsidRPr="002D396F">
        <w:rPr>
          <w:lang w:val="de-DE"/>
        </w:rPr>
        <w:t>“</w:t>
      </w:r>
      <w:r w:rsidRPr="002D396F">
        <w:rPr>
          <w:lang w:val="de-DE"/>
        </w:rPr>
        <w:t>.</w:t>
      </w:r>
    </w:p>
    <w:p w14:paraId="2D017327" w14:textId="60C26DC2" w:rsidR="00F91DD9" w:rsidRPr="002D396F" w:rsidRDefault="00F91DD9" w:rsidP="00F91DD9">
      <w:pPr>
        <w:pStyle w:val="SingleTxtG"/>
        <w:rPr>
          <w:lang w:val="de-DE"/>
        </w:rPr>
      </w:pPr>
      <w:r w:rsidRPr="002D396F">
        <w:rPr>
          <w:lang w:val="de-DE"/>
        </w:rPr>
        <w:t>2.2.42.1.7</w:t>
      </w:r>
      <w:r w:rsidRPr="002D396F">
        <w:rPr>
          <w:lang w:val="de-DE"/>
        </w:rPr>
        <w:tab/>
      </w:r>
      <w:r w:rsidR="001E124C" w:rsidRPr="002D396F">
        <w:rPr>
          <w:lang w:val="de-DE"/>
        </w:rPr>
        <w:t>„</w:t>
      </w:r>
      <w:r w:rsidRPr="002D396F">
        <w:rPr>
          <w:lang w:val="de-DE"/>
        </w:rPr>
        <w:t>Handbuch Prüfungen und Kriterien Teil III Unterabschnitt 33.3</w:t>
      </w:r>
      <w:r w:rsidR="001E124C" w:rsidRPr="002D396F">
        <w:rPr>
          <w:lang w:val="de-DE"/>
        </w:rPr>
        <w:t>“</w:t>
      </w:r>
      <w:r w:rsidRPr="002D396F">
        <w:rPr>
          <w:lang w:val="de-DE"/>
        </w:rPr>
        <w:t xml:space="preserve"> ändern in: </w:t>
      </w:r>
      <w:r w:rsidR="001E124C" w:rsidRPr="002D396F">
        <w:rPr>
          <w:lang w:val="de-DE"/>
        </w:rPr>
        <w:t>„</w:t>
      </w:r>
      <w:r w:rsidRPr="002D396F">
        <w:rPr>
          <w:lang w:val="de-DE"/>
        </w:rPr>
        <w:t>Handbuch Prüfungen und Kriterien Teil III Unterabschnitt 33.4</w:t>
      </w:r>
      <w:r w:rsidR="001E124C" w:rsidRPr="002D396F">
        <w:rPr>
          <w:lang w:val="de-DE"/>
        </w:rPr>
        <w:t>“</w:t>
      </w:r>
      <w:r w:rsidRPr="002D396F">
        <w:rPr>
          <w:lang w:val="de-DE"/>
        </w:rPr>
        <w:t>.</w:t>
      </w:r>
    </w:p>
    <w:p w14:paraId="0145098E" w14:textId="4E00E8D1" w:rsidR="00F91DD9" w:rsidRPr="002D396F" w:rsidRDefault="00F91DD9" w:rsidP="00F91DD9">
      <w:pPr>
        <w:pStyle w:val="SingleTxtG"/>
        <w:rPr>
          <w:lang w:val="de-DE"/>
        </w:rPr>
      </w:pPr>
      <w:r w:rsidRPr="002D396F">
        <w:rPr>
          <w:lang w:val="de-DE"/>
        </w:rPr>
        <w:t>2.2.42.1.8</w:t>
      </w:r>
      <w:r w:rsidRPr="002D396F">
        <w:rPr>
          <w:lang w:val="de-DE"/>
        </w:rPr>
        <w:tab/>
        <w:t xml:space="preserve">Im Einleitungssatz </w:t>
      </w:r>
      <w:r w:rsidR="001E124C" w:rsidRPr="002D396F">
        <w:rPr>
          <w:lang w:val="de-DE"/>
        </w:rPr>
        <w:t>„</w:t>
      </w:r>
      <w:r w:rsidRPr="002D396F">
        <w:rPr>
          <w:lang w:val="de-DE"/>
        </w:rPr>
        <w:t>Handbuch Prüfungen und Kriterien Teil III Unterabschnitt 33.3</w:t>
      </w:r>
      <w:r w:rsidR="001E124C" w:rsidRPr="002D396F">
        <w:rPr>
          <w:lang w:val="de-DE"/>
        </w:rPr>
        <w:t>“</w:t>
      </w:r>
      <w:r w:rsidRPr="002D396F">
        <w:rPr>
          <w:lang w:val="de-DE"/>
        </w:rPr>
        <w:t xml:space="preserve"> ändern in:</w:t>
      </w:r>
      <w:r w:rsidR="001E124C" w:rsidRPr="002D396F">
        <w:rPr>
          <w:lang w:val="de-DE"/>
        </w:rPr>
        <w:t xml:space="preserve"> „</w:t>
      </w:r>
      <w:r w:rsidRPr="002D396F">
        <w:rPr>
          <w:lang w:val="de-DE"/>
        </w:rPr>
        <w:t>Handbuch Prüfungen und Kriterien Teil III Unterabschnitt 33.4</w:t>
      </w:r>
      <w:r w:rsidR="001E124C" w:rsidRPr="002D396F">
        <w:rPr>
          <w:lang w:val="de-DE"/>
        </w:rPr>
        <w:t>“</w:t>
      </w:r>
      <w:r w:rsidRPr="002D396F">
        <w:rPr>
          <w:lang w:val="de-DE"/>
        </w:rPr>
        <w:t>.</w:t>
      </w:r>
    </w:p>
    <w:p w14:paraId="31CFBCFA" w14:textId="1D188CE3" w:rsidR="00F91DD9" w:rsidRPr="002D396F" w:rsidRDefault="00F91DD9" w:rsidP="00F91DD9">
      <w:pPr>
        <w:pStyle w:val="SingleTxtG"/>
        <w:rPr>
          <w:lang w:val="de-DE"/>
        </w:rPr>
      </w:pPr>
      <w:r w:rsidRPr="002D396F">
        <w:rPr>
          <w:lang w:val="de-DE"/>
        </w:rPr>
        <w:t>2.2.43.1.4</w:t>
      </w:r>
      <w:r w:rsidRPr="002D396F">
        <w:rPr>
          <w:lang w:val="de-DE"/>
        </w:rPr>
        <w:tab/>
      </w:r>
      <w:r w:rsidR="001E124C" w:rsidRPr="002D396F">
        <w:rPr>
          <w:lang w:val="de-DE"/>
        </w:rPr>
        <w:t>„</w:t>
      </w:r>
      <w:r w:rsidRPr="002D396F">
        <w:rPr>
          <w:lang w:val="de-DE"/>
        </w:rPr>
        <w:t>Handbuch Prüfungen und Kriterien Teil III Unterabschnitt 33.4</w:t>
      </w:r>
      <w:r w:rsidR="001E124C" w:rsidRPr="002D396F">
        <w:rPr>
          <w:lang w:val="de-DE"/>
        </w:rPr>
        <w:t>“</w:t>
      </w:r>
      <w:r w:rsidRPr="002D396F">
        <w:rPr>
          <w:lang w:val="de-DE"/>
        </w:rPr>
        <w:t xml:space="preserve"> ändern in: </w:t>
      </w:r>
      <w:r w:rsidR="001E124C" w:rsidRPr="002D396F">
        <w:rPr>
          <w:lang w:val="de-DE"/>
        </w:rPr>
        <w:t>„</w:t>
      </w:r>
      <w:r w:rsidRPr="002D396F">
        <w:rPr>
          <w:lang w:val="de-DE"/>
        </w:rPr>
        <w:t>Handbuch Prüfungen und Kriterien Teil III Unterabschnitt 33.5</w:t>
      </w:r>
      <w:r w:rsidR="001E124C" w:rsidRPr="002D396F">
        <w:rPr>
          <w:lang w:val="de-DE"/>
        </w:rPr>
        <w:t>“</w:t>
      </w:r>
      <w:r w:rsidRPr="002D396F">
        <w:rPr>
          <w:lang w:val="de-DE"/>
        </w:rPr>
        <w:t>.</w:t>
      </w:r>
    </w:p>
    <w:p w14:paraId="117CCBAE" w14:textId="0BEF8052" w:rsidR="00F91DD9" w:rsidRPr="002D396F" w:rsidRDefault="00F91DD9" w:rsidP="00F91DD9">
      <w:pPr>
        <w:pStyle w:val="SingleTxtG"/>
        <w:rPr>
          <w:lang w:val="de-DE"/>
        </w:rPr>
      </w:pPr>
      <w:r w:rsidRPr="002D396F">
        <w:rPr>
          <w:lang w:val="de-DE"/>
        </w:rPr>
        <w:t>2.2.43.1.5</w:t>
      </w:r>
      <w:r w:rsidRPr="002D396F">
        <w:rPr>
          <w:lang w:val="de-DE"/>
        </w:rPr>
        <w:tab/>
        <w:t xml:space="preserve">Im Einleitungssatz </w:t>
      </w:r>
      <w:r w:rsidR="001E124C" w:rsidRPr="002D396F">
        <w:rPr>
          <w:lang w:val="de-DE"/>
        </w:rPr>
        <w:t>„</w:t>
      </w:r>
      <w:r w:rsidRPr="002D396F">
        <w:rPr>
          <w:lang w:val="de-DE"/>
        </w:rPr>
        <w:t>Handbuch Prüfungen und Kriterien Teil III Unterabschnitt 33.4</w:t>
      </w:r>
      <w:r w:rsidR="001E124C" w:rsidRPr="002D396F">
        <w:rPr>
          <w:lang w:val="de-DE"/>
        </w:rPr>
        <w:t>“</w:t>
      </w:r>
      <w:r w:rsidRPr="002D396F">
        <w:rPr>
          <w:lang w:val="de-DE"/>
        </w:rPr>
        <w:t xml:space="preserve"> ändern in:</w:t>
      </w:r>
      <w:r w:rsidR="001E124C" w:rsidRPr="002D396F">
        <w:rPr>
          <w:lang w:val="de-DE"/>
        </w:rPr>
        <w:t xml:space="preserve"> „</w:t>
      </w:r>
      <w:r w:rsidRPr="002D396F">
        <w:rPr>
          <w:lang w:val="de-DE"/>
        </w:rPr>
        <w:t>Handbuch Prüfungen und Kriterien Teil III Unterabschnitt 33.5</w:t>
      </w:r>
      <w:r w:rsidR="001E124C" w:rsidRPr="002D396F">
        <w:rPr>
          <w:lang w:val="de-DE"/>
        </w:rPr>
        <w:t>“</w:t>
      </w:r>
      <w:r w:rsidRPr="002D396F">
        <w:rPr>
          <w:lang w:val="de-DE"/>
        </w:rPr>
        <w:t>.</w:t>
      </w:r>
    </w:p>
    <w:p w14:paraId="0BA0E0EE" w14:textId="233782DC" w:rsidR="00F91DD9" w:rsidRPr="002D396F" w:rsidRDefault="00F91DD9" w:rsidP="00F91DD9">
      <w:pPr>
        <w:pStyle w:val="SingleTxtG"/>
        <w:rPr>
          <w:lang w:val="de-DE"/>
        </w:rPr>
      </w:pPr>
      <w:r w:rsidRPr="002D396F">
        <w:rPr>
          <w:lang w:val="de-DE"/>
        </w:rPr>
        <w:t>2.2.43.1.7</w:t>
      </w:r>
      <w:r w:rsidRPr="002D396F">
        <w:rPr>
          <w:lang w:val="de-DE"/>
        </w:rPr>
        <w:tab/>
      </w:r>
      <w:r w:rsidR="001E124C" w:rsidRPr="002D396F">
        <w:rPr>
          <w:lang w:val="de-DE"/>
        </w:rPr>
        <w:t>„</w:t>
      </w:r>
      <w:r w:rsidRPr="002D396F">
        <w:rPr>
          <w:lang w:val="de-DE"/>
        </w:rPr>
        <w:t>Handbuch Prüfungen und Kriterien Teil III Unterabschnitt 33.4</w:t>
      </w:r>
      <w:r w:rsidR="001E124C" w:rsidRPr="002D396F">
        <w:rPr>
          <w:lang w:val="de-DE"/>
        </w:rPr>
        <w:t>“</w:t>
      </w:r>
      <w:r w:rsidRPr="002D396F">
        <w:rPr>
          <w:lang w:val="de-DE"/>
        </w:rPr>
        <w:t xml:space="preserve"> ändern in: </w:t>
      </w:r>
      <w:r w:rsidR="001E124C" w:rsidRPr="002D396F">
        <w:rPr>
          <w:lang w:val="de-DE"/>
        </w:rPr>
        <w:t>„</w:t>
      </w:r>
      <w:r w:rsidRPr="002D396F">
        <w:rPr>
          <w:lang w:val="de-DE"/>
        </w:rPr>
        <w:t>Handbuch Prüfungen und Kriterien Teil III Unterabschnitt 33.5</w:t>
      </w:r>
      <w:r w:rsidR="001E124C" w:rsidRPr="002D396F">
        <w:rPr>
          <w:lang w:val="de-DE"/>
        </w:rPr>
        <w:t>“</w:t>
      </w:r>
      <w:r w:rsidRPr="002D396F">
        <w:rPr>
          <w:lang w:val="de-DE"/>
        </w:rPr>
        <w:t>.</w:t>
      </w:r>
    </w:p>
    <w:p w14:paraId="59322217" w14:textId="77777777" w:rsidR="001E124C" w:rsidRPr="002D396F" w:rsidRDefault="00F91DD9" w:rsidP="00F91DD9">
      <w:pPr>
        <w:pStyle w:val="SingleTxtG"/>
        <w:rPr>
          <w:lang w:val="de-DE"/>
        </w:rPr>
      </w:pPr>
      <w:r w:rsidRPr="002D396F">
        <w:rPr>
          <w:lang w:val="de-DE"/>
        </w:rPr>
        <w:t>2.2.43.1.8</w:t>
      </w:r>
      <w:r w:rsidRPr="002D396F">
        <w:rPr>
          <w:lang w:val="de-DE"/>
        </w:rPr>
        <w:tab/>
        <w:t xml:space="preserve">Im Einleitungssatz </w:t>
      </w:r>
      <w:r w:rsidR="001E124C" w:rsidRPr="002D396F">
        <w:rPr>
          <w:lang w:val="de-DE"/>
        </w:rPr>
        <w:t>„</w:t>
      </w:r>
      <w:r w:rsidRPr="002D396F">
        <w:rPr>
          <w:lang w:val="de-DE"/>
        </w:rPr>
        <w:t>Handbuch Prüfungen und Kriterien Teil III Unterabschnitt 33.4</w:t>
      </w:r>
      <w:r w:rsidR="001E124C" w:rsidRPr="002D396F">
        <w:rPr>
          <w:lang w:val="de-DE"/>
        </w:rPr>
        <w:t>“</w:t>
      </w:r>
      <w:r w:rsidRPr="002D396F">
        <w:rPr>
          <w:lang w:val="de-DE"/>
        </w:rPr>
        <w:t xml:space="preserve"> ändern in:</w:t>
      </w:r>
      <w:r w:rsidR="001E124C" w:rsidRPr="002D396F">
        <w:rPr>
          <w:lang w:val="de-DE"/>
        </w:rPr>
        <w:t xml:space="preserve"> „</w:t>
      </w:r>
      <w:r w:rsidRPr="002D396F">
        <w:rPr>
          <w:lang w:val="de-DE"/>
        </w:rPr>
        <w:t>Handbuch Prüfungen und Kriterien Teil III Unterabschnitt 33.5</w:t>
      </w:r>
      <w:r w:rsidR="001E124C" w:rsidRPr="002D396F">
        <w:rPr>
          <w:lang w:val="de-DE"/>
        </w:rPr>
        <w:t>“</w:t>
      </w:r>
      <w:r w:rsidRPr="002D396F">
        <w:rPr>
          <w:lang w:val="de-DE"/>
        </w:rPr>
        <w:t>.</w:t>
      </w:r>
    </w:p>
    <w:p w14:paraId="0F90BE40" w14:textId="11AB25A1" w:rsidR="003A1330" w:rsidRPr="002D396F" w:rsidRDefault="003A1330" w:rsidP="003D5772">
      <w:pPr>
        <w:pStyle w:val="SingleTxtG"/>
        <w:pageBreakBefore/>
        <w:ind w:left="2257" w:hanging="1123"/>
        <w:rPr>
          <w:lang w:val="de-DE" w:eastAsia="en-GB"/>
        </w:rPr>
      </w:pPr>
      <w:r w:rsidRPr="002D396F">
        <w:rPr>
          <w:b/>
          <w:bCs/>
          <w:lang w:val="de-DE" w:eastAsia="en-GB"/>
        </w:rPr>
        <w:lastRenderedPageBreak/>
        <w:t xml:space="preserve">(ADR/ADN:) </w:t>
      </w:r>
      <w:bookmarkEnd w:id="11"/>
      <w:r w:rsidRPr="002D396F">
        <w:rPr>
          <w:lang w:val="de-DE" w:eastAsia="en-GB"/>
        </w:rPr>
        <w:t>2.2.52.4</w:t>
      </w:r>
    </w:p>
    <w:p w14:paraId="6C86DA41" w14:textId="449DFD81" w:rsidR="001E124C" w:rsidRPr="002D396F" w:rsidRDefault="003A1330" w:rsidP="001E124C">
      <w:pPr>
        <w:pStyle w:val="SingleTxtG"/>
        <w:ind w:left="2259" w:hanging="1125"/>
        <w:rPr>
          <w:lang w:val="de-DE" w:eastAsia="en-GB"/>
        </w:rPr>
      </w:pPr>
      <w:r w:rsidRPr="002D396F">
        <w:rPr>
          <w:lang w:val="de-DE" w:eastAsia="en-GB"/>
        </w:rPr>
        <w:tab/>
      </w:r>
      <w:r w:rsidR="001E124C" w:rsidRPr="002D396F">
        <w:rPr>
          <w:lang w:val="de-DE" w:eastAsia="en-GB"/>
        </w:rPr>
        <w:t>In der Tabelle bei der Eintragung „DI-(4-tert-BUTYLCYCLOHEXYL)-PEROXYDICARBONAT“ in der Zeile „(als Paste)“, „Konzentration ≤ 42 %“ in der Spalte „Verpackungsmethode“ „OP7“ ändern in: „OP8“ und in der Spalte „UN-Nummer der Gattungseintragung“ „3116“ ändern in: „3118“.</w:t>
      </w:r>
    </w:p>
    <w:p w14:paraId="3BF3824A" w14:textId="6DE64C5F" w:rsidR="001E124C" w:rsidRPr="002D396F" w:rsidRDefault="003A1330" w:rsidP="001E124C">
      <w:pPr>
        <w:pStyle w:val="SingleTxtG"/>
        <w:ind w:left="2259" w:hanging="1125"/>
        <w:rPr>
          <w:lang w:val="de-DE"/>
        </w:rPr>
      </w:pPr>
      <w:r w:rsidRPr="002D396F">
        <w:rPr>
          <w:lang w:val="de-DE"/>
        </w:rPr>
        <w:t>2.2.62.1.1</w:t>
      </w:r>
      <w:r w:rsidRPr="002D396F">
        <w:rPr>
          <w:lang w:val="de-DE"/>
        </w:rPr>
        <w:tab/>
      </w:r>
      <w:r w:rsidR="001E124C" w:rsidRPr="002D396F">
        <w:rPr>
          <w:lang w:val="de-DE"/>
        </w:rPr>
        <w:t>Im zweiten Satz streichen: „Rickettsien,</w:t>
      </w:r>
      <w:r w:rsidR="00A05041">
        <w:rPr>
          <w:lang w:val="de-DE"/>
        </w:rPr>
        <w:t>“</w:t>
      </w:r>
      <w:r w:rsidR="001E124C" w:rsidRPr="002D396F">
        <w:rPr>
          <w:lang w:val="de-DE"/>
        </w:rPr>
        <w:t>.</w:t>
      </w:r>
    </w:p>
    <w:p w14:paraId="2B19A4D3" w14:textId="266B24A6" w:rsidR="001E124C" w:rsidRPr="002D396F" w:rsidRDefault="003A1330" w:rsidP="001E124C">
      <w:pPr>
        <w:pStyle w:val="SingleTxtG"/>
        <w:ind w:left="2259" w:hanging="1125"/>
        <w:rPr>
          <w:lang w:val="de-DE"/>
        </w:rPr>
      </w:pPr>
      <w:r w:rsidRPr="002D396F">
        <w:rPr>
          <w:lang w:val="de-DE"/>
        </w:rPr>
        <w:t>2.2.62.1.3</w:t>
      </w:r>
      <w:r w:rsidRPr="002D396F">
        <w:rPr>
          <w:lang w:val="de-DE"/>
        </w:rPr>
        <w:tab/>
      </w:r>
      <w:r w:rsidR="001E124C" w:rsidRPr="002D396F">
        <w:rPr>
          <w:lang w:val="de-DE"/>
        </w:rPr>
        <w:t>Die Begriffsbestimmung für „Medizinische oder klinische Abfälle“ erhält folgenden Wortlaut:</w:t>
      </w:r>
    </w:p>
    <w:p w14:paraId="69950B9C" w14:textId="370CC3F6" w:rsidR="001E124C" w:rsidRPr="002D396F" w:rsidRDefault="001E124C" w:rsidP="001E124C">
      <w:pPr>
        <w:pStyle w:val="SingleTxtG"/>
        <w:ind w:left="2259" w:firstLine="9"/>
        <w:rPr>
          <w:lang w:val="de-DE"/>
        </w:rPr>
      </w:pPr>
      <w:r w:rsidRPr="002D396F">
        <w:rPr>
          <w:lang w:val="de-DE"/>
        </w:rPr>
        <w:t>„Medizinische oder klinische Abfälle sind Abfälle, die aus der veterinärmedizinischen Behandlung von Tieren, der medizinischen Behandlung von Menschen oder aus der biologischen Forschung stammen.“</w:t>
      </w:r>
      <w:r w:rsidR="00A05041">
        <w:rPr>
          <w:lang w:val="de-DE"/>
        </w:rPr>
        <w:t>.</w:t>
      </w:r>
    </w:p>
    <w:p w14:paraId="0D8C9B22" w14:textId="22F66D62" w:rsidR="003A1330" w:rsidRPr="002D396F" w:rsidRDefault="003A1330" w:rsidP="003A1330">
      <w:pPr>
        <w:pStyle w:val="SingleTxtG"/>
        <w:ind w:left="2259" w:hanging="1125"/>
        <w:rPr>
          <w:lang w:val="de-DE"/>
        </w:rPr>
      </w:pPr>
      <w:r w:rsidRPr="002D396F">
        <w:rPr>
          <w:lang w:val="de-DE" w:eastAsia="en-GB"/>
        </w:rPr>
        <w:t>2.2.62.1.4</w:t>
      </w:r>
      <w:r w:rsidRPr="002D396F">
        <w:rPr>
          <w:lang w:val="de-DE"/>
        </w:rPr>
        <w:tab/>
      </w:r>
      <w:r w:rsidR="001E124C" w:rsidRPr="002D396F">
        <w:rPr>
          <w:lang w:val="de-DE"/>
        </w:rPr>
        <w:t>„oder</w:t>
      </w:r>
      <w:r w:rsidRPr="002D396F">
        <w:rPr>
          <w:lang w:val="de-DE"/>
        </w:rPr>
        <w:t xml:space="preserve"> 3373</w:t>
      </w:r>
      <w:r w:rsidR="001E124C" w:rsidRPr="002D396F">
        <w:rPr>
          <w:lang w:val="de-DE"/>
        </w:rPr>
        <w:t>“ ändern in: „</w:t>
      </w:r>
      <w:r w:rsidRPr="002D396F">
        <w:rPr>
          <w:lang w:val="de-DE"/>
        </w:rPr>
        <w:t xml:space="preserve">, 3373 </w:t>
      </w:r>
      <w:r w:rsidR="001E124C" w:rsidRPr="002D396F">
        <w:rPr>
          <w:lang w:val="de-DE"/>
        </w:rPr>
        <w:t>oder</w:t>
      </w:r>
      <w:r w:rsidRPr="002D396F">
        <w:rPr>
          <w:lang w:val="de-DE"/>
        </w:rPr>
        <w:t xml:space="preserve"> 3549</w:t>
      </w:r>
      <w:r w:rsidR="001E124C" w:rsidRPr="002D396F">
        <w:rPr>
          <w:lang w:val="de-DE"/>
        </w:rPr>
        <w:t>“</w:t>
      </w:r>
      <w:r w:rsidRPr="002D396F">
        <w:rPr>
          <w:lang w:val="de-DE"/>
        </w:rPr>
        <w:t>.</w:t>
      </w:r>
    </w:p>
    <w:p w14:paraId="152236C5" w14:textId="11DD28A2" w:rsidR="006F0DBD" w:rsidRPr="002D396F" w:rsidRDefault="003A1330" w:rsidP="006F0DBD">
      <w:pPr>
        <w:pStyle w:val="SingleTxtG"/>
        <w:ind w:left="2259" w:hanging="1125"/>
        <w:rPr>
          <w:lang w:val="de-DE"/>
        </w:rPr>
      </w:pPr>
      <w:r w:rsidRPr="002D396F">
        <w:rPr>
          <w:lang w:val="de-DE"/>
        </w:rPr>
        <w:t>2.2.62.1.4.1</w:t>
      </w:r>
      <w:r w:rsidR="006F0DBD" w:rsidRPr="002D396F">
        <w:rPr>
          <w:lang w:val="de-DE"/>
        </w:rPr>
        <w:tab/>
        <w:t>In der Bem. 1 „offizielle Benennung für die Beförderung“ ändern in: „Benennung“ (zweimal).</w:t>
      </w:r>
    </w:p>
    <w:p w14:paraId="5DAA8EFF" w14:textId="4A2E0804" w:rsidR="006F0DBD" w:rsidRPr="002D396F" w:rsidRDefault="006F0DBD" w:rsidP="006F0DBD">
      <w:pPr>
        <w:pStyle w:val="SingleTxtG"/>
        <w:ind w:left="2259"/>
        <w:rPr>
          <w:lang w:val="de-DE"/>
        </w:rPr>
      </w:pPr>
      <w:r w:rsidRPr="002D396F">
        <w:rPr>
          <w:lang w:val="de-DE"/>
        </w:rPr>
        <w:t>In der Bem. 3 streichen: „, Mykoplasmen, Rickettsien“.</w:t>
      </w:r>
    </w:p>
    <w:p w14:paraId="32F88D7F" w14:textId="670EC399" w:rsidR="003A1330" w:rsidRPr="002D396F" w:rsidRDefault="003A1330" w:rsidP="003A1330">
      <w:pPr>
        <w:pStyle w:val="SingleTxtG"/>
        <w:ind w:left="2259" w:hanging="1125"/>
        <w:rPr>
          <w:lang w:val="de-DE"/>
        </w:rPr>
      </w:pPr>
      <w:bookmarkStart w:id="12" w:name="_Hlk10123398"/>
      <w:r w:rsidRPr="002D396F">
        <w:rPr>
          <w:lang w:val="de-DE"/>
        </w:rPr>
        <w:t>2.2.62.1.4.2</w:t>
      </w:r>
      <w:r w:rsidR="00223250" w:rsidRPr="002D396F">
        <w:rPr>
          <w:lang w:val="de-DE"/>
        </w:rPr>
        <w:tab/>
        <w:t>In der Bem. „offizielle Benennung für die Beförderung“ ändern in: „Benennung“.</w:t>
      </w:r>
    </w:p>
    <w:bookmarkEnd w:id="12"/>
    <w:p w14:paraId="69F3D469" w14:textId="7277AA0B" w:rsidR="003A1330" w:rsidRPr="002D396F" w:rsidRDefault="003A1330" w:rsidP="003A1330">
      <w:pPr>
        <w:pStyle w:val="SingleTxtG"/>
        <w:ind w:left="2259" w:hanging="1125"/>
        <w:rPr>
          <w:lang w:val="de-DE"/>
        </w:rPr>
      </w:pPr>
      <w:r w:rsidRPr="002D396F">
        <w:rPr>
          <w:lang w:val="de-DE" w:eastAsia="en-GB"/>
        </w:rPr>
        <w:t xml:space="preserve">2.2.62.1.5.9 </w:t>
      </w:r>
      <w:r w:rsidR="00AA629E" w:rsidRPr="002D396F">
        <w:rPr>
          <w:lang w:val="de-DE" w:eastAsia="en-GB"/>
        </w:rPr>
        <w:tab/>
        <w:t>In Absatz a) erhält der in Klammern enthaltenen Text folgenden Wortlaut: „(UN-Nummern 3291 und 3549)“.</w:t>
      </w:r>
    </w:p>
    <w:p w14:paraId="4A28BE06" w14:textId="7C47FB95" w:rsidR="003A1330" w:rsidRPr="002D396F" w:rsidRDefault="003A1330" w:rsidP="003A1330">
      <w:pPr>
        <w:pStyle w:val="SingleTxtG"/>
        <w:ind w:left="2259" w:hanging="1125"/>
        <w:rPr>
          <w:lang w:val="de-DE"/>
        </w:rPr>
      </w:pPr>
      <w:r w:rsidRPr="002D396F">
        <w:rPr>
          <w:lang w:val="de-DE" w:eastAsia="en-GB"/>
        </w:rPr>
        <w:t>2.2.62.1.11.1</w:t>
      </w:r>
      <w:r w:rsidRPr="002D396F">
        <w:rPr>
          <w:lang w:val="de-DE" w:eastAsia="en-GB"/>
        </w:rPr>
        <w:tab/>
      </w:r>
      <w:r w:rsidR="00A05041">
        <w:rPr>
          <w:lang w:val="de-DE" w:eastAsia="en-GB"/>
        </w:rPr>
        <w:t>e</w:t>
      </w:r>
      <w:r w:rsidR="00C363DA" w:rsidRPr="002D396F">
        <w:rPr>
          <w:lang w:val="de-DE"/>
        </w:rPr>
        <w:t>rhält folgenden Wortlaut</w:t>
      </w:r>
      <w:r w:rsidRPr="002D396F">
        <w:rPr>
          <w:lang w:val="de-DE"/>
        </w:rPr>
        <w:t>:</w:t>
      </w:r>
    </w:p>
    <w:p w14:paraId="2B733BA8" w14:textId="39C0DB8B" w:rsidR="00757AA1" w:rsidRPr="002D396F" w:rsidRDefault="00757AA1" w:rsidP="00757AA1">
      <w:pPr>
        <w:pStyle w:val="SingleTxtG"/>
        <w:tabs>
          <w:tab w:val="left" w:pos="2268"/>
          <w:tab w:val="left" w:pos="2694"/>
        </w:tabs>
        <w:ind w:left="2259" w:hanging="1125"/>
        <w:rPr>
          <w:lang w:val="de-DE"/>
        </w:rPr>
      </w:pPr>
      <w:r w:rsidRPr="002D396F">
        <w:rPr>
          <w:lang w:val="de-DE"/>
        </w:rPr>
        <w:t>„2.2.62.1.11.1 Medizinische oder klinische Abfälle,</w:t>
      </w:r>
    </w:p>
    <w:p w14:paraId="51BF9F9F" w14:textId="31DE9BD8" w:rsidR="00757AA1" w:rsidRPr="002D396F" w:rsidRDefault="00757AA1" w:rsidP="00F421BB">
      <w:pPr>
        <w:pStyle w:val="SingleTxtG"/>
        <w:tabs>
          <w:tab w:val="left" w:pos="2694"/>
        </w:tabs>
        <w:ind w:left="2694" w:hanging="426"/>
        <w:rPr>
          <w:lang w:val="de-DE"/>
        </w:rPr>
      </w:pPr>
      <w:r w:rsidRPr="002D396F">
        <w:rPr>
          <w:lang w:val="de-DE"/>
        </w:rPr>
        <w:t>a)</w:t>
      </w:r>
      <w:r w:rsidRPr="002D396F">
        <w:rPr>
          <w:lang w:val="de-DE"/>
        </w:rPr>
        <w:tab/>
      </w:r>
      <w:proofErr w:type="gramStart"/>
      <w:r w:rsidRPr="002D396F">
        <w:rPr>
          <w:lang w:val="de-DE"/>
        </w:rPr>
        <w:t>die ansteckungsgefährliche Stoffe</w:t>
      </w:r>
      <w:proofErr w:type="gramEnd"/>
      <w:r w:rsidRPr="002D396F">
        <w:rPr>
          <w:lang w:val="de-DE"/>
        </w:rPr>
        <w:t xml:space="preserve"> der Kategorie A enthalten, sind der UN-Nummer 2814, 2900 </w:t>
      </w:r>
      <w:r w:rsidR="006D7BF7">
        <w:rPr>
          <w:lang w:val="de-DE"/>
        </w:rPr>
        <w:t>bzw.</w:t>
      </w:r>
      <w:r w:rsidR="006D7BF7" w:rsidRPr="002D396F">
        <w:rPr>
          <w:lang w:val="de-DE"/>
        </w:rPr>
        <w:t xml:space="preserve"> </w:t>
      </w:r>
      <w:r w:rsidRPr="002D396F">
        <w:rPr>
          <w:lang w:val="de-DE"/>
        </w:rPr>
        <w:t>3549 zuzuordnen. Feste medizinische Abfälle, die ansteckungsgefährliche Stoffe der Kategorie A</w:t>
      </w:r>
      <w:r w:rsidR="006D7BF7">
        <w:rPr>
          <w:lang w:val="de-DE"/>
        </w:rPr>
        <w:t xml:space="preserve"> enthalten</w:t>
      </w:r>
      <w:r w:rsidRPr="002D396F">
        <w:rPr>
          <w:lang w:val="de-DE"/>
        </w:rPr>
        <w:t>, die aus der medizinischen Behandlung von Menschen oder der veterinärmedizinischen Behandlung von Tieren stammen, dürfen der UN-Nummer 3549 zugeordnet werden. Die Eintragung der UN-Nummer 3549 darf nicht für Abfälle, die aus der biologischen Forschung stammen, oder für flüssige Abfälle verwendet werden;</w:t>
      </w:r>
    </w:p>
    <w:p w14:paraId="485F0E1D" w14:textId="58FA6B69" w:rsidR="00757AA1" w:rsidRPr="002D396F" w:rsidRDefault="00757AA1" w:rsidP="00F421BB">
      <w:pPr>
        <w:pStyle w:val="SingleTxtG"/>
        <w:tabs>
          <w:tab w:val="left" w:pos="2694"/>
        </w:tabs>
        <w:ind w:left="2694" w:hanging="426"/>
        <w:rPr>
          <w:lang w:val="de-DE"/>
        </w:rPr>
      </w:pPr>
      <w:r w:rsidRPr="002D396F">
        <w:rPr>
          <w:lang w:val="de-DE"/>
        </w:rPr>
        <w:t>b)</w:t>
      </w:r>
      <w:r w:rsidRPr="002D396F">
        <w:rPr>
          <w:lang w:val="de-DE"/>
        </w:rPr>
        <w:tab/>
        <w:t>die ansteckungsgefährliche Stoffe der Kategorie B enthalten, sind der UN-Nummer 3291 zuzuordnen.</w:t>
      </w:r>
    </w:p>
    <w:p w14:paraId="6E0C5013" w14:textId="440D8463" w:rsidR="00757AA1" w:rsidRPr="002D396F" w:rsidRDefault="00757AA1" w:rsidP="00757AA1">
      <w:pPr>
        <w:pStyle w:val="SingleTxtG"/>
        <w:tabs>
          <w:tab w:val="left" w:pos="2268"/>
          <w:tab w:val="left" w:pos="2694"/>
        </w:tabs>
        <w:ind w:left="2259" w:hanging="1125"/>
        <w:rPr>
          <w:lang w:val="de-DE"/>
        </w:rPr>
      </w:pPr>
      <w:r w:rsidRPr="002D396F">
        <w:rPr>
          <w:lang w:val="de-DE"/>
        </w:rPr>
        <w:tab/>
      </w:r>
      <w:r w:rsidRPr="002D396F">
        <w:rPr>
          <w:b/>
          <w:bCs/>
          <w:lang w:val="de-DE"/>
        </w:rPr>
        <w:t>Bem</w:t>
      </w:r>
      <w:r w:rsidRPr="002D396F">
        <w:rPr>
          <w:lang w:val="de-DE"/>
        </w:rPr>
        <w:t xml:space="preserve">. 1. Die Benennung </w:t>
      </w:r>
      <w:r w:rsidR="006D7BF7">
        <w:rPr>
          <w:lang w:val="de-DE"/>
        </w:rPr>
        <w:t>der</w:t>
      </w:r>
      <w:r w:rsidR="006D7BF7" w:rsidRPr="002D396F">
        <w:rPr>
          <w:lang w:val="de-DE"/>
        </w:rPr>
        <w:t xml:space="preserve"> </w:t>
      </w:r>
      <w:r w:rsidRPr="002D396F">
        <w:rPr>
          <w:lang w:val="de-DE"/>
        </w:rPr>
        <w:t>UN</w:t>
      </w:r>
      <w:r w:rsidR="006D7BF7">
        <w:rPr>
          <w:lang w:val="de-DE"/>
        </w:rPr>
        <w:t>-Nummer</w:t>
      </w:r>
      <w:r w:rsidRPr="002D396F">
        <w:rPr>
          <w:lang w:val="de-DE"/>
        </w:rPr>
        <w:t xml:space="preserve"> 3549 lautet </w:t>
      </w:r>
      <w:r w:rsidR="00070855" w:rsidRPr="002D396F">
        <w:rPr>
          <w:lang w:val="de-DE"/>
        </w:rPr>
        <w:t>„</w:t>
      </w:r>
      <w:r w:rsidRPr="002D396F">
        <w:rPr>
          <w:lang w:val="de-DE"/>
        </w:rPr>
        <w:t>MEDIZINISCHE ABFÄLLE, KATEGORIE A, GEFÄHRLICH FÜR MENSCHEN, fest</w:t>
      </w:r>
      <w:r w:rsidR="00070855" w:rsidRPr="002D396F">
        <w:rPr>
          <w:lang w:val="de-DE"/>
        </w:rPr>
        <w:t>“</w:t>
      </w:r>
      <w:r w:rsidRPr="002D396F">
        <w:rPr>
          <w:lang w:val="de-DE"/>
        </w:rPr>
        <w:t xml:space="preserve"> oder </w:t>
      </w:r>
      <w:r w:rsidR="00070855" w:rsidRPr="002D396F">
        <w:rPr>
          <w:lang w:val="de-DE"/>
        </w:rPr>
        <w:t>„</w:t>
      </w:r>
      <w:r w:rsidRPr="002D396F">
        <w:rPr>
          <w:lang w:val="de-DE"/>
        </w:rPr>
        <w:t>MEDIZINISCHE ABFÄLLE, KATEGORIE A, nur GEFÄHRLICH FÜR TIERE, fest.“</w:t>
      </w:r>
      <w:r w:rsidR="00A05041">
        <w:rPr>
          <w:lang w:val="de-DE"/>
        </w:rPr>
        <w:t>.</w:t>
      </w:r>
    </w:p>
    <w:p w14:paraId="74376DEF" w14:textId="3FC62045" w:rsidR="00757AA1" w:rsidRPr="002D396F" w:rsidRDefault="00757AA1" w:rsidP="00757AA1">
      <w:pPr>
        <w:pStyle w:val="SingleTxtG"/>
        <w:tabs>
          <w:tab w:val="left" w:pos="2694"/>
        </w:tabs>
        <w:ind w:left="2259" w:firstLine="9"/>
        <w:rPr>
          <w:lang w:val="de-DE"/>
        </w:rPr>
      </w:pPr>
      <w:r w:rsidRPr="002D396F">
        <w:rPr>
          <w:lang w:val="de-DE"/>
        </w:rPr>
        <w:t>Die bisherige Bem. wird zu Bem.</w:t>
      </w:r>
      <w:r w:rsidR="006D7BF7">
        <w:rPr>
          <w:lang w:val="de-DE"/>
        </w:rPr>
        <w:t xml:space="preserve"> </w:t>
      </w:r>
      <w:r w:rsidRPr="002D396F">
        <w:rPr>
          <w:lang w:val="de-DE"/>
        </w:rPr>
        <w:t>2.</w:t>
      </w:r>
    </w:p>
    <w:p w14:paraId="78CFDC25" w14:textId="19F3F7CE" w:rsidR="003A1330" w:rsidRPr="002D396F" w:rsidRDefault="003A1330" w:rsidP="006759E9">
      <w:pPr>
        <w:pStyle w:val="SingleTxtG"/>
        <w:ind w:left="2259" w:hanging="1125"/>
        <w:rPr>
          <w:lang w:val="de-DE"/>
        </w:rPr>
      </w:pPr>
      <w:bookmarkStart w:id="13" w:name="_Hlk10123476"/>
      <w:r w:rsidRPr="002D396F">
        <w:rPr>
          <w:lang w:val="de-DE"/>
        </w:rPr>
        <w:t>2.2.62.1.11.4</w:t>
      </w:r>
      <w:r w:rsidRPr="002D396F">
        <w:rPr>
          <w:lang w:val="de-DE"/>
        </w:rPr>
        <w:tab/>
      </w:r>
      <w:r w:rsidR="00A05041">
        <w:rPr>
          <w:lang w:val="de-DE"/>
        </w:rPr>
        <w:t>e</w:t>
      </w:r>
      <w:r w:rsidR="006759E9" w:rsidRPr="002D396F">
        <w:rPr>
          <w:lang w:val="de-DE"/>
        </w:rPr>
        <w:t>rhält folgenden Wortlaut: „2.2.62.1.11.4 (gestrichen)“.</w:t>
      </w:r>
    </w:p>
    <w:p w14:paraId="71054266" w14:textId="559C986A" w:rsidR="00BA6AD9" w:rsidRPr="002D396F" w:rsidRDefault="003A1330" w:rsidP="00BA6AD9">
      <w:pPr>
        <w:pStyle w:val="SingleTxtG"/>
        <w:ind w:left="2259" w:hanging="1125"/>
        <w:rPr>
          <w:lang w:val="de-DE"/>
        </w:rPr>
      </w:pPr>
      <w:r w:rsidRPr="002D396F">
        <w:rPr>
          <w:lang w:val="de-DE"/>
        </w:rPr>
        <w:t>2.2.62.3</w:t>
      </w:r>
      <w:r w:rsidRPr="002D396F">
        <w:rPr>
          <w:lang w:val="de-DE"/>
        </w:rPr>
        <w:tab/>
      </w:r>
      <w:r w:rsidR="006D7BF7" w:rsidRPr="0005778A">
        <w:rPr>
          <w:rFonts w:eastAsia="Calibri" w:cs="Arial"/>
          <w:szCs w:val="22"/>
          <w:lang w:val="de-DE"/>
        </w:rPr>
        <w:t xml:space="preserve">Im Verzeichnis der Sammeleintragungen </w:t>
      </w:r>
      <w:r w:rsidR="006D7BF7">
        <w:rPr>
          <w:lang w:val="de-DE"/>
        </w:rPr>
        <w:t>u</w:t>
      </w:r>
      <w:r w:rsidR="00BA6AD9" w:rsidRPr="002D396F">
        <w:rPr>
          <w:lang w:val="de-DE"/>
        </w:rPr>
        <w:t>nter I3 hinzufügen:</w:t>
      </w:r>
    </w:p>
    <w:p w14:paraId="4FC53D1D" w14:textId="11DC1C04" w:rsidR="00BA6AD9" w:rsidRPr="002D396F" w:rsidRDefault="00BA6AD9" w:rsidP="00BA6AD9">
      <w:pPr>
        <w:pStyle w:val="SingleTxtG"/>
        <w:ind w:left="2259" w:firstLine="9"/>
        <w:rPr>
          <w:lang w:val="de-DE"/>
        </w:rPr>
      </w:pPr>
      <w:r w:rsidRPr="002D396F">
        <w:rPr>
          <w:lang w:val="de-DE"/>
        </w:rPr>
        <w:t>„3549 MEDIZINISCHE ABFÄLLE, KATEGORIE A, GEFÄHRLICH FÜR MENSCHEN, fest oder</w:t>
      </w:r>
    </w:p>
    <w:p w14:paraId="5E499E03" w14:textId="00E7C711" w:rsidR="00BA6AD9" w:rsidRPr="002D396F" w:rsidRDefault="00BA6AD9" w:rsidP="00BA6AD9">
      <w:pPr>
        <w:pStyle w:val="SingleTxtG"/>
        <w:ind w:left="2259" w:firstLine="9"/>
        <w:rPr>
          <w:lang w:val="de-DE"/>
        </w:rPr>
      </w:pPr>
      <w:r w:rsidRPr="002D396F">
        <w:rPr>
          <w:lang w:val="de-DE"/>
        </w:rPr>
        <w:t>3549</w:t>
      </w:r>
      <w:r w:rsidRPr="002D396F">
        <w:rPr>
          <w:lang w:val="de-DE"/>
        </w:rPr>
        <w:tab/>
        <w:t>MEDIZINISCHE ABFÄLLE, KATEGORIE A, nur GEFÄHRLICH FÜR TIERE, fest</w:t>
      </w:r>
      <w:r w:rsidR="00903A04">
        <w:rPr>
          <w:lang w:val="de-DE"/>
        </w:rPr>
        <w:t>“</w:t>
      </w:r>
      <w:r w:rsidRPr="002D396F">
        <w:rPr>
          <w:lang w:val="de-DE"/>
        </w:rPr>
        <w:t>.</w:t>
      </w:r>
    </w:p>
    <w:bookmarkEnd w:id="13"/>
    <w:p w14:paraId="31BCE396" w14:textId="77777777" w:rsidR="006F03A7" w:rsidRPr="002D396F" w:rsidRDefault="006F03A7">
      <w:pPr>
        <w:suppressAutoHyphens w:val="0"/>
        <w:spacing w:line="240" w:lineRule="auto"/>
        <w:rPr>
          <w:lang w:val="de-DE"/>
        </w:rPr>
      </w:pPr>
      <w:r w:rsidRPr="002D396F">
        <w:rPr>
          <w:lang w:val="de-DE"/>
        </w:rPr>
        <w:br w:type="page"/>
      </w:r>
    </w:p>
    <w:p w14:paraId="16313545" w14:textId="5CD9FC9C" w:rsidR="003A1330" w:rsidRPr="002D396F" w:rsidRDefault="007506D4" w:rsidP="003A1330">
      <w:pPr>
        <w:pStyle w:val="SingleTxtG"/>
        <w:ind w:left="2259" w:hanging="1125"/>
        <w:rPr>
          <w:lang w:val="de-DE" w:eastAsia="en-GB"/>
        </w:rPr>
      </w:pPr>
      <w:r w:rsidRPr="002D396F">
        <w:rPr>
          <w:lang w:val="de-DE"/>
        </w:rPr>
        <w:lastRenderedPageBreak/>
        <w:t>Tabelle</w:t>
      </w:r>
      <w:r w:rsidR="003A1330" w:rsidRPr="002D396F">
        <w:rPr>
          <w:lang w:val="de-DE"/>
        </w:rPr>
        <w:t xml:space="preserve"> </w:t>
      </w:r>
      <w:r w:rsidR="003A1330" w:rsidRPr="002D396F">
        <w:rPr>
          <w:lang w:val="de-DE" w:eastAsia="en-GB"/>
        </w:rPr>
        <w:t>2.2.7.2.1.1</w:t>
      </w:r>
    </w:p>
    <w:p w14:paraId="2AB88F9B" w14:textId="6EA761EC" w:rsidR="00802D7F" w:rsidRPr="002D396F" w:rsidRDefault="003A1330" w:rsidP="00802D7F">
      <w:pPr>
        <w:pStyle w:val="SingleTxtG"/>
        <w:ind w:left="2259" w:hanging="1125"/>
        <w:rPr>
          <w:lang w:val="de-DE"/>
        </w:rPr>
      </w:pPr>
      <w:r w:rsidRPr="002D396F">
        <w:rPr>
          <w:lang w:val="de-DE"/>
        </w:rPr>
        <w:tab/>
      </w:r>
      <w:r w:rsidR="00802D7F" w:rsidRPr="002D396F">
        <w:rPr>
          <w:lang w:val="de-DE"/>
        </w:rPr>
        <w:t>In der Tabelle 2.2.7.2.1.1 in der offiziellen Benennung für die Beförderung für die UN-Nummer 2913 „(SCO-I oder SCO-II)“ ändern in: „(SCO-I, SCO-II oder SCO-III)“.</w:t>
      </w:r>
    </w:p>
    <w:p w14:paraId="564946F3" w14:textId="77777777" w:rsidR="00802D7F" w:rsidRPr="002D396F" w:rsidRDefault="00802D7F" w:rsidP="00802D7F">
      <w:pPr>
        <w:pStyle w:val="SingleTxtG"/>
        <w:ind w:left="2268"/>
        <w:rPr>
          <w:lang w:val="de-DE"/>
        </w:rPr>
      </w:pPr>
      <w:bookmarkStart w:id="14" w:name="_Hlk11158223"/>
      <w:r w:rsidRPr="002D396F">
        <w:rPr>
          <w:lang w:val="de-DE"/>
        </w:rPr>
        <w:t>[Die zweite Änderung zur Tabelle 2.2.7.2.1.1 in der englischen Fassung hat keine Auswirkungen auf den deutschen Text.]</w:t>
      </w:r>
    </w:p>
    <w:p w14:paraId="5EE9511C" w14:textId="339E71B4" w:rsidR="003A1330" w:rsidRPr="002D396F" w:rsidRDefault="003A1330" w:rsidP="005F2702">
      <w:pPr>
        <w:pStyle w:val="SingleTxtG"/>
        <w:rPr>
          <w:i/>
          <w:iCs/>
          <w:lang w:val="de-DE"/>
        </w:rPr>
      </w:pPr>
      <w:r w:rsidRPr="002D396F">
        <w:rPr>
          <w:i/>
          <w:iCs/>
          <w:lang w:val="de-DE"/>
        </w:rPr>
        <w:t>(</w:t>
      </w:r>
      <w:r w:rsidR="005F2702" w:rsidRPr="002D396F">
        <w:rPr>
          <w:i/>
          <w:iCs/>
          <w:lang w:val="de-DE"/>
        </w:rPr>
        <w:t>Redaktionell</w:t>
      </w:r>
      <w:r w:rsidRPr="002D396F">
        <w:rPr>
          <w:i/>
          <w:iCs/>
          <w:lang w:val="de-DE"/>
        </w:rPr>
        <w:t>)</w:t>
      </w:r>
    </w:p>
    <w:bookmarkEnd w:id="14"/>
    <w:p w14:paraId="37D98F57" w14:textId="0B39DE77" w:rsidR="003A1330" w:rsidRPr="002D396F" w:rsidRDefault="00802D7F" w:rsidP="003A1330">
      <w:pPr>
        <w:pStyle w:val="SingleTxtG"/>
        <w:ind w:left="2259" w:hanging="1125"/>
        <w:rPr>
          <w:lang w:val="de-DE" w:eastAsia="en-GB"/>
        </w:rPr>
      </w:pPr>
      <w:r w:rsidRPr="002D396F">
        <w:rPr>
          <w:lang w:val="de-DE"/>
        </w:rPr>
        <w:t>Tabelle</w:t>
      </w:r>
      <w:r w:rsidR="003A1330" w:rsidRPr="002D396F">
        <w:rPr>
          <w:lang w:val="de-DE"/>
        </w:rPr>
        <w:t xml:space="preserve"> </w:t>
      </w:r>
      <w:r w:rsidR="003A1330" w:rsidRPr="002D396F">
        <w:rPr>
          <w:lang w:val="de-DE" w:eastAsia="en-GB"/>
        </w:rPr>
        <w:t>2.2.7.2.2.1</w:t>
      </w:r>
    </w:p>
    <w:p w14:paraId="305CD339" w14:textId="00219BF4" w:rsidR="003A1330" w:rsidRPr="002D396F" w:rsidRDefault="003A1330" w:rsidP="003A1330">
      <w:pPr>
        <w:pStyle w:val="SingleTxtG"/>
        <w:ind w:left="2259" w:hanging="1125"/>
        <w:rPr>
          <w:lang w:val="de-DE"/>
        </w:rPr>
      </w:pPr>
      <w:r w:rsidRPr="002D396F">
        <w:rPr>
          <w:lang w:val="de-DE"/>
        </w:rPr>
        <w:tab/>
      </w:r>
      <w:r w:rsidR="00802D7F" w:rsidRPr="002D396F">
        <w:rPr>
          <w:lang w:val="de-DE"/>
        </w:rPr>
        <w:t>In der Tabelle 2.2.7.2.2.1 folgende Zeilen an der entsprechenden Stelle einfügen:</w:t>
      </w:r>
    </w:p>
    <w:tbl>
      <w:tblPr>
        <w:tblStyle w:val="TableNormal10"/>
        <w:tblW w:w="0" w:type="auto"/>
        <w:tblInd w:w="1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1598"/>
        <w:gridCol w:w="1596"/>
        <w:gridCol w:w="1642"/>
        <w:gridCol w:w="1599"/>
      </w:tblGrid>
      <w:tr w:rsidR="00802D7F" w:rsidRPr="0005778A" w14:paraId="07890349" w14:textId="77777777" w:rsidTr="00CA19FD">
        <w:trPr>
          <w:trHeight w:val="1770"/>
        </w:trPr>
        <w:tc>
          <w:tcPr>
            <w:tcW w:w="1776" w:type="dxa"/>
          </w:tcPr>
          <w:p w14:paraId="47E80CD1" w14:textId="77777777" w:rsidR="00802D7F" w:rsidRPr="002D396F" w:rsidRDefault="00802D7F" w:rsidP="00802D7F">
            <w:pPr>
              <w:suppressAutoHyphens w:val="0"/>
              <w:spacing w:line="240" w:lineRule="auto"/>
              <w:ind w:left="355" w:right="285" w:hanging="44"/>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Radionuklid (</w:t>
            </w:r>
            <w:proofErr w:type="spellStart"/>
            <w:r w:rsidRPr="002D396F">
              <w:rPr>
                <w:rFonts w:ascii="Times New Roman" w:eastAsia="Arial" w:hAnsi="Times New Roman"/>
                <w:sz w:val="18"/>
                <w:szCs w:val="18"/>
                <w:lang w:val="de-DE" w:eastAsia="de-DE" w:bidi="de-DE"/>
              </w:rPr>
              <w:t>Atomzahl</w:t>
            </w:r>
            <w:proofErr w:type="spellEnd"/>
            <w:r w:rsidRPr="002D396F">
              <w:rPr>
                <w:rFonts w:ascii="Times New Roman" w:eastAsia="Arial" w:hAnsi="Times New Roman"/>
                <w:sz w:val="18"/>
                <w:szCs w:val="18"/>
                <w:lang w:val="de-DE" w:eastAsia="de-DE" w:bidi="de-DE"/>
              </w:rPr>
              <w:t>)</w:t>
            </w:r>
          </w:p>
        </w:tc>
        <w:tc>
          <w:tcPr>
            <w:tcW w:w="1598" w:type="dxa"/>
          </w:tcPr>
          <w:p w14:paraId="2C408452" w14:textId="77777777" w:rsidR="00802D7F" w:rsidRPr="002D396F" w:rsidRDefault="00802D7F" w:rsidP="00802D7F">
            <w:pPr>
              <w:suppressAutoHyphens w:val="0"/>
              <w:spacing w:before="1" w:line="237" w:lineRule="auto"/>
              <w:ind w:left="525" w:right="493" w:firstLine="160"/>
              <w:rPr>
                <w:rFonts w:ascii="Times New Roman" w:eastAsia="Arial" w:hAnsi="Times New Roman"/>
                <w:sz w:val="18"/>
                <w:szCs w:val="18"/>
                <w:lang w:val="de-DE" w:eastAsia="de-DE" w:bidi="de-DE"/>
              </w:rPr>
            </w:pPr>
            <w:r w:rsidRPr="002D396F">
              <w:rPr>
                <w:rFonts w:ascii="Times New Roman" w:eastAsia="Arial" w:hAnsi="Times New Roman"/>
                <w:position w:val="2"/>
                <w:sz w:val="18"/>
                <w:szCs w:val="18"/>
                <w:lang w:val="de-DE" w:eastAsia="de-DE" w:bidi="de-DE"/>
              </w:rPr>
              <w:t>A</w:t>
            </w:r>
            <w:r w:rsidRPr="002D396F">
              <w:rPr>
                <w:rFonts w:ascii="Times New Roman" w:eastAsia="Arial" w:hAnsi="Times New Roman"/>
                <w:sz w:val="14"/>
                <w:szCs w:val="14"/>
                <w:lang w:val="de-DE" w:eastAsia="de-DE" w:bidi="de-DE"/>
              </w:rPr>
              <w:t>1</w:t>
            </w:r>
            <w:r w:rsidRPr="002D396F">
              <w:rPr>
                <w:rFonts w:ascii="Times New Roman" w:eastAsia="Arial" w:hAnsi="Times New Roman"/>
                <w:sz w:val="18"/>
                <w:szCs w:val="18"/>
                <w:lang w:val="de-DE" w:eastAsia="de-DE" w:bidi="de-DE"/>
              </w:rPr>
              <w:t xml:space="preserve"> (</w:t>
            </w:r>
            <w:proofErr w:type="spellStart"/>
            <w:r w:rsidRPr="002D396F">
              <w:rPr>
                <w:rFonts w:ascii="Times New Roman" w:eastAsia="Arial" w:hAnsi="Times New Roman"/>
                <w:sz w:val="18"/>
                <w:szCs w:val="18"/>
                <w:lang w:val="de-DE" w:eastAsia="de-DE" w:bidi="de-DE"/>
              </w:rPr>
              <w:t>TBq</w:t>
            </w:r>
            <w:proofErr w:type="spellEnd"/>
            <w:r w:rsidRPr="002D396F">
              <w:rPr>
                <w:rFonts w:ascii="Times New Roman" w:eastAsia="Arial" w:hAnsi="Times New Roman"/>
                <w:sz w:val="18"/>
                <w:szCs w:val="18"/>
                <w:lang w:val="de-DE" w:eastAsia="de-DE" w:bidi="de-DE"/>
              </w:rPr>
              <w:t>)</w:t>
            </w:r>
          </w:p>
        </w:tc>
        <w:tc>
          <w:tcPr>
            <w:tcW w:w="1596" w:type="dxa"/>
          </w:tcPr>
          <w:p w14:paraId="422101D3" w14:textId="77777777" w:rsidR="00802D7F" w:rsidRPr="002D396F" w:rsidRDefault="00802D7F" w:rsidP="00802D7F">
            <w:pPr>
              <w:suppressAutoHyphens w:val="0"/>
              <w:spacing w:before="1" w:line="237" w:lineRule="auto"/>
              <w:ind w:left="523" w:right="493" w:firstLine="160"/>
              <w:rPr>
                <w:rFonts w:ascii="Times New Roman" w:eastAsia="Arial" w:hAnsi="Times New Roman"/>
                <w:sz w:val="18"/>
                <w:szCs w:val="18"/>
                <w:lang w:val="de-DE" w:eastAsia="de-DE" w:bidi="de-DE"/>
              </w:rPr>
            </w:pPr>
            <w:r w:rsidRPr="002D396F">
              <w:rPr>
                <w:rFonts w:ascii="Times New Roman" w:eastAsia="Arial" w:hAnsi="Times New Roman"/>
                <w:position w:val="2"/>
                <w:sz w:val="18"/>
                <w:szCs w:val="18"/>
                <w:lang w:val="de-DE" w:eastAsia="de-DE" w:bidi="de-DE"/>
              </w:rPr>
              <w:t>A</w:t>
            </w:r>
            <w:r w:rsidRPr="002D396F">
              <w:rPr>
                <w:rFonts w:ascii="Times New Roman" w:eastAsia="Arial" w:hAnsi="Times New Roman"/>
                <w:sz w:val="14"/>
                <w:szCs w:val="14"/>
                <w:lang w:val="de-DE" w:eastAsia="de-DE" w:bidi="de-DE"/>
              </w:rPr>
              <w:t>2</w:t>
            </w:r>
            <w:r w:rsidRPr="002D396F">
              <w:rPr>
                <w:rFonts w:ascii="Times New Roman" w:eastAsia="Arial" w:hAnsi="Times New Roman"/>
                <w:sz w:val="18"/>
                <w:szCs w:val="18"/>
                <w:lang w:val="de-DE" w:eastAsia="de-DE" w:bidi="de-DE"/>
              </w:rPr>
              <w:t xml:space="preserve"> (</w:t>
            </w:r>
            <w:proofErr w:type="spellStart"/>
            <w:r w:rsidRPr="002D396F">
              <w:rPr>
                <w:rFonts w:ascii="Times New Roman" w:eastAsia="Arial" w:hAnsi="Times New Roman"/>
                <w:sz w:val="18"/>
                <w:szCs w:val="18"/>
                <w:lang w:val="de-DE" w:eastAsia="de-DE" w:bidi="de-DE"/>
              </w:rPr>
              <w:t>TBq</w:t>
            </w:r>
            <w:proofErr w:type="spellEnd"/>
            <w:r w:rsidRPr="002D396F">
              <w:rPr>
                <w:rFonts w:ascii="Times New Roman" w:eastAsia="Arial" w:hAnsi="Times New Roman"/>
                <w:sz w:val="18"/>
                <w:szCs w:val="18"/>
                <w:lang w:val="de-DE" w:eastAsia="de-DE" w:bidi="de-DE"/>
              </w:rPr>
              <w:t>)</w:t>
            </w:r>
          </w:p>
        </w:tc>
        <w:tc>
          <w:tcPr>
            <w:tcW w:w="1642" w:type="dxa"/>
          </w:tcPr>
          <w:p w14:paraId="1C56991A" w14:textId="0BF2ED53" w:rsidR="00802D7F" w:rsidRPr="002D396F" w:rsidRDefault="00802D7F" w:rsidP="00B73193">
            <w:pPr>
              <w:suppressAutoHyphens w:val="0"/>
              <w:spacing w:line="240" w:lineRule="auto"/>
              <w:ind w:left="235"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 xml:space="preserve">Aktivitätskonzentrationsgrenzwert für </w:t>
            </w:r>
            <w:r w:rsidRPr="002D396F">
              <w:rPr>
                <w:rFonts w:ascii="Times New Roman" w:eastAsia="Arial" w:hAnsi="Times New Roman"/>
                <w:spacing w:val="-4"/>
                <w:sz w:val="18"/>
                <w:szCs w:val="18"/>
                <w:lang w:val="de-DE" w:eastAsia="de-DE" w:bidi="de-DE"/>
              </w:rPr>
              <w:t>frei</w:t>
            </w:r>
            <w:r w:rsidRPr="002D396F">
              <w:rPr>
                <w:rFonts w:ascii="Times New Roman" w:eastAsia="Arial" w:hAnsi="Times New Roman"/>
                <w:sz w:val="18"/>
                <w:szCs w:val="18"/>
                <w:lang w:val="de-DE" w:eastAsia="de-DE" w:bidi="de-DE"/>
              </w:rPr>
              <w:t>gestellte Stoffe</w:t>
            </w:r>
            <w:r w:rsidR="00B73193" w:rsidRPr="002D396F">
              <w:rPr>
                <w:rFonts w:ascii="Times New Roman" w:eastAsia="Arial" w:hAnsi="Times New Roman"/>
                <w:sz w:val="18"/>
                <w:szCs w:val="18"/>
                <w:lang w:val="de-DE" w:eastAsia="de-DE" w:bidi="de-DE"/>
              </w:rPr>
              <w:t xml:space="preserve"> </w:t>
            </w:r>
            <w:r w:rsidRPr="002D396F">
              <w:rPr>
                <w:rFonts w:ascii="Times New Roman" w:eastAsia="Arial" w:hAnsi="Times New Roman"/>
                <w:sz w:val="18"/>
                <w:szCs w:val="18"/>
                <w:lang w:val="de-DE" w:eastAsia="de-DE" w:bidi="de-DE"/>
              </w:rPr>
              <w:t>(</w:t>
            </w:r>
            <w:proofErr w:type="spellStart"/>
            <w:r w:rsidRPr="002D396F">
              <w:rPr>
                <w:rFonts w:ascii="Times New Roman" w:eastAsia="Arial" w:hAnsi="Times New Roman"/>
                <w:sz w:val="18"/>
                <w:szCs w:val="18"/>
                <w:lang w:val="de-DE" w:eastAsia="de-DE" w:bidi="de-DE"/>
              </w:rPr>
              <w:t>Bq</w:t>
            </w:r>
            <w:proofErr w:type="spellEnd"/>
            <w:r w:rsidRPr="002D396F">
              <w:rPr>
                <w:rFonts w:ascii="Times New Roman" w:eastAsia="Arial" w:hAnsi="Times New Roman"/>
                <w:sz w:val="18"/>
                <w:szCs w:val="18"/>
                <w:lang w:val="de-DE" w:eastAsia="de-DE" w:bidi="de-DE"/>
              </w:rPr>
              <w:t>/g)</w:t>
            </w:r>
          </w:p>
        </w:tc>
        <w:tc>
          <w:tcPr>
            <w:tcW w:w="1599" w:type="dxa"/>
          </w:tcPr>
          <w:p w14:paraId="41A58FC3" w14:textId="2B342EC4" w:rsidR="00802D7F" w:rsidRPr="002D396F" w:rsidRDefault="00802D7F" w:rsidP="00B73193">
            <w:pPr>
              <w:suppressAutoHyphens w:val="0"/>
              <w:spacing w:line="240" w:lineRule="auto"/>
              <w:ind w:left="158" w:right="143"/>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 xml:space="preserve">Aktivitätsgrenzwert </w:t>
            </w:r>
            <w:r w:rsidRPr="002D396F">
              <w:rPr>
                <w:rFonts w:ascii="Times New Roman" w:eastAsia="Arial" w:hAnsi="Times New Roman"/>
                <w:spacing w:val="-5"/>
                <w:sz w:val="18"/>
                <w:szCs w:val="18"/>
                <w:lang w:val="de-DE" w:eastAsia="de-DE" w:bidi="de-DE"/>
              </w:rPr>
              <w:t xml:space="preserve">für </w:t>
            </w:r>
            <w:r w:rsidRPr="002D396F">
              <w:rPr>
                <w:rFonts w:ascii="Times New Roman" w:eastAsia="Arial" w:hAnsi="Times New Roman"/>
                <w:sz w:val="18"/>
                <w:szCs w:val="18"/>
                <w:lang w:val="de-DE" w:eastAsia="de-DE" w:bidi="de-DE"/>
              </w:rPr>
              <w:t>eine freigestellte Sendung</w:t>
            </w:r>
            <w:r w:rsidR="00B73193" w:rsidRPr="002D396F">
              <w:rPr>
                <w:rFonts w:ascii="Times New Roman" w:eastAsia="Arial" w:hAnsi="Times New Roman"/>
                <w:sz w:val="18"/>
                <w:szCs w:val="18"/>
                <w:lang w:val="de-DE" w:eastAsia="de-DE" w:bidi="de-DE"/>
              </w:rPr>
              <w:t xml:space="preserve"> </w:t>
            </w:r>
            <w:r w:rsidRPr="002D396F">
              <w:rPr>
                <w:rFonts w:ascii="Times New Roman" w:eastAsia="Arial" w:hAnsi="Times New Roman"/>
                <w:sz w:val="18"/>
                <w:szCs w:val="18"/>
                <w:lang w:val="de-DE" w:eastAsia="de-DE" w:bidi="de-DE"/>
              </w:rPr>
              <w:t>(</w:t>
            </w:r>
            <w:proofErr w:type="spellStart"/>
            <w:r w:rsidRPr="002D396F">
              <w:rPr>
                <w:rFonts w:ascii="Times New Roman" w:eastAsia="Arial" w:hAnsi="Times New Roman"/>
                <w:sz w:val="18"/>
                <w:szCs w:val="18"/>
                <w:lang w:val="de-DE" w:eastAsia="de-DE" w:bidi="de-DE"/>
              </w:rPr>
              <w:t>Bq</w:t>
            </w:r>
            <w:proofErr w:type="spellEnd"/>
            <w:r w:rsidRPr="002D396F">
              <w:rPr>
                <w:rFonts w:ascii="Times New Roman" w:eastAsia="Arial" w:hAnsi="Times New Roman"/>
                <w:sz w:val="18"/>
                <w:szCs w:val="18"/>
                <w:lang w:val="de-DE" w:eastAsia="de-DE" w:bidi="de-DE"/>
              </w:rPr>
              <w:t>)</w:t>
            </w:r>
          </w:p>
        </w:tc>
      </w:tr>
      <w:tr w:rsidR="00802D7F" w:rsidRPr="002D396F" w14:paraId="75A2D13D" w14:textId="77777777" w:rsidTr="00CA19FD">
        <w:trPr>
          <w:trHeight w:val="253"/>
        </w:trPr>
        <w:tc>
          <w:tcPr>
            <w:tcW w:w="1776" w:type="dxa"/>
          </w:tcPr>
          <w:p w14:paraId="2E4FBA06" w14:textId="77777777" w:rsidR="00802D7F" w:rsidRPr="002D396F" w:rsidRDefault="00802D7F" w:rsidP="00802D7F">
            <w:pPr>
              <w:suppressAutoHyphens w:val="0"/>
              <w:spacing w:line="234"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Ba-135m</w:t>
            </w:r>
          </w:p>
        </w:tc>
        <w:tc>
          <w:tcPr>
            <w:tcW w:w="1598" w:type="dxa"/>
          </w:tcPr>
          <w:p w14:paraId="43A03BFD" w14:textId="77777777" w:rsidR="00802D7F" w:rsidRPr="002D396F" w:rsidRDefault="00802D7F" w:rsidP="00802D7F">
            <w:pPr>
              <w:suppressAutoHyphens w:val="0"/>
              <w:spacing w:line="234" w:lineRule="exact"/>
              <w:ind w:left="406"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2 × 10</w:t>
            </w:r>
            <w:r w:rsidRPr="002D396F">
              <w:rPr>
                <w:rFonts w:ascii="Times New Roman" w:eastAsia="Arial" w:hAnsi="Times New Roman"/>
                <w:position w:val="8"/>
                <w:sz w:val="14"/>
                <w:szCs w:val="14"/>
                <w:lang w:val="de-DE" w:eastAsia="de-DE" w:bidi="de-DE"/>
              </w:rPr>
              <w:t>1</w:t>
            </w:r>
          </w:p>
        </w:tc>
        <w:tc>
          <w:tcPr>
            <w:tcW w:w="1596" w:type="dxa"/>
          </w:tcPr>
          <w:p w14:paraId="752A4182" w14:textId="77777777" w:rsidR="00802D7F" w:rsidRPr="002D396F" w:rsidRDefault="00802D7F" w:rsidP="00802D7F">
            <w:pPr>
              <w:suppressAutoHyphens w:val="0"/>
              <w:spacing w:line="234" w:lineRule="exact"/>
              <w:ind w:left="42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6 × 10</w:t>
            </w:r>
            <w:r w:rsidRPr="002D396F">
              <w:rPr>
                <w:rFonts w:ascii="Times New Roman" w:eastAsia="Arial" w:hAnsi="Times New Roman"/>
                <w:position w:val="8"/>
                <w:sz w:val="14"/>
                <w:szCs w:val="14"/>
                <w:lang w:val="de-DE" w:eastAsia="de-DE" w:bidi="de-DE"/>
              </w:rPr>
              <w:t>-1</w:t>
            </w:r>
          </w:p>
        </w:tc>
        <w:tc>
          <w:tcPr>
            <w:tcW w:w="1642" w:type="dxa"/>
          </w:tcPr>
          <w:p w14:paraId="712007F1" w14:textId="77777777" w:rsidR="00802D7F" w:rsidRPr="002D396F" w:rsidRDefault="00802D7F" w:rsidP="00802D7F">
            <w:pPr>
              <w:suppressAutoHyphens w:val="0"/>
              <w:spacing w:line="234"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2</w:t>
            </w:r>
          </w:p>
        </w:tc>
        <w:tc>
          <w:tcPr>
            <w:tcW w:w="1599" w:type="dxa"/>
          </w:tcPr>
          <w:p w14:paraId="74DDA228" w14:textId="77777777" w:rsidR="00802D7F" w:rsidRPr="002D396F" w:rsidRDefault="00802D7F" w:rsidP="00802D7F">
            <w:pPr>
              <w:suppressAutoHyphens w:val="0"/>
              <w:spacing w:line="234"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6</w:t>
            </w:r>
          </w:p>
        </w:tc>
      </w:tr>
      <w:tr w:rsidR="00802D7F" w:rsidRPr="002D396F" w14:paraId="5BDBF9DE" w14:textId="77777777" w:rsidTr="00CA19FD">
        <w:trPr>
          <w:trHeight w:val="254"/>
        </w:trPr>
        <w:tc>
          <w:tcPr>
            <w:tcW w:w="1776" w:type="dxa"/>
          </w:tcPr>
          <w:p w14:paraId="024202FB" w14:textId="77777777" w:rsidR="00802D7F" w:rsidRPr="002D396F" w:rsidRDefault="00802D7F" w:rsidP="00802D7F">
            <w:pPr>
              <w:suppressAutoHyphens w:val="0"/>
              <w:spacing w:line="234"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Ge-69</w:t>
            </w:r>
          </w:p>
        </w:tc>
        <w:tc>
          <w:tcPr>
            <w:tcW w:w="1598" w:type="dxa"/>
          </w:tcPr>
          <w:p w14:paraId="3979075D" w14:textId="77777777" w:rsidR="00802D7F" w:rsidRPr="002D396F" w:rsidRDefault="00802D7F" w:rsidP="00802D7F">
            <w:pPr>
              <w:suppressAutoHyphens w:val="0"/>
              <w:spacing w:line="234" w:lineRule="exact"/>
              <w:ind w:left="406"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0</w:t>
            </w:r>
          </w:p>
        </w:tc>
        <w:tc>
          <w:tcPr>
            <w:tcW w:w="1596" w:type="dxa"/>
          </w:tcPr>
          <w:p w14:paraId="731C4CC2" w14:textId="77777777" w:rsidR="00802D7F" w:rsidRPr="002D396F" w:rsidRDefault="00802D7F" w:rsidP="00802D7F">
            <w:pPr>
              <w:suppressAutoHyphens w:val="0"/>
              <w:spacing w:line="234" w:lineRule="exact"/>
              <w:ind w:left="448"/>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0</w:t>
            </w:r>
          </w:p>
        </w:tc>
        <w:tc>
          <w:tcPr>
            <w:tcW w:w="1642" w:type="dxa"/>
          </w:tcPr>
          <w:p w14:paraId="1FB99462" w14:textId="77777777" w:rsidR="00802D7F" w:rsidRPr="002D396F" w:rsidRDefault="00802D7F" w:rsidP="00802D7F">
            <w:pPr>
              <w:suppressAutoHyphens w:val="0"/>
              <w:spacing w:line="234"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1</w:t>
            </w:r>
          </w:p>
        </w:tc>
        <w:tc>
          <w:tcPr>
            <w:tcW w:w="1599" w:type="dxa"/>
          </w:tcPr>
          <w:p w14:paraId="2D7E2847" w14:textId="77777777" w:rsidR="00802D7F" w:rsidRPr="002D396F" w:rsidRDefault="00802D7F" w:rsidP="00802D7F">
            <w:pPr>
              <w:suppressAutoHyphens w:val="0"/>
              <w:spacing w:line="234"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6</w:t>
            </w:r>
          </w:p>
        </w:tc>
      </w:tr>
      <w:tr w:rsidR="00802D7F" w:rsidRPr="002D396F" w14:paraId="72535CD0" w14:textId="77777777" w:rsidTr="00CA19FD">
        <w:trPr>
          <w:trHeight w:val="251"/>
        </w:trPr>
        <w:tc>
          <w:tcPr>
            <w:tcW w:w="1776" w:type="dxa"/>
          </w:tcPr>
          <w:p w14:paraId="210D9DD4" w14:textId="77777777" w:rsidR="00802D7F" w:rsidRPr="002D396F" w:rsidRDefault="00802D7F" w:rsidP="00802D7F">
            <w:pPr>
              <w:suppressAutoHyphens w:val="0"/>
              <w:spacing w:line="232"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Ir-193m</w:t>
            </w:r>
          </w:p>
        </w:tc>
        <w:tc>
          <w:tcPr>
            <w:tcW w:w="1598" w:type="dxa"/>
          </w:tcPr>
          <w:p w14:paraId="226CA23D" w14:textId="77777777" w:rsidR="00802D7F" w:rsidRPr="002D396F" w:rsidRDefault="00802D7F" w:rsidP="00802D7F">
            <w:pPr>
              <w:suppressAutoHyphens w:val="0"/>
              <w:spacing w:line="232" w:lineRule="exact"/>
              <w:ind w:left="406"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4 × 10</w:t>
            </w:r>
            <w:r w:rsidRPr="002D396F">
              <w:rPr>
                <w:rFonts w:ascii="Times New Roman" w:eastAsia="Arial" w:hAnsi="Times New Roman"/>
                <w:position w:val="8"/>
                <w:sz w:val="14"/>
                <w:szCs w:val="14"/>
                <w:lang w:val="de-DE" w:eastAsia="de-DE" w:bidi="de-DE"/>
              </w:rPr>
              <w:t>1</w:t>
            </w:r>
          </w:p>
        </w:tc>
        <w:tc>
          <w:tcPr>
            <w:tcW w:w="1596" w:type="dxa"/>
          </w:tcPr>
          <w:p w14:paraId="3C98B7EE" w14:textId="77777777" w:rsidR="00802D7F" w:rsidRPr="002D396F" w:rsidRDefault="00802D7F" w:rsidP="00802D7F">
            <w:pPr>
              <w:suppressAutoHyphens w:val="0"/>
              <w:spacing w:line="232" w:lineRule="exact"/>
              <w:ind w:left="448"/>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4 × 10</w:t>
            </w:r>
            <w:r w:rsidRPr="002D396F">
              <w:rPr>
                <w:rFonts w:ascii="Times New Roman" w:eastAsia="Arial" w:hAnsi="Times New Roman"/>
                <w:position w:val="8"/>
                <w:sz w:val="14"/>
                <w:szCs w:val="14"/>
                <w:lang w:val="de-DE" w:eastAsia="de-DE" w:bidi="de-DE"/>
              </w:rPr>
              <w:t>0</w:t>
            </w:r>
          </w:p>
        </w:tc>
        <w:tc>
          <w:tcPr>
            <w:tcW w:w="1642" w:type="dxa"/>
          </w:tcPr>
          <w:p w14:paraId="49D50106" w14:textId="77777777" w:rsidR="00802D7F" w:rsidRPr="002D396F" w:rsidRDefault="00802D7F" w:rsidP="00802D7F">
            <w:pPr>
              <w:suppressAutoHyphens w:val="0"/>
              <w:spacing w:line="232"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4</w:t>
            </w:r>
          </w:p>
        </w:tc>
        <w:tc>
          <w:tcPr>
            <w:tcW w:w="1599" w:type="dxa"/>
          </w:tcPr>
          <w:p w14:paraId="0B951BAC" w14:textId="77777777" w:rsidR="00802D7F" w:rsidRPr="002D396F" w:rsidRDefault="00802D7F" w:rsidP="00802D7F">
            <w:pPr>
              <w:suppressAutoHyphens w:val="0"/>
              <w:spacing w:line="232"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7</w:t>
            </w:r>
          </w:p>
        </w:tc>
      </w:tr>
      <w:tr w:rsidR="00802D7F" w:rsidRPr="002D396F" w14:paraId="0CDE2EE6" w14:textId="77777777" w:rsidTr="00CA19FD">
        <w:trPr>
          <w:trHeight w:val="254"/>
        </w:trPr>
        <w:tc>
          <w:tcPr>
            <w:tcW w:w="1776" w:type="dxa"/>
          </w:tcPr>
          <w:p w14:paraId="031C94C6" w14:textId="77777777" w:rsidR="00802D7F" w:rsidRPr="002D396F" w:rsidRDefault="00802D7F" w:rsidP="00802D7F">
            <w:pPr>
              <w:suppressAutoHyphens w:val="0"/>
              <w:spacing w:line="234"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Ni-57</w:t>
            </w:r>
          </w:p>
        </w:tc>
        <w:tc>
          <w:tcPr>
            <w:tcW w:w="1598" w:type="dxa"/>
          </w:tcPr>
          <w:p w14:paraId="7A84111F" w14:textId="77777777" w:rsidR="00802D7F" w:rsidRPr="002D396F" w:rsidRDefault="00802D7F" w:rsidP="00802D7F">
            <w:pPr>
              <w:suppressAutoHyphens w:val="0"/>
              <w:spacing w:line="234" w:lineRule="exact"/>
              <w:ind w:left="408"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6 × 10</w:t>
            </w:r>
            <w:r w:rsidRPr="002D396F">
              <w:rPr>
                <w:rFonts w:ascii="Times New Roman" w:eastAsia="Arial" w:hAnsi="Times New Roman"/>
                <w:position w:val="8"/>
                <w:sz w:val="14"/>
                <w:szCs w:val="14"/>
                <w:lang w:val="de-DE" w:eastAsia="de-DE" w:bidi="de-DE"/>
              </w:rPr>
              <w:t>-1</w:t>
            </w:r>
          </w:p>
        </w:tc>
        <w:tc>
          <w:tcPr>
            <w:tcW w:w="1596" w:type="dxa"/>
          </w:tcPr>
          <w:p w14:paraId="3791BE03" w14:textId="77777777" w:rsidR="00802D7F" w:rsidRPr="002D396F" w:rsidRDefault="00802D7F" w:rsidP="00802D7F">
            <w:pPr>
              <w:suppressAutoHyphens w:val="0"/>
              <w:spacing w:line="234" w:lineRule="exact"/>
              <w:ind w:left="42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6 × 10</w:t>
            </w:r>
            <w:r w:rsidRPr="002D396F">
              <w:rPr>
                <w:rFonts w:ascii="Times New Roman" w:eastAsia="Arial" w:hAnsi="Times New Roman"/>
                <w:position w:val="8"/>
                <w:sz w:val="14"/>
                <w:szCs w:val="14"/>
                <w:lang w:val="de-DE" w:eastAsia="de-DE" w:bidi="de-DE"/>
              </w:rPr>
              <w:t>-1</w:t>
            </w:r>
          </w:p>
        </w:tc>
        <w:tc>
          <w:tcPr>
            <w:tcW w:w="1642" w:type="dxa"/>
          </w:tcPr>
          <w:p w14:paraId="6D334B49" w14:textId="77777777" w:rsidR="00802D7F" w:rsidRPr="002D396F" w:rsidRDefault="00802D7F" w:rsidP="00802D7F">
            <w:pPr>
              <w:suppressAutoHyphens w:val="0"/>
              <w:spacing w:line="234"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1</w:t>
            </w:r>
          </w:p>
        </w:tc>
        <w:tc>
          <w:tcPr>
            <w:tcW w:w="1599" w:type="dxa"/>
          </w:tcPr>
          <w:p w14:paraId="63DC1352" w14:textId="77777777" w:rsidR="00802D7F" w:rsidRPr="002D396F" w:rsidRDefault="00802D7F" w:rsidP="00802D7F">
            <w:pPr>
              <w:suppressAutoHyphens w:val="0"/>
              <w:spacing w:line="234"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6</w:t>
            </w:r>
          </w:p>
        </w:tc>
      </w:tr>
      <w:tr w:rsidR="00802D7F" w:rsidRPr="002D396F" w14:paraId="5B052CB9" w14:textId="77777777" w:rsidTr="00CA19FD">
        <w:trPr>
          <w:trHeight w:val="251"/>
        </w:trPr>
        <w:tc>
          <w:tcPr>
            <w:tcW w:w="1776" w:type="dxa"/>
          </w:tcPr>
          <w:p w14:paraId="42B9D591" w14:textId="77777777" w:rsidR="00802D7F" w:rsidRPr="002D396F" w:rsidRDefault="00802D7F" w:rsidP="00802D7F">
            <w:pPr>
              <w:suppressAutoHyphens w:val="0"/>
              <w:spacing w:line="232"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Sr-83</w:t>
            </w:r>
          </w:p>
        </w:tc>
        <w:tc>
          <w:tcPr>
            <w:tcW w:w="1598" w:type="dxa"/>
          </w:tcPr>
          <w:p w14:paraId="6E42F55D" w14:textId="77777777" w:rsidR="00802D7F" w:rsidRPr="002D396F" w:rsidRDefault="00802D7F" w:rsidP="00802D7F">
            <w:pPr>
              <w:suppressAutoHyphens w:val="0"/>
              <w:spacing w:line="232" w:lineRule="exact"/>
              <w:ind w:left="406"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0</w:t>
            </w:r>
          </w:p>
        </w:tc>
        <w:tc>
          <w:tcPr>
            <w:tcW w:w="1596" w:type="dxa"/>
          </w:tcPr>
          <w:p w14:paraId="19CBDAE3" w14:textId="77777777" w:rsidR="00802D7F" w:rsidRPr="002D396F" w:rsidRDefault="00802D7F" w:rsidP="00802D7F">
            <w:pPr>
              <w:suppressAutoHyphens w:val="0"/>
              <w:spacing w:line="232" w:lineRule="exact"/>
              <w:ind w:left="448"/>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0</w:t>
            </w:r>
          </w:p>
        </w:tc>
        <w:tc>
          <w:tcPr>
            <w:tcW w:w="1642" w:type="dxa"/>
          </w:tcPr>
          <w:p w14:paraId="3C98F1BC" w14:textId="77777777" w:rsidR="00802D7F" w:rsidRPr="002D396F" w:rsidRDefault="00802D7F" w:rsidP="00802D7F">
            <w:pPr>
              <w:suppressAutoHyphens w:val="0"/>
              <w:spacing w:line="232"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1</w:t>
            </w:r>
          </w:p>
        </w:tc>
        <w:tc>
          <w:tcPr>
            <w:tcW w:w="1599" w:type="dxa"/>
          </w:tcPr>
          <w:p w14:paraId="527E86C6" w14:textId="77777777" w:rsidR="00802D7F" w:rsidRPr="002D396F" w:rsidRDefault="00802D7F" w:rsidP="00802D7F">
            <w:pPr>
              <w:suppressAutoHyphens w:val="0"/>
              <w:spacing w:line="232"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6</w:t>
            </w:r>
          </w:p>
        </w:tc>
      </w:tr>
      <w:tr w:rsidR="00802D7F" w:rsidRPr="002D396F" w14:paraId="7C6BE83D" w14:textId="77777777" w:rsidTr="00CA19FD">
        <w:trPr>
          <w:trHeight w:val="254"/>
        </w:trPr>
        <w:tc>
          <w:tcPr>
            <w:tcW w:w="1776" w:type="dxa"/>
          </w:tcPr>
          <w:p w14:paraId="7091AA64" w14:textId="77777777" w:rsidR="00802D7F" w:rsidRPr="002D396F" w:rsidRDefault="00802D7F" w:rsidP="00802D7F">
            <w:pPr>
              <w:suppressAutoHyphens w:val="0"/>
              <w:spacing w:line="234"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Tb-149</w:t>
            </w:r>
          </w:p>
        </w:tc>
        <w:tc>
          <w:tcPr>
            <w:tcW w:w="1598" w:type="dxa"/>
          </w:tcPr>
          <w:p w14:paraId="1F42C1D4" w14:textId="77777777" w:rsidR="00802D7F" w:rsidRPr="002D396F" w:rsidRDefault="00802D7F" w:rsidP="00802D7F">
            <w:pPr>
              <w:suppressAutoHyphens w:val="0"/>
              <w:spacing w:line="234" w:lineRule="exact"/>
              <w:ind w:left="408"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8 × 10</w:t>
            </w:r>
            <w:r w:rsidRPr="002D396F">
              <w:rPr>
                <w:rFonts w:ascii="Times New Roman" w:eastAsia="Arial" w:hAnsi="Times New Roman"/>
                <w:position w:val="8"/>
                <w:sz w:val="14"/>
                <w:szCs w:val="14"/>
                <w:lang w:val="de-DE" w:eastAsia="de-DE" w:bidi="de-DE"/>
              </w:rPr>
              <w:t>-1</w:t>
            </w:r>
          </w:p>
        </w:tc>
        <w:tc>
          <w:tcPr>
            <w:tcW w:w="1596" w:type="dxa"/>
          </w:tcPr>
          <w:p w14:paraId="5F12B376" w14:textId="77777777" w:rsidR="00802D7F" w:rsidRPr="002D396F" w:rsidRDefault="00802D7F" w:rsidP="00802D7F">
            <w:pPr>
              <w:suppressAutoHyphens w:val="0"/>
              <w:spacing w:line="234" w:lineRule="exact"/>
              <w:ind w:left="42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8 × 10</w:t>
            </w:r>
            <w:r w:rsidRPr="002D396F">
              <w:rPr>
                <w:rFonts w:ascii="Times New Roman" w:eastAsia="Arial" w:hAnsi="Times New Roman"/>
                <w:position w:val="8"/>
                <w:sz w:val="14"/>
                <w:szCs w:val="14"/>
                <w:lang w:val="de-DE" w:eastAsia="de-DE" w:bidi="de-DE"/>
              </w:rPr>
              <w:t>-1</w:t>
            </w:r>
          </w:p>
        </w:tc>
        <w:tc>
          <w:tcPr>
            <w:tcW w:w="1642" w:type="dxa"/>
          </w:tcPr>
          <w:p w14:paraId="6B7BA0B6" w14:textId="77777777" w:rsidR="00802D7F" w:rsidRPr="002D396F" w:rsidRDefault="00802D7F" w:rsidP="00802D7F">
            <w:pPr>
              <w:suppressAutoHyphens w:val="0"/>
              <w:spacing w:line="234"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1</w:t>
            </w:r>
          </w:p>
        </w:tc>
        <w:tc>
          <w:tcPr>
            <w:tcW w:w="1599" w:type="dxa"/>
          </w:tcPr>
          <w:p w14:paraId="00D16713" w14:textId="77777777" w:rsidR="00802D7F" w:rsidRPr="002D396F" w:rsidRDefault="00802D7F" w:rsidP="00802D7F">
            <w:pPr>
              <w:suppressAutoHyphens w:val="0"/>
              <w:spacing w:line="234"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6</w:t>
            </w:r>
          </w:p>
        </w:tc>
      </w:tr>
      <w:tr w:rsidR="00802D7F" w:rsidRPr="002D396F" w14:paraId="3B26D04A" w14:textId="77777777" w:rsidTr="00CA19FD">
        <w:trPr>
          <w:trHeight w:val="254"/>
        </w:trPr>
        <w:tc>
          <w:tcPr>
            <w:tcW w:w="1776" w:type="dxa"/>
          </w:tcPr>
          <w:p w14:paraId="52B97009" w14:textId="77777777" w:rsidR="00802D7F" w:rsidRPr="002D396F" w:rsidRDefault="00802D7F" w:rsidP="00802D7F">
            <w:pPr>
              <w:suppressAutoHyphens w:val="0"/>
              <w:spacing w:line="234" w:lineRule="exact"/>
              <w:ind w:left="10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Tb-161</w:t>
            </w:r>
          </w:p>
        </w:tc>
        <w:tc>
          <w:tcPr>
            <w:tcW w:w="1598" w:type="dxa"/>
          </w:tcPr>
          <w:p w14:paraId="2F0BE2A9" w14:textId="77777777" w:rsidR="00802D7F" w:rsidRPr="002D396F" w:rsidRDefault="00802D7F" w:rsidP="00802D7F">
            <w:pPr>
              <w:suppressAutoHyphens w:val="0"/>
              <w:spacing w:line="234" w:lineRule="exact"/>
              <w:ind w:left="406" w:right="396"/>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3 × 10</w:t>
            </w:r>
            <w:r w:rsidRPr="002D396F">
              <w:rPr>
                <w:rFonts w:ascii="Times New Roman" w:eastAsia="Arial" w:hAnsi="Times New Roman"/>
                <w:position w:val="8"/>
                <w:sz w:val="14"/>
                <w:szCs w:val="14"/>
                <w:lang w:val="de-DE" w:eastAsia="de-DE" w:bidi="de-DE"/>
              </w:rPr>
              <w:t>1</w:t>
            </w:r>
          </w:p>
        </w:tc>
        <w:tc>
          <w:tcPr>
            <w:tcW w:w="1596" w:type="dxa"/>
          </w:tcPr>
          <w:p w14:paraId="76033B9E" w14:textId="77777777" w:rsidR="00802D7F" w:rsidRPr="002D396F" w:rsidRDefault="00802D7F" w:rsidP="00802D7F">
            <w:pPr>
              <w:suppressAutoHyphens w:val="0"/>
              <w:spacing w:line="234" w:lineRule="exact"/>
              <w:ind w:left="427"/>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7 × 10</w:t>
            </w:r>
            <w:r w:rsidRPr="002D396F">
              <w:rPr>
                <w:rFonts w:ascii="Times New Roman" w:eastAsia="Arial" w:hAnsi="Times New Roman"/>
                <w:position w:val="8"/>
                <w:sz w:val="14"/>
                <w:szCs w:val="14"/>
                <w:lang w:val="de-DE" w:eastAsia="de-DE" w:bidi="de-DE"/>
              </w:rPr>
              <w:t>-1</w:t>
            </w:r>
          </w:p>
        </w:tc>
        <w:tc>
          <w:tcPr>
            <w:tcW w:w="1642" w:type="dxa"/>
          </w:tcPr>
          <w:p w14:paraId="75130E83" w14:textId="77777777" w:rsidR="00802D7F" w:rsidRPr="002D396F" w:rsidRDefault="00802D7F" w:rsidP="00802D7F">
            <w:pPr>
              <w:suppressAutoHyphens w:val="0"/>
              <w:spacing w:line="234" w:lineRule="exact"/>
              <w:ind w:left="234" w:right="219"/>
              <w:jc w:val="center"/>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3</w:t>
            </w:r>
          </w:p>
        </w:tc>
        <w:tc>
          <w:tcPr>
            <w:tcW w:w="1599" w:type="dxa"/>
          </w:tcPr>
          <w:p w14:paraId="7720AA01" w14:textId="77777777" w:rsidR="00802D7F" w:rsidRPr="002D396F" w:rsidRDefault="00802D7F" w:rsidP="00802D7F">
            <w:pPr>
              <w:suppressAutoHyphens w:val="0"/>
              <w:spacing w:line="234" w:lineRule="exact"/>
              <w:ind w:left="451"/>
              <w:rPr>
                <w:rFonts w:ascii="Times New Roman" w:eastAsia="Arial" w:hAnsi="Times New Roman"/>
                <w:sz w:val="18"/>
                <w:szCs w:val="18"/>
                <w:lang w:val="de-DE" w:eastAsia="de-DE" w:bidi="de-DE"/>
              </w:rPr>
            </w:pPr>
            <w:r w:rsidRPr="002D396F">
              <w:rPr>
                <w:rFonts w:ascii="Times New Roman" w:eastAsia="Arial" w:hAnsi="Times New Roman"/>
                <w:sz w:val="18"/>
                <w:szCs w:val="18"/>
                <w:lang w:val="de-DE" w:eastAsia="de-DE" w:bidi="de-DE"/>
              </w:rPr>
              <w:t>1 × 10</w:t>
            </w:r>
            <w:r w:rsidRPr="002D396F">
              <w:rPr>
                <w:rFonts w:ascii="Times New Roman" w:eastAsia="Arial" w:hAnsi="Times New Roman"/>
                <w:position w:val="8"/>
                <w:sz w:val="14"/>
                <w:szCs w:val="14"/>
                <w:lang w:val="de-DE" w:eastAsia="de-DE" w:bidi="de-DE"/>
              </w:rPr>
              <w:t>6</w:t>
            </w:r>
          </w:p>
        </w:tc>
      </w:tr>
    </w:tbl>
    <w:p w14:paraId="53C3E3CC" w14:textId="77777777" w:rsidR="00802D7F" w:rsidRPr="002D396F" w:rsidRDefault="00802D7F" w:rsidP="003A1330">
      <w:pPr>
        <w:pStyle w:val="SingleTxtG"/>
        <w:ind w:left="2259" w:hanging="1125"/>
        <w:rPr>
          <w:lang w:val="de-DE"/>
        </w:rPr>
      </w:pPr>
    </w:p>
    <w:p w14:paraId="49F0D7B3" w14:textId="6F79F46F" w:rsidR="003A1330" w:rsidRPr="002D396F" w:rsidRDefault="00B73193" w:rsidP="003A1330">
      <w:pPr>
        <w:pStyle w:val="SingleTxtG"/>
        <w:spacing w:before="120"/>
        <w:ind w:left="2257" w:hanging="1123"/>
        <w:rPr>
          <w:lang w:val="de-DE" w:eastAsia="en-GB"/>
        </w:rPr>
      </w:pPr>
      <w:r w:rsidRPr="002D396F">
        <w:rPr>
          <w:lang w:val="de-DE"/>
        </w:rPr>
        <w:t>Tabelle</w:t>
      </w:r>
      <w:r w:rsidR="003A1330" w:rsidRPr="002D396F">
        <w:rPr>
          <w:lang w:val="de-DE"/>
        </w:rPr>
        <w:t xml:space="preserve"> </w:t>
      </w:r>
      <w:r w:rsidR="003A1330" w:rsidRPr="002D396F">
        <w:rPr>
          <w:lang w:val="de-DE" w:eastAsia="en-GB"/>
        </w:rPr>
        <w:t>2.2.7.2.2.1</w:t>
      </w:r>
    </w:p>
    <w:p w14:paraId="72FD6F7F" w14:textId="77777777" w:rsidR="00B73193" w:rsidRPr="002D396F" w:rsidRDefault="003A1330" w:rsidP="00B73193">
      <w:pPr>
        <w:pStyle w:val="SingleTxtG"/>
        <w:spacing w:before="120"/>
        <w:ind w:left="2257" w:hanging="1123"/>
        <w:rPr>
          <w:lang w:val="de-DE"/>
        </w:rPr>
      </w:pPr>
      <w:r w:rsidRPr="002D396F">
        <w:rPr>
          <w:lang w:val="de-DE"/>
        </w:rPr>
        <w:tab/>
      </w:r>
      <w:r w:rsidR="00B73193" w:rsidRPr="002D396F">
        <w:rPr>
          <w:lang w:val="de-DE"/>
        </w:rPr>
        <w:t>In der Fußnote b) zur Tabelle 2.2.7.2.2.1 folgende Änderungen vornehmen:</w:t>
      </w:r>
    </w:p>
    <w:p w14:paraId="7DCF79A0" w14:textId="07E95383" w:rsidR="00B73193" w:rsidRPr="002D396F" w:rsidRDefault="00B73193" w:rsidP="005F2702">
      <w:pPr>
        <w:pStyle w:val="SingleTxtG"/>
        <w:spacing w:before="120"/>
        <w:ind w:left="2694" w:hanging="426"/>
        <w:rPr>
          <w:lang w:val="de-DE"/>
        </w:rPr>
      </w:pPr>
      <w:r w:rsidRPr="002D396F">
        <w:rPr>
          <w:lang w:val="de-DE"/>
        </w:rPr>
        <w:t>–</w:t>
      </w:r>
      <w:r w:rsidRPr="002D396F">
        <w:rPr>
          <w:lang w:val="de-DE"/>
        </w:rPr>
        <w:tab/>
        <w:t>Am Ende des Einleitungssatzes hinzufügen: „(die zu berücksichtigende Aktivität ist nur diejenige des Ausgangsnuklids)“.</w:t>
      </w:r>
    </w:p>
    <w:p w14:paraId="2BEDEA19" w14:textId="56CC77C5" w:rsidR="00B73193" w:rsidRPr="002D396F" w:rsidRDefault="00B73193" w:rsidP="005F2702">
      <w:pPr>
        <w:pStyle w:val="SingleTxtG"/>
        <w:spacing w:before="120"/>
        <w:ind w:left="2694" w:hanging="426"/>
        <w:rPr>
          <w:lang w:val="de-DE"/>
        </w:rPr>
      </w:pPr>
      <w:r w:rsidRPr="002D396F">
        <w:rPr>
          <w:lang w:val="de-DE"/>
        </w:rPr>
        <w:t>–</w:t>
      </w:r>
      <w:r w:rsidRPr="002D396F">
        <w:rPr>
          <w:lang w:val="de-DE"/>
        </w:rPr>
        <w:tab/>
        <w:t>Nach „Th-</w:t>
      </w:r>
      <w:proofErr w:type="spellStart"/>
      <w:r w:rsidRPr="002D396F">
        <w:rPr>
          <w:lang w:val="de-DE"/>
        </w:rPr>
        <w:t>nat</w:t>
      </w:r>
      <w:proofErr w:type="spellEnd"/>
      <w:r w:rsidRPr="002D396F">
        <w:rPr>
          <w:lang w:val="de-DE"/>
        </w:rPr>
        <w:t>“ und „U-</w:t>
      </w:r>
      <w:proofErr w:type="spellStart"/>
      <w:r w:rsidRPr="002D396F">
        <w:rPr>
          <w:lang w:val="de-DE"/>
        </w:rPr>
        <w:t>nat</w:t>
      </w:r>
      <w:proofErr w:type="spellEnd"/>
      <w:r w:rsidRPr="002D396F">
        <w:rPr>
          <w:lang w:val="de-DE"/>
        </w:rPr>
        <w:t>“ einen Verweis auf eine Fußnote * mit folgendem Wortlaut aufnehmen: „* Im Falle von Th-natürlich ist das Ausgangsnuklid Th-232, im Falle von U-natürlich ist das Ausgangsnuklid U-238.“</w:t>
      </w:r>
      <w:r w:rsidR="00903A04">
        <w:rPr>
          <w:lang w:val="de-DE"/>
        </w:rPr>
        <w:t>.</w:t>
      </w:r>
    </w:p>
    <w:p w14:paraId="236350C5" w14:textId="2F64523C" w:rsidR="003A1330" w:rsidRPr="002D396F" w:rsidRDefault="007352D1" w:rsidP="003A1330">
      <w:pPr>
        <w:pStyle w:val="SingleTxtG"/>
        <w:spacing w:before="120"/>
        <w:ind w:left="2257" w:hanging="1123"/>
        <w:rPr>
          <w:lang w:val="de-DE" w:eastAsia="en-GB"/>
        </w:rPr>
      </w:pPr>
      <w:bookmarkStart w:id="15" w:name="_Hlk10123530"/>
      <w:r w:rsidRPr="002D396F">
        <w:rPr>
          <w:lang w:val="de-DE"/>
        </w:rPr>
        <w:t>Tabelle</w:t>
      </w:r>
      <w:r w:rsidR="003A1330" w:rsidRPr="002D396F">
        <w:rPr>
          <w:lang w:val="de-DE"/>
        </w:rPr>
        <w:t xml:space="preserve"> </w:t>
      </w:r>
      <w:r w:rsidR="003A1330" w:rsidRPr="002D396F">
        <w:rPr>
          <w:lang w:val="de-DE" w:eastAsia="en-GB"/>
        </w:rPr>
        <w:t>2.2.7.2.2.1</w:t>
      </w:r>
    </w:p>
    <w:p w14:paraId="341E522F" w14:textId="4C091455" w:rsidR="003A1330" w:rsidRPr="002D396F" w:rsidRDefault="003A1330" w:rsidP="003A1330">
      <w:pPr>
        <w:pStyle w:val="SingleTxtG"/>
        <w:spacing w:before="120"/>
        <w:ind w:left="2257" w:hanging="1123"/>
        <w:rPr>
          <w:lang w:val="de-DE"/>
        </w:rPr>
      </w:pPr>
      <w:r w:rsidRPr="002D396F">
        <w:rPr>
          <w:lang w:val="de-DE"/>
        </w:rPr>
        <w:tab/>
      </w:r>
      <w:r w:rsidR="007352D1" w:rsidRPr="002D396F">
        <w:rPr>
          <w:lang w:val="de-DE"/>
        </w:rPr>
        <w:t>[Die Änderung zu Fußnote c) zur Tabelle in der englischen Fassung hat keine Auswirkungen auf den deutschen Text.]</w:t>
      </w:r>
    </w:p>
    <w:bookmarkEnd w:id="15"/>
    <w:p w14:paraId="7E79450F" w14:textId="247CCBE2" w:rsidR="000502B1" w:rsidRPr="002D396F" w:rsidRDefault="003A1330" w:rsidP="000502B1">
      <w:pPr>
        <w:pStyle w:val="SingleTxtG"/>
        <w:ind w:left="2259" w:hanging="1125"/>
        <w:rPr>
          <w:lang w:val="de-DE" w:eastAsia="en-GB"/>
        </w:rPr>
      </w:pPr>
      <w:r w:rsidRPr="002D396F">
        <w:rPr>
          <w:lang w:val="de-DE" w:eastAsia="en-GB"/>
        </w:rPr>
        <w:t xml:space="preserve">2.2.7.2.2.2 </w:t>
      </w:r>
      <w:r w:rsidRPr="002D396F">
        <w:rPr>
          <w:lang w:val="de-DE" w:eastAsia="en-GB"/>
        </w:rPr>
        <w:tab/>
      </w:r>
      <w:r w:rsidR="000502B1" w:rsidRPr="002D396F">
        <w:rPr>
          <w:lang w:val="de-DE" w:eastAsia="en-GB"/>
        </w:rPr>
        <w:t xml:space="preserve">In Absatz a) „International Basic </w:t>
      </w:r>
      <w:proofErr w:type="spellStart"/>
      <w:r w:rsidR="000502B1" w:rsidRPr="002D396F">
        <w:rPr>
          <w:lang w:val="de-DE" w:eastAsia="en-GB"/>
        </w:rPr>
        <w:t>Safety</w:t>
      </w:r>
      <w:proofErr w:type="spellEnd"/>
      <w:r w:rsidR="000502B1" w:rsidRPr="002D396F">
        <w:rPr>
          <w:lang w:val="de-DE" w:eastAsia="en-GB"/>
        </w:rPr>
        <w:t xml:space="preserve"> Standards </w:t>
      </w:r>
      <w:proofErr w:type="spellStart"/>
      <w:r w:rsidR="000502B1" w:rsidRPr="002D396F">
        <w:rPr>
          <w:lang w:val="de-DE" w:eastAsia="en-GB"/>
        </w:rPr>
        <w:t>for</w:t>
      </w:r>
      <w:proofErr w:type="spellEnd"/>
      <w:r w:rsidR="000502B1" w:rsidRPr="002D396F">
        <w:rPr>
          <w:lang w:val="de-DE" w:eastAsia="en-GB"/>
        </w:rPr>
        <w:t xml:space="preserve"> </w:t>
      </w:r>
      <w:proofErr w:type="spellStart"/>
      <w:r w:rsidR="000502B1" w:rsidRPr="002D396F">
        <w:rPr>
          <w:lang w:val="de-DE" w:eastAsia="en-GB"/>
        </w:rPr>
        <w:t>Protection</w:t>
      </w:r>
      <w:proofErr w:type="spellEnd"/>
      <w:r w:rsidR="000502B1" w:rsidRPr="002D396F">
        <w:rPr>
          <w:lang w:val="de-DE" w:eastAsia="en-GB"/>
        </w:rPr>
        <w:t xml:space="preserve"> </w:t>
      </w:r>
      <w:proofErr w:type="spellStart"/>
      <w:r w:rsidR="000502B1" w:rsidRPr="002D396F">
        <w:rPr>
          <w:lang w:val="de-DE" w:eastAsia="en-GB"/>
        </w:rPr>
        <w:t>against</w:t>
      </w:r>
      <w:proofErr w:type="spellEnd"/>
      <w:r w:rsidR="000502B1" w:rsidRPr="002D396F">
        <w:rPr>
          <w:lang w:val="de-DE" w:eastAsia="en-GB"/>
        </w:rPr>
        <w:t xml:space="preserve"> </w:t>
      </w:r>
      <w:proofErr w:type="spellStart"/>
      <w:r w:rsidR="000502B1" w:rsidRPr="002D396F">
        <w:rPr>
          <w:lang w:val="de-DE" w:eastAsia="en-GB"/>
        </w:rPr>
        <w:t>Ionizing</w:t>
      </w:r>
      <w:proofErr w:type="spellEnd"/>
      <w:r w:rsidR="000502B1" w:rsidRPr="002D396F">
        <w:rPr>
          <w:lang w:val="de-DE" w:eastAsia="en-GB"/>
        </w:rPr>
        <w:t xml:space="preserve"> Radiation and </w:t>
      </w:r>
      <w:proofErr w:type="spellStart"/>
      <w:r w:rsidR="000502B1" w:rsidRPr="002D396F">
        <w:rPr>
          <w:lang w:val="de-DE" w:eastAsia="en-GB"/>
        </w:rPr>
        <w:t>for</w:t>
      </w:r>
      <w:proofErr w:type="spellEnd"/>
      <w:r w:rsidR="000502B1" w:rsidRPr="002D396F">
        <w:rPr>
          <w:lang w:val="de-DE" w:eastAsia="en-GB"/>
        </w:rPr>
        <w:t xml:space="preserve"> </w:t>
      </w:r>
      <w:proofErr w:type="spellStart"/>
      <w:r w:rsidR="000502B1" w:rsidRPr="002D396F">
        <w:rPr>
          <w:lang w:val="de-DE" w:eastAsia="en-GB"/>
        </w:rPr>
        <w:t>Safety</w:t>
      </w:r>
      <w:proofErr w:type="spellEnd"/>
      <w:r w:rsidR="000502B1" w:rsidRPr="002D396F">
        <w:rPr>
          <w:lang w:val="de-DE" w:eastAsia="en-GB"/>
        </w:rPr>
        <w:t xml:space="preserve"> </w:t>
      </w:r>
      <w:proofErr w:type="spellStart"/>
      <w:r w:rsidR="000502B1" w:rsidRPr="002D396F">
        <w:rPr>
          <w:lang w:val="de-DE" w:eastAsia="en-GB"/>
        </w:rPr>
        <w:t>of</w:t>
      </w:r>
      <w:proofErr w:type="spellEnd"/>
      <w:r w:rsidR="000502B1" w:rsidRPr="002D396F">
        <w:rPr>
          <w:lang w:val="de-DE" w:eastAsia="en-GB"/>
        </w:rPr>
        <w:t xml:space="preserve"> Radiation Sources</w:t>
      </w:r>
      <w:r w:rsidR="00070855" w:rsidRPr="002D396F">
        <w:rPr>
          <w:lang w:val="de-DE" w:eastAsia="en-GB"/>
        </w:rPr>
        <w:t>“</w:t>
      </w:r>
      <w:r w:rsidR="000502B1" w:rsidRPr="002D396F">
        <w:rPr>
          <w:lang w:val="de-DE" w:eastAsia="en-GB"/>
        </w:rPr>
        <w:t xml:space="preserve"> (Internationale grundlegende Sicherheitsnormen für den Schutz vor ionisierender Strahlung und für die Sicherheit von Strahlungsquellen), </w:t>
      </w:r>
      <w:proofErr w:type="spellStart"/>
      <w:r w:rsidR="000502B1" w:rsidRPr="002D396F">
        <w:rPr>
          <w:lang w:val="de-DE" w:eastAsia="en-GB"/>
        </w:rPr>
        <w:t>Safety</w:t>
      </w:r>
      <w:proofErr w:type="spellEnd"/>
      <w:r w:rsidR="000502B1" w:rsidRPr="002D396F">
        <w:rPr>
          <w:lang w:val="de-DE" w:eastAsia="en-GB"/>
        </w:rPr>
        <w:t xml:space="preserve"> Series </w:t>
      </w:r>
      <w:proofErr w:type="spellStart"/>
      <w:r w:rsidR="000502B1" w:rsidRPr="002D396F">
        <w:rPr>
          <w:lang w:val="de-DE" w:eastAsia="en-GB"/>
        </w:rPr>
        <w:t>No</w:t>
      </w:r>
      <w:proofErr w:type="spellEnd"/>
      <w:r w:rsidR="000502B1" w:rsidRPr="002D396F">
        <w:rPr>
          <w:lang w:val="de-DE" w:eastAsia="en-GB"/>
        </w:rPr>
        <w:t>. 115, IAEA, Wien (1996)“ ändern in:</w:t>
      </w:r>
    </w:p>
    <w:p w14:paraId="004969D7" w14:textId="17F6CE2A" w:rsidR="000502B1" w:rsidRPr="002D396F" w:rsidRDefault="000502B1" w:rsidP="000502B1">
      <w:pPr>
        <w:pStyle w:val="SingleTxtG"/>
        <w:ind w:left="2259" w:firstLine="9"/>
        <w:rPr>
          <w:lang w:val="de-DE" w:eastAsia="en-GB"/>
        </w:rPr>
      </w:pPr>
      <w:r w:rsidRPr="002D396F">
        <w:rPr>
          <w:lang w:val="de-DE" w:eastAsia="en-GB"/>
        </w:rPr>
        <w:t xml:space="preserve">„Radiation </w:t>
      </w:r>
      <w:proofErr w:type="spellStart"/>
      <w:r w:rsidRPr="002D396F">
        <w:rPr>
          <w:lang w:val="de-DE" w:eastAsia="en-GB"/>
        </w:rPr>
        <w:t>Protection</w:t>
      </w:r>
      <w:proofErr w:type="spellEnd"/>
      <w:r w:rsidRPr="002D396F">
        <w:rPr>
          <w:lang w:val="de-DE" w:eastAsia="en-GB"/>
        </w:rPr>
        <w:t xml:space="preserve"> and </w:t>
      </w:r>
      <w:proofErr w:type="spellStart"/>
      <w:r w:rsidRPr="002D396F">
        <w:rPr>
          <w:lang w:val="de-DE" w:eastAsia="en-GB"/>
        </w:rPr>
        <w:t>Safety</w:t>
      </w:r>
      <w:proofErr w:type="spellEnd"/>
      <w:r w:rsidRPr="002D396F">
        <w:rPr>
          <w:lang w:val="de-DE" w:eastAsia="en-GB"/>
        </w:rPr>
        <w:t xml:space="preserve"> </w:t>
      </w:r>
      <w:proofErr w:type="spellStart"/>
      <w:r w:rsidRPr="002D396F">
        <w:rPr>
          <w:lang w:val="de-DE" w:eastAsia="en-GB"/>
        </w:rPr>
        <w:t>of</w:t>
      </w:r>
      <w:proofErr w:type="spellEnd"/>
      <w:r w:rsidRPr="002D396F">
        <w:rPr>
          <w:lang w:val="de-DE" w:eastAsia="en-GB"/>
        </w:rPr>
        <w:t xml:space="preserve"> Radiation Sources: International Basic </w:t>
      </w:r>
      <w:proofErr w:type="spellStart"/>
      <w:r w:rsidRPr="002D396F">
        <w:rPr>
          <w:lang w:val="de-DE" w:eastAsia="en-GB"/>
        </w:rPr>
        <w:t>Safety</w:t>
      </w:r>
      <w:proofErr w:type="spellEnd"/>
      <w:r w:rsidRPr="002D396F">
        <w:rPr>
          <w:lang w:val="de-DE" w:eastAsia="en-GB"/>
        </w:rPr>
        <w:t xml:space="preserve"> Standards</w:t>
      </w:r>
      <w:r w:rsidR="00070855" w:rsidRPr="002D396F">
        <w:rPr>
          <w:lang w:val="de-DE" w:eastAsia="en-GB"/>
        </w:rPr>
        <w:t>“</w:t>
      </w:r>
      <w:r w:rsidRPr="002D396F">
        <w:rPr>
          <w:lang w:val="de-DE" w:eastAsia="en-GB"/>
        </w:rPr>
        <w:t xml:space="preserve"> (Strahlenschutz und Sicherheit von Strahlungsquellen: Internationale grundlegende Sicherheitsnormen), IAEA </w:t>
      </w:r>
      <w:proofErr w:type="spellStart"/>
      <w:r w:rsidRPr="002D396F">
        <w:rPr>
          <w:lang w:val="de-DE" w:eastAsia="en-GB"/>
        </w:rPr>
        <w:t>Safety</w:t>
      </w:r>
      <w:proofErr w:type="spellEnd"/>
      <w:r w:rsidRPr="002D396F">
        <w:rPr>
          <w:lang w:val="de-DE" w:eastAsia="en-GB"/>
        </w:rPr>
        <w:t xml:space="preserve"> Standards Series </w:t>
      </w:r>
      <w:proofErr w:type="spellStart"/>
      <w:r w:rsidRPr="002D396F">
        <w:rPr>
          <w:lang w:val="de-DE" w:eastAsia="en-GB"/>
        </w:rPr>
        <w:t>No</w:t>
      </w:r>
      <w:proofErr w:type="spellEnd"/>
      <w:r w:rsidRPr="002D396F">
        <w:rPr>
          <w:lang w:val="de-DE" w:eastAsia="en-GB"/>
        </w:rPr>
        <w:t>. GSR Teil 3, IAEA, Wien (2014)“.</w:t>
      </w:r>
    </w:p>
    <w:p w14:paraId="5DAA7372" w14:textId="77777777" w:rsidR="00381DB4" w:rsidRDefault="00381DB4">
      <w:pPr>
        <w:suppressAutoHyphens w:val="0"/>
        <w:spacing w:line="240" w:lineRule="auto"/>
        <w:rPr>
          <w:lang w:val="de-DE" w:eastAsia="en-GB"/>
        </w:rPr>
      </w:pPr>
      <w:r>
        <w:rPr>
          <w:lang w:val="de-DE" w:eastAsia="en-GB"/>
        </w:rPr>
        <w:br w:type="page"/>
      </w:r>
    </w:p>
    <w:p w14:paraId="118D2E6B" w14:textId="7B41BA0F" w:rsidR="000502B1" w:rsidRPr="002D396F" w:rsidRDefault="000502B1" w:rsidP="000502B1">
      <w:pPr>
        <w:pStyle w:val="SingleTxtG"/>
        <w:ind w:left="2259"/>
        <w:rPr>
          <w:lang w:val="de-DE" w:eastAsia="en-GB"/>
        </w:rPr>
      </w:pPr>
      <w:r w:rsidRPr="002D396F">
        <w:rPr>
          <w:lang w:val="de-DE" w:eastAsia="en-GB"/>
        </w:rPr>
        <w:lastRenderedPageBreak/>
        <w:t xml:space="preserve">In Absatz b) am Ende „in den </w:t>
      </w:r>
      <w:r w:rsidR="00297931" w:rsidRPr="002D396F">
        <w:rPr>
          <w:lang w:val="de-DE" w:eastAsia="en-GB"/>
        </w:rPr>
        <w:t>„</w:t>
      </w:r>
      <w:r w:rsidRPr="002D396F">
        <w:rPr>
          <w:lang w:val="de-DE" w:eastAsia="en-GB"/>
        </w:rPr>
        <w:t xml:space="preserve">International Basic </w:t>
      </w:r>
      <w:proofErr w:type="spellStart"/>
      <w:r w:rsidRPr="002D396F">
        <w:rPr>
          <w:lang w:val="de-DE" w:eastAsia="en-GB"/>
        </w:rPr>
        <w:t>Safety</w:t>
      </w:r>
      <w:proofErr w:type="spellEnd"/>
      <w:r w:rsidRPr="002D396F">
        <w:rPr>
          <w:lang w:val="de-DE" w:eastAsia="en-GB"/>
        </w:rPr>
        <w:t xml:space="preserve"> Standards </w:t>
      </w:r>
      <w:proofErr w:type="spellStart"/>
      <w:r w:rsidRPr="002D396F">
        <w:rPr>
          <w:lang w:val="de-DE" w:eastAsia="en-GB"/>
        </w:rPr>
        <w:t>for</w:t>
      </w:r>
      <w:proofErr w:type="spellEnd"/>
      <w:r w:rsidRPr="002D396F">
        <w:rPr>
          <w:lang w:val="de-DE" w:eastAsia="en-GB"/>
        </w:rPr>
        <w:t xml:space="preserve"> </w:t>
      </w:r>
      <w:proofErr w:type="spellStart"/>
      <w:r w:rsidRPr="002D396F">
        <w:rPr>
          <w:lang w:val="de-DE" w:eastAsia="en-GB"/>
        </w:rPr>
        <w:t>Protection</w:t>
      </w:r>
      <w:proofErr w:type="spellEnd"/>
      <w:r w:rsidRPr="002D396F">
        <w:rPr>
          <w:lang w:val="de-DE" w:eastAsia="en-GB"/>
        </w:rPr>
        <w:t xml:space="preserve"> </w:t>
      </w:r>
      <w:proofErr w:type="spellStart"/>
      <w:r w:rsidRPr="002D396F">
        <w:rPr>
          <w:lang w:val="de-DE" w:eastAsia="en-GB"/>
        </w:rPr>
        <w:t>against</w:t>
      </w:r>
      <w:proofErr w:type="spellEnd"/>
      <w:r w:rsidRPr="002D396F">
        <w:rPr>
          <w:lang w:val="de-DE" w:eastAsia="en-GB"/>
        </w:rPr>
        <w:t xml:space="preserve"> </w:t>
      </w:r>
      <w:proofErr w:type="spellStart"/>
      <w:r w:rsidRPr="002D396F">
        <w:rPr>
          <w:lang w:val="de-DE" w:eastAsia="en-GB"/>
        </w:rPr>
        <w:t>Ionizing</w:t>
      </w:r>
      <w:proofErr w:type="spellEnd"/>
      <w:r w:rsidRPr="002D396F">
        <w:rPr>
          <w:lang w:val="de-DE" w:eastAsia="en-GB"/>
        </w:rPr>
        <w:t xml:space="preserve"> Radiation and </w:t>
      </w:r>
      <w:proofErr w:type="spellStart"/>
      <w:r w:rsidRPr="002D396F">
        <w:rPr>
          <w:lang w:val="de-DE" w:eastAsia="en-GB"/>
        </w:rPr>
        <w:t>for</w:t>
      </w:r>
      <w:proofErr w:type="spellEnd"/>
      <w:r w:rsidRPr="002D396F">
        <w:rPr>
          <w:lang w:val="de-DE" w:eastAsia="en-GB"/>
        </w:rPr>
        <w:t xml:space="preserve"> </w:t>
      </w:r>
      <w:proofErr w:type="spellStart"/>
      <w:r w:rsidRPr="002D396F">
        <w:rPr>
          <w:lang w:val="de-DE" w:eastAsia="en-GB"/>
        </w:rPr>
        <w:t>Safety</w:t>
      </w:r>
      <w:proofErr w:type="spellEnd"/>
      <w:r w:rsidRPr="002D396F">
        <w:rPr>
          <w:lang w:val="de-DE" w:eastAsia="en-GB"/>
        </w:rPr>
        <w:t xml:space="preserve"> </w:t>
      </w:r>
      <w:proofErr w:type="spellStart"/>
      <w:r w:rsidRPr="002D396F">
        <w:rPr>
          <w:lang w:val="de-DE" w:eastAsia="en-GB"/>
        </w:rPr>
        <w:t>of</w:t>
      </w:r>
      <w:proofErr w:type="spellEnd"/>
      <w:r w:rsidRPr="002D396F">
        <w:rPr>
          <w:lang w:val="de-DE" w:eastAsia="en-GB"/>
        </w:rPr>
        <w:t xml:space="preserve"> Radiation Sources</w:t>
      </w:r>
      <w:r w:rsidR="00297931" w:rsidRPr="002D396F">
        <w:rPr>
          <w:lang w:val="de-DE" w:eastAsia="en-GB"/>
        </w:rPr>
        <w:t>“</w:t>
      </w:r>
      <w:r w:rsidRPr="002D396F">
        <w:rPr>
          <w:lang w:val="de-DE" w:eastAsia="en-GB"/>
        </w:rPr>
        <w:t xml:space="preserve"> (Internationale grundlegende Sicherheitsnormen für den Schutz vor ionisierender Strahlung und für die Sicherheit von Strahlungsquellen), </w:t>
      </w:r>
      <w:proofErr w:type="spellStart"/>
      <w:r w:rsidRPr="002D396F">
        <w:rPr>
          <w:lang w:val="de-DE" w:eastAsia="en-GB"/>
        </w:rPr>
        <w:t>Safety</w:t>
      </w:r>
      <w:proofErr w:type="spellEnd"/>
      <w:r w:rsidRPr="002D396F">
        <w:rPr>
          <w:lang w:val="de-DE" w:eastAsia="en-GB"/>
        </w:rPr>
        <w:t xml:space="preserve"> Series </w:t>
      </w:r>
      <w:proofErr w:type="spellStart"/>
      <w:r w:rsidRPr="002D396F">
        <w:rPr>
          <w:lang w:val="de-DE" w:eastAsia="en-GB"/>
        </w:rPr>
        <w:t>No</w:t>
      </w:r>
      <w:proofErr w:type="spellEnd"/>
      <w:r w:rsidRPr="002D396F">
        <w:rPr>
          <w:lang w:val="de-DE" w:eastAsia="en-GB"/>
        </w:rPr>
        <w:t>. 115, IAEA, Wien (1996)“ ändern in: „in GSR Teil 3</w:t>
      </w:r>
      <w:r w:rsidR="00903A04">
        <w:rPr>
          <w:lang w:val="de-DE" w:eastAsia="en-GB"/>
        </w:rPr>
        <w:t>“</w:t>
      </w:r>
      <w:r w:rsidRPr="002D396F">
        <w:rPr>
          <w:lang w:val="de-DE" w:eastAsia="en-GB"/>
        </w:rPr>
        <w:t>.</w:t>
      </w:r>
    </w:p>
    <w:p w14:paraId="2E1741E1" w14:textId="665CE0F2" w:rsidR="000502B1" w:rsidRPr="002D396F" w:rsidRDefault="003A1330" w:rsidP="000502B1">
      <w:pPr>
        <w:pStyle w:val="SingleTxtG"/>
        <w:ind w:left="2259" w:hanging="1125"/>
        <w:rPr>
          <w:lang w:val="de-DE" w:eastAsia="en-GB"/>
        </w:rPr>
      </w:pPr>
      <w:r w:rsidRPr="002D396F">
        <w:rPr>
          <w:lang w:val="de-DE" w:eastAsia="en-GB"/>
        </w:rPr>
        <w:t>2.2.7.2.2.3</w:t>
      </w:r>
      <w:r w:rsidRPr="002D396F">
        <w:rPr>
          <w:lang w:val="de-DE" w:eastAsia="en-GB"/>
        </w:rPr>
        <w:tab/>
      </w:r>
      <w:r w:rsidR="000502B1" w:rsidRPr="002D396F">
        <w:rPr>
          <w:lang w:val="de-DE" w:eastAsia="en-GB"/>
        </w:rPr>
        <w:t>„Tochternuklid“ ändern in: „Nuklidnachkomme“ (zweimal). „Tochternuklide“ ändern in: „Nuklidnachkommen“.</w:t>
      </w:r>
    </w:p>
    <w:p w14:paraId="642A9C03" w14:textId="16029C18" w:rsidR="000502B1" w:rsidRPr="002D396F" w:rsidRDefault="003A1330" w:rsidP="000502B1">
      <w:pPr>
        <w:pStyle w:val="SingleTxtG"/>
        <w:ind w:left="2259" w:hanging="1125"/>
        <w:rPr>
          <w:lang w:val="de-DE" w:eastAsia="en-GB"/>
        </w:rPr>
      </w:pPr>
      <w:r w:rsidRPr="002D396F">
        <w:rPr>
          <w:lang w:val="de-DE" w:eastAsia="en-GB"/>
        </w:rPr>
        <w:t>2.2.7.2.3.1.2</w:t>
      </w:r>
      <w:r w:rsidR="000502B1" w:rsidRPr="002D396F">
        <w:rPr>
          <w:lang w:val="de-DE" w:eastAsia="en-GB"/>
        </w:rPr>
        <w:tab/>
        <w:t>In Absatz c) streichen: „den Vorschriften des Absatzes 2.2.7.2.3.1.3 entsprechende“.</w:t>
      </w:r>
    </w:p>
    <w:p w14:paraId="29F7B743" w14:textId="6F3C920A" w:rsidR="000502B1" w:rsidRPr="002D396F" w:rsidRDefault="000502B1" w:rsidP="000502B1">
      <w:pPr>
        <w:pStyle w:val="SingleTxtG"/>
        <w:ind w:left="2259"/>
        <w:rPr>
          <w:lang w:val="de-DE"/>
        </w:rPr>
      </w:pPr>
      <w:r w:rsidRPr="002D396F">
        <w:rPr>
          <w:lang w:val="de-DE" w:eastAsia="en-GB"/>
        </w:rPr>
        <w:t>In Absatz c) den Unterabsatz (ii) streichen und den Unterabsatz (iii) in „(ii)“ umbenennen.</w:t>
      </w:r>
    </w:p>
    <w:p w14:paraId="0D533AF3" w14:textId="13DB180E" w:rsidR="000502B1" w:rsidRPr="002D396F" w:rsidRDefault="003A1330" w:rsidP="000502B1">
      <w:pPr>
        <w:pStyle w:val="SingleTxtG"/>
        <w:ind w:left="2259" w:hanging="1125"/>
        <w:rPr>
          <w:lang w:val="de-DE"/>
        </w:rPr>
      </w:pPr>
      <w:r w:rsidRPr="002D396F">
        <w:rPr>
          <w:lang w:val="de-DE" w:eastAsia="en-GB"/>
        </w:rPr>
        <w:t>2.2.7.2.3.1.3</w:t>
      </w:r>
      <w:r w:rsidRPr="002D396F">
        <w:rPr>
          <w:lang w:val="de-DE" w:eastAsia="en-GB"/>
        </w:rPr>
        <w:tab/>
      </w:r>
      <w:r w:rsidR="000502B1" w:rsidRPr="002D396F">
        <w:rPr>
          <w:lang w:val="de-DE" w:eastAsia="en-GB"/>
        </w:rPr>
        <w:t>e</w:t>
      </w:r>
      <w:r w:rsidR="000502B1" w:rsidRPr="002D396F">
        <w:rPr>
          <w:lang w:val="de-DE"/>
        </w:rPr>
        <w:t xml:space="preserve">rhält folgenden Wortlaut: </w:t>
      </w:r>
      <w:r w:rsidR="00EC7143">
        <w:rPr>
          <w:lang w:val="de-DE"/>
        </w:rPr>
        <w:t>„</w:t>
      </w:r>
      <w:r w:rsidR="000502B1" w:rsidRPr="002D396F">
        <w:rPr>
          <w:lang w:val="de-DE"/>
        </w:rPr>
        <w:t>2.2.7.2.3.1.3 (gestrichen)</w:t>
      </w:r>
      <w:r w:rsidR="00EC7143">
        <w:rPr>
          <w:lang w:val="de-DE"/>
        </w:rPr>
        <w:t>“</w:t>
      </w:r>
      <w:r w:rsidR="000502B1" w:rsidRPr="002D396F">
        <w:rPr>
          <w:lang w:val="de-DE"/>
        </w:rPr>
        <w:t>.</w:t>
      </w:r>
    </w:p>
    <w:p w14:paraId="62060B58" w14:textId="7EC933A9" w:rsidR="000502B1" w:rsidRPr="002D396F" w:rsidRDefault="003A1330" w:rsidP="00297931">
      <w:pPr>
        <w:widowControl w:val="0"/>
        <w:suppressAutoHyphens w:val="0"/>
        <w:autoSpaceDE w:val="0"/>
        <w:autoSpaceDN w:val="0"/>
        <w:spacing w:line="482" w:lineRule="auto"/>
        <w:ind w:left="2257" w:right="522" w:hanging="1123"/>
        <w:rPr>
          <w:rFonts w:eastAsia="Arial"/>
          <w:lang w:val="de-DE" w:eastAsia="de-DE" w:bidi="de-DE"/>
        </w:rPr>
      </w:pPr>
      <w:r w:rsidRPr="002D396F">
        <w:rPr>
          <w:lang w:val="de-DE"/>
        </w:rPr>
        <w:t>2.2.7.2.3.2</w:t>
      </w:r>
      <w:r w:rsidRPr="002D396F">
        <w:rPr>
          <w:lang w:val="de-DE"/>
        </w:rPr>
        <w:tab/>
      </w:r>
      <w:r w:rsidR="000502B1" w:rsidRPr="002D396F">
        <w:rPr>
          <w:rFonts w:eastAsia="Arial"/>
          <w:lang w:val="de-DE" w:eastAsia="de-DE" w:bidi="de-DE"/>
        </w:rPr>
        <w:t>Im Einleitungssatz vor Absatz a) „zwei</w:t>
      </w:r>
      <w:r w:rsidR="00B17D9F" w:rsidRPr="002D396F">
        <w:rPr>
          <w:rFonts w:eastAsia="Arial"/>
          <w:lang w:val="de-DE" w:eastAsia="de-DE" w:bidi="de-DE"/>
        </w:rPr>
        <w:t>“</w:t>
      </w:r>
      <w:r w:rsidR="000502B1" w:rsidRPr="002D396F">
        <w:rPr>
          <w:rFonts w:eastAsia="Arial"/>
          <w:lang w:val="de-DE" w:eastAsia="de-DE" w:bidi="de-DE"/>
        </w:rPr>
        <w:t xml:space="preserve"> ändern in: </w:t>
      </w:r>
      <w:r w:rsidR="00B17D9F" w:rsidRPr="002D396F">
        <w:rPr>
          <w:rFonts w:eastAsia="Arial"/>
          <w:lang w:val="de-DE" w:eastAsia="de-DE" w:bidi="de-DE"/>
        </w:rPr>
        <w:t>„</w:t>
      </w:r>
      <w:r w:rsidR="000502B1" w:rsidRPr="002D396F">
        <w:rPr>
          <w:rFonts w:eastAsia="Arial"/>
          <w:lang w:val="de-DE" w:eastAsia="de-DE" w:bidi="de-DE"/>
        </w:rPr>
        <w:t>drei</w:t>
      </w:r>
      <w:r w:rsidR="00B17D9F" w:rsidRPr="002D396F">
        <w:rPr>
          <w:rFonts w:eastAsia="Arial"/>
          <w:lang w:val="de-DE" w:eastAsia="de-DE" w:bidi="de-DE"/>
        </w:rPr>
        <w:t>“</w:t>
      </w:r>
      <w:r w:rsidR="000502B1" w:rsidRPr="002D396F">
        <w:rPr>
          <w:rFonts w:eastAsia="Arial"/>
          <w:lang w:val="de-DE" w:eastAsia="de-DE" w:bidi="de-DE"/>
        </w:rPr>
        <w:t>.</w:t>
      </w:r>
    </w:p>
    <w:p w14:paraId="1CEE1D31" w14:textId="77777777" w:rsidR="000502B1" w:rsidRPr="002D396F" w:rsidRDefault="000502B1" w:rsidP="000502B1">
      <w:pPr>
        <w:widowControl w:val="0"/>
        <w:suppressAutoHyphens w:val="0"/>
        <w:autoSpaceDE w:val="0"/>
        <w:autoSpaceDN w:val="0"/>
        <w:spacing w:line="251" w:lineRule="exact"/>
        <w:ind w:left="1890"/>
        <w:rPr>
          <w:rFonts w:eastAsia="Arial"/>
          <w:lang w:val="de-DE" w:eastAsia="de-DE" w:bidi="de-DE"/>
        </w:rPr>
      </w:pPr>
      <w:r w:rsidRPr="002D396F">
        <w:rPr>
          <w:rFonts w:eastAsia="Arial"/>
          <w:lang w:val="de-DE" w:eastAsia="de-DE" w:bidi="de-DE"/>
        </w:rPr>
        <w:t>Folgenden neuen Absatz c) hinzufügen:</w:t>
      </w:r>
    </w:p>
    <w:p w14:paraId="117BCCAA" w14:textId="495E6FA5" w:rsidR="000502B1" w:rsidRPr="002D396F" w:rsidRDefault="00B17D9F" w:rsidP="00F519C1">
      <w:pPr>
        <w:widowControl w:val="0"/>
        <w:suppressAutoHyphens w:val="0"/>
        <w:autoSpaceDE w:val="0"/>
        <w:autoSpaceDN w:val="0"/>
        <w:spacing w:before="120" w:line="240" w:lineRule="auto"/>
        <w:ind w:left="2315" w:right="1134" w:hanging="425"/>
        <w:jc w:val="both"/>
        <w:rPr>
          <w:rFonts w:eastAsia="Arial"/>
          <w:lang w:val="de-DE" w:eastAsia="de-DE" w:bidi="de-DE"/>
        </w:rPr>
      </w:pPr>
      <w:r w:rsidRPr="002D396F">
        <w:rPr>
          <w:rFonts w:eastAsia="Arial"/>
          <w:lang w:val="de-DE" w:eastAsia="de-DE" w:bidi="de-DE"/>
        </w:rPr>
        <w:t>„</w:t>
      </w:r>
      <w:r w:rsidR="000502B1" w:rsidRPr="002D396F">
        <w:rPr>
          <w:rFonts w:eastAsia="Arial"/>
          <w:lang w:val="de-DE" w:eastAsia="de-DE" w:bidi="de-DE"/>
        </w:rPr>
        <w:t>c)</w:t>
      </w:r>
      <w:r w:rsidRPr="002D396F">
        <w:rPr>
          <w:rFonts w:eastAsia="Arial"/>
          <w:lang w:val="de-DE" w:eastAsia="de-DE" w:bidi="de-DE"/>
        </w:rPr>
        <w:tab/>
      </w:r>
      <w:r w:rsidR="000502B1" w:rsidRPr="002D396F">
        <w:rPr>
          <w:rFonts w:eastAsia="Arial"/>
          <w:lang w:val="de-DE" w:eastAsia="de-DE" w:bidi="de-DE"/>
        </w:rPr>
        <w:t>SCO-III: Ein großer fester Gegenstand, der wegen seiner Größe nicht in einer im RID/ADR/ADN beschriebenen Versandstückart befördert werden kann und bei dem:</w:t>
      </w:r>
    </w:p>
    <w:p w14:paraId="787C7CEE" w14:textId="2E725936" w:rsidR="000502B1" w:rsidRPr="002D396F" w:rsidRDefault="00297931" w:rsidP="00F519C1">
      <w:pPr>
        <w:widowControl w:val="0"/>
        <w:tabs>
          <w:tab w:val="left" w:pos="2741"/>
        </w:tabs>
        <w:suppressAutoHyphens w:val="0"/>
        <w:autoSpaceDE w:val="0"/>
        <w:autoSpaceDN w:val="0"/>
        <w:spacing w:before="60" w:line="240" w:lineRule="auto"/>
        <w:ind w:left="2694" w:right="1134" w:hanging="426"/>
        <w:jc w:val="both"/>
        <w:rPr>
          <w:rFonts w:eastAsia="Arial"/>
          <w:lang w:val="de-DE" w:eastAsia="de-DE" w:bidi="de-DE"/>
        </w:rPr>
      </w:pPr>
      <w:r w:rsidRPr="002D396F">
        <w:rPr>
          <w:rFonts w:eastAsia="Arial"/>
          <w:lang w:val="de-DE" w:eastAsia="de-DE" w:bidi="de-DE"/>
        </w:rPr>
        <w:t>(i)</w:t>
      </w:r>
      <w:r w:rsidRPr="002D396F">
        <w:rPr>
          <w:rFonts w:eastAsia="Arial"/>
          <w:lang w:val="de-DE" w:eastAsia="de-DE" w:bidi="de-DE"/>
        </w:rPr>
        <w:tab/>
      </w:r>
      <w:r w:rsidR="000502B1" w:rsidRPr="002D396F">
        <w:rPr>
          <w:rFonts w:eastAsia="Arial"/>
          <w:lang w:val="de-DE" w:eastAsia="de-DE" w:bidi="de-DE"/>
        </w:rPr>
        <w:t>alle</w:t>
      </w:r>
      <w:r w:rsidR="000502B1" w:rsidRPr="002D396F">
        <w:rPr>
          <w:rFonts w:eastAsia="Arial"/>
          <w:spacing w:val="-13"/>
          <w:lang w:val="de-DE" w:eastAsia="de-DE" w:bidi="de-DE"/>
        </w:rPr>
        <w:t xml:space="preserve"> </w:t>
      </w:r>
      <w:r w:rsidR="000502B1" w:rsidRPr="002D396F">
        <w:rPr>
          <w:rFonts w:eastAsia="Arial"/>
          <w:lang w:val="de-DE" w:eastAsia="de-DE" w:bidi="de-DE"/>
        </w:rPr>
        <w:t>Öffnungen</w:t>
      </w:r>
      <w:r w:rsidR="000502B1" w:rsidRPr="002D396F">
        <w:rPr>
          <w:rFonts w:eastAsia="Arial"/>
          <w:spacing w:val="-16"/>
          <w:lang w:val="de-DE" w:eastAsia="de-DE" w:bidi="de-DE"/>
        </w:rPr>
        <w:t xml:space="preserve"> </w:t>
      </w:r>
      <w:r w:rsidR="000502B1" w:rsidRPr="002D396F">
        <w:rPr>
          <w:rFonts w:eastAsia="Arial"/>
          <w:lang w:val="de-DE" w:eastAsia="de-DE" w:bidi="de-DE"/>
        </w:rPr>
        <w:t>abgedichtet</w:t>
      </w:r>
      <w:r w:rsidR="000502B1" w:rsidRPr="002D396F">
        <w:rPr>
          <w:rFonts w:eastAsia="Arial"/>
          <w:spacing w:val="-12"/>
          <w:lang w:val="de-DE" w:eastAsia="de-DE" w:bidi="de-DE"/>
        </w:rPr>
        <w:t xml:space="preserve"> </w:t>
      </w:r>
      <w:r w:rsidR="000502B1" w:rsidRPr="002D396F">
        <w:rPr>
          <w:rFonts w:eastAsia="Arial"/>
          <w:lang w:val="de-DE" w:eastAsia="de-DE" w:bidi="de-DE"/>
        </w:rPr>
        <w:t>sind,</w:t>
      </w:r>
      <w:r w:rsidR="000502B1" w:rsidRPr="002D396F">
        <w:rPr>
          <w:rFonts w:eastAsia="Arial"/>
          <w:spacing w:val="-12"/>
          <w:lang w:val="de-DE" w:eastAsia="de-DE" w:bidi="de-DE"/>
        </w:rPr>
        <w:t xml:space="preserve"> </w:t>
      </w:r>
      <w:r w:rsidR="000502B1" w:rsidRPr="002D396F">
        <w:rPr>
          <w:rFonts w:eastAsia="Arial"/>
          <w:lang w:val="de-DE" w:eastAsia="de-DE" w:bidi="de-DE"/>
        </w:rPr>
        <w:t>um</w:t>
      </w:r>
      <w:r w:rsidR="000502B1" w:rsidRPr="002D396F">
        <w:rPr>
          <w:rFonts w:eastAsia="Arial"/>
          <w:spacing w:val="-13"/>
          <w:lang w:val="de-DE" w:eastAsia="de-DE" w:bidi="de-DE"/>
        </w:rPr>
        <w:t xml:space="preserve"> </w:t>
      </w:r>
      <w:r w:rsidR="000502B1" w:rsidRPr="002D396F">
        <w:rPr>
          <w:rFonts w:eastAsia="Arial"/>
          <w:lang w:val="de-DE" w:eastAsia="de-DE" w:bidi="de-DE"/>
        </w:rPr>
        <w:t>die</w:t>
      </w:r>
      <w:r w:rsidR="000502B1" w:rsidRPr="002D396F">
        <w:rPr>
          <w:rFonts w:eastAsia="Arial"/>
          <w:spacing w:val="-13"/>
          <w:lang w:val="de-DE" w:eastAsia="de-DE" w:bidi="de-DE"/>
        </w:rPr>
        <w:t xml:space="preserve"> </w:t>
      </w:r>
      <w:r w:rsidR="000502B1" w:rsidRPr="002D396F">
        <w:rPr>
          <w:rFonts w:eastAsia="Arial"/>
          <w:lang w:val="de-DE" w:eastAsia="de-DE" w:bidi="de-DE"/>
        </w:rPr>
        <w:t>Freisetzung</w:t>
      </w:r>
      <w:r w:rsidR="000502B1" w:rsidRPr="002D396F">
        <w:rPr>
          <w:rFonts w:eastAsia="Arial"/>
          <w:spacing w:val="-13"/>
          <w:lang w:val="de-DE" w:eastAsia="de-DE" w:bidi="de-DE"/>
        </w:rPr>
        <w:t xml:space="preserve"> </w:t>
      </w:r>
      <w:r w:rsidR="000502B1" w:rsidRPr="002D396F">
        <w:rPr>
          <w:rFonts w:eastAsia="Arial"/>
          <w:lang w:val="de-DE" w:eastAsia="de-DE" w:bidi="de-DE"/>
        </w:rPr>
        <w:t>radioaktiver</w:t>
      </w:r>
      <w:r w:rsidR="000502B1" w:rsidRPr="002D396F">
        <w:rPr>
          <w:rFonts w:eastAsia="Arial"/>
          <w:spacing w:val="-12"/>
          <w:lang w:val="de-DE" w:eastAsia="de-DE" w:bidi="de-DE"/>
        </w:rPr>
        <w:t xml:space="preserve"> </w:t>
      </w:r>
      <w:r w:rsidR="000502B1" w:rsidRPr="002D396F">
        <w:rPr>
          <w:rFonts w:eastAsia="Arial"/>
          <w:lang w:val="de-DE" w:eastAsia="de-DE" w:bidi="de-DE"/>
        </w:rPr>
        <w:t>Stoffe</w:t>
      </w:r>
      <w:r w:rsidR="000502B1" w:rsidRPr="002D396F">
        <w:rPr>
          <w:rFonts w:eastAsia="Arial"/>
          <w:spacing w:val="-16"/>
          <w:lang w:val="de-DE" w:eastAsia="de-DE" w:bidi="de-DE"/>
        </w:rPr>
        <w:t xml:space="preserve"> </w:t>
      </w:r>
      <w:r w:rsidR="000502B1" w:rsidRPr="002D396F">
        <w:rPr>
          <w:rFonts w:eastAsia="Arial"/>
          <w:lang w:val="de-DE" w:eastAsia="de-DE" w:bidi="de-DE"/>
        </w:rPr>
        <w:t>während der in Absatz 4.1.9.2.4 e) (ADN: des ADR) festgelegten Bedingungen zu</w:t>
      </w:r>
      <w:r w:rsidR="000502B1" w:rsidRPr="002D396F">
        <w:rPr>
          <w:rFonts w:eastAsia="Arial"/>
          <w:spacing w:val="-1"/>
          <w:lang w:val="de-DE" w:eastAsia="de-DE" w:bidi="de-DE"/>
        </w:rPr>
        <w:t xml:space="preserve"> </w:t>
      </w:r>
      <w:r w:rsidR="000502B1" w:rsidRPr="002D396F">
        <w:rPr>
          <w:rFonts w:eastAsia="Arial"/>
          <w:lang w:val="de-DE" w:eastAsia="de-DE" w:bidi="de-DE"/>
        </w:rPr>
        <w:t>verhindern;</w:t>
      </w:r>
    </w:p>
    <w:p w14:paraId="371D8EC0" w14:textId="7BA22330" w:rsidR="000502B1" w:rsidRPr="002D396F" w:rsidRDefault="00297931" w:rsidP="00F519C1">
      <w:pPr>
        <w:widowControl w:val="0"/>
        <w:tabs>
          <w:tab w:val="left" w:pos="2741"/>
        </w:tabs>
        <w:suppressAutoHyphens w:val="0"/>
        <w:autoSpaceDE w:val="0"/>
        <w:autoSpaceDN w:val="0"/>
        <w:spacing w:before="60" w:line="240" w:lineRule="auto"/>
        <w:ind w:left="2694" w:right="1134" w:hanging="426"/>
        <w:rPr>
          <w:rFonts w:eastAsia="Arial"/>
          <w:lang w:val="de-DE" w:eastAsia="de-DE" w:bidi="de-DE"/>
        </w:rPr>
      </w:pPr>
      <w:r w:rsidRPr="002D396F">
        <w:rPr>
          <w:rFonts w:eastAsia="Arial"/>
          <w:lang w:val="de-DE" w:eastAsia="de-DE" w:bidi="de-DE"/>
        </w:rPr>
        <w:t>(ii)</w:t>
      </w:r>
      <w:r w:rsidRPr="002D396F">
        <w:rPr>
          <w:rFonts w:eastAsia="Arial"/>
          <w:lang w:val="de-DE" w:eastAsia="de-DE" w:bidi="de-DE"/>
        </w:rPr>
        <w:tab/>
      </w:r>
      <w:r w:rsidR="000502B1" w:rsidRPr="002D396F">
        <w:rPr>
          <w:rFonts w:eastAsia="Arial"/>
          <w:lang w:val="de-DE" w:eastAsia="de-DE" w:bidi="de-DE"/>
        </w:rPr>
        <w:t xml:space="preserve">das Innere des Gegenstandes ist so trocken </w:t>
      </w:r>
      <w:r w:rsidR="000502B1" w:rsidRPr="002D396F">
        <w:rPr>
          <w:rFonts w:eastAsia="Arial"/>
          <w:spacing w:val="-2"/>
          <w:lang w:val="de-DE" w:eastAsia="de-DE" w:bidi="de-DE"/>
        </w:rPr>
        <w:t>wie</w:t>
      </w:r>
      <w:r w:rsidR="000502B1" w:rsidRPr="002D396F">
        <w:rPr>
          <w:rFonts w:eastAsia="Arial"/>
          <w:spacing w:val="-5"/>
          <w:lang w:val="de-DE" w:eastAsia="de-DE" w:bidi="de-DE"/>
        </w:rPr>
        <w:t xml:space="preserve"> </w:t>
      </w:r>
      <w:r w:rsidR="000502B1" w:rsidRPr="002D396F">
        <w:rPr>
          <w:rFonts w:eastAsia="Arial"/>
          <w:lang w:val="de-DE" w:eastAsia="de-DE" w:bidi="de-DE"/>
        </w:rPr>
        <w:t>möglich;</w:t>
      </w:r>
    </w:p>
    <w:p w14:paraId="3184CC6A" w14:textId="208A626D" w:rsidR="000502B1" w:rsidRPr="002D396F" w:rsidRDefault="00297931" w:rsidP="00F519C1">
      <w:pPr>
        <w:widowControl w:val="0"/>
        <w:tabs>
          <w:tab w:val="left" w:pos="2741"/>
        </w:tabs>
        <w:suppressAutoHyphens w:val="0"/>
        <w:autoSpaceDE w:val="0"/>
        <w:autoSpaceDN w:val="0"/>
        <w:spacing w:before="60" w:line="240" w:lineRule="auto"/>
        <w:ind w:left="2694" w:right="1134" w:hanging="426"/>
        <w:jc w:val="both"/>
        <w:rPr>
          <w:rFonts w:eastAsia="Arial"/>
          <w:lang w:val="de-DE" w:eastAsia="de-DE" w:bidi="de-DE"/>
        </w:rPr>
      </w:pPr>
      <w:r w:rsidRPr="002D396F">
        <w:rPr>
          <w:rFonts w:eastAsia="Arial"/>
          <w:lang w:val="de-DE" w:eastAsia="de-DE" w:bidi="de-DE"/>
        </w:rPr>
        <w:t>(iii)</w:t>
      </w:r>
      <w:r w:rsidRPr="002D396F">
        <w:rPr>
          <w:rFonts w:eastAsia="Arial"/>
          <w:lang w:val="de-DE" w:eastAsia="de-DE" w:bidi="de-DE"/>
        </w:rPr>
        <w:tab/>
      </w:r>
      <w:r w:rsidR="000502B1" w:rsidRPr="002D396F">
        <w:rPr>
          <w:rFonts w:eastAsia="Arial"/>
          <w:lang w:val="de-DE" w:eastAsia="de-DE" w:bidi="de-DE"/>
        </w:rPr>
        <w:t>die</w:t>
      </w:r>
      <w:r w:rsidR="000502B1" w:rsidRPr="002D396F">
        <w:rPr>
          <w:rFonts w:eastAsia="Arial"/>
          <w:spacing w:val="-15"/>
          <w:lang w:val="de-DE" w:eastAsia="de-DE" w:bidi="de-DE"/>
        </w:rPr>
        <w:t xml:space="preserve"> </w:t>
      </w:r>
      <w:r w:rsidR="000502B1" w:rsidRPr="002D396F">
        <w:rPr>
          <w:rFonts w:eastAsia="Arial"/>
          <w:lang w:val="de-DE" w:eastAsia="de-DE" w:bidi="de-DE"/>
        </w:rPr>
        <w:t>nicht</w:t>
      </w:r>
      <w:r w:rsidR="000502B1" w:rsidRPr="002D396F">
        <w:rPr>
          <w:rFonts w:eastAsia="Arial"/>
          <w:spacing w:val="-15"/>
          <w:lang w:val="de-DE" w:eastAsia="de-DE" w:bidi="de-DE"/>
        </w:rPr>
        <w:t xml:space="preserve"> </w:t>
      </w:r>
      <w:r w:rsidR="000502B1" w:rsidRPr="002D396F">
        <w:rPr>
          <w:rFonts w:eastAsia="Arial"/>
          <w:lang w:val="de-DE" w:eastAsia="de-DE" w:bidi="de-DE"/>
        </w:rPr>
        <w:t>festhaftende</w:t>
      </w:r>
      <w:r w:rsidR="000502B1" w:rsidRPr="002D396F">
        <w:rPr>
          <w:rFonts w:eastAsia="Arial"/>
          <w:spacing w:val="-14"/>
          <w:lang w:val="de-DE" w:eastAsia="de-DE" w:bidi="de-DE"/>
        </w:rPr>
        <w:t xml:space="preserve"> </w:t>
      </w:r>
      <w:r w:rsidR="000502B1" w:rsidRPr="002D396F">
        <w:rPr>
          <w:rFonts w:eastAsia="Arial"/>
          <w:lang w:val="de-DE" w:eastAsia="de-DE" w:bidi="de-DE"/>
        </w:rPr>
        <w:t>Kontamination</w:t>
      </w:r>
      <w:r w:rsidR="000502B1" w:rsidRPr="002D396F">
        <w:rPr>
          <w:rFonts w:eastAsia="Arial"/>
          <w:spacing w:val="-14"/>
          <w:lang w:val="de-DE" w:eastAsia="de-DE" w:bidi="de-DE"/>
        </w:rPr>
        <w:t xml:space="preserve"> </w:t>
      </w:r>
      <w:r w:rsidR="000502B1" w:rsidRPr="002D396F">
        <w:rPr>
          <w:rFonts w:eastAsia="Arial"/>
          <w:lang w:val="de-DE" w:eastAsia="de-DE" w:bidi="de-DE"/>
        </w:rPr>
        <w:t>auf</w:t>
      </w:r>
      <w:r w:rsidR="000502B1" w:rsidRPr="002D396F">
        <w:rPr>
          <w:rFonts w:eastAsia="Arial"/>
          <w:spacing w:val="-12"/>
          <w:lang w:val="de-DE" w:eastAsia="de-DE" w:bidi="de-DE"/>
        </w:rPr>
        <w:t xml:space="preserve"> </w:t>
      </w:r>
      <w:r w:rsidR="000502B1" w:rsidRPr="002D396F">
        <w:rPr>
          <w:rFonts w:eastAsia="Arial"/>
          <w:lang w:val="de-DE" w:eastAsia="de-DE" w:bidi="de-DE"/>
        </w:rPr>
        <w:t>den</w:t>
      </w:r>
      <w:r w:rsidR="000502B1" w:rsidRPr="002D396F">
        <w:rPr>
          <w:rFonts w:eastAsia="Arial"/>
          <w:spacing w:val="-16"/>
          <w:lang w:val="de-DE" w:eastAsia="de-DE" w:bidi="de-DE"/>
        </w:rPr>
        <w:t xml:space="preserve"> </w:t>
      </w:r>
      <w:r w:rsidR="000502B1" w:rsidRPr="002D396F">
        <w:rPr>
          <w:rFonts w:eastAsia="Arial"/>
          <w:lang w:val="de-DE" w:eastAsia="de-DE" w:bidi="de-DE"/>
        </w:rPr>
        <w:t>äußeren</w:t>
      </w:r>
      <w:r w:rsidR="000502B1" w:rsidRPr="002D396F">
        <w:rPr>
          <w:rFonts w:eastAsia="Arial"/>
          <w:spacing w:val="-16"/>
          <w:lang w:val="de-DE" w:eastAsia="de-DE" w:bidi="de-DE"/>
        </w:rPr>
        <w:t xml:space="preserve"> </w:t>
      </w:r>
      <w:r w:rsidR="000502B1" w:rsidRPr="002D396F">
        <w:rPr>
          <w:rFonts w:eastAsia="Arial"/>
          <w:lang w:val="de-DE" w:eastAsia="de-DE" w:bidi="de-DE"/>
        </w:rPr>
        <w:t>Oberflächen</w:t>
      </w:r>
      <w:r w:rsidR="000502B1" w:rsidRPr="002D396F">
        <w:rPr>
          <w:rFonts w:eastAsia="Arial"/>
          <w:spacing w:val="-16"/>
          <w:lang w:val="de-DE" w:eastAsia="de-DE" w:bidi="de-DE"/>
        </w:rPr>
        <w:t xml:space="preserve"> </w:t>
      </w:r>
      <w:r w:rsidR="000502B1" w:rsidRPr="002D396F">
        <w:rPr>
          <w:rFonts w:eastAsia="Arial"/>
          <w:lang w:val="de-DE" w:eastAsia="de-DE" w:bidi="de-DE"/>
        </w:rPr>
        <w:t>die</w:t>
      </w:r>
      <w:r w:rsidR="000502B1" w:rsidRPr="002D396F">
        <w:rPr>
          <w:rFonts w:eastAsia="Arial"/>
          <w:spacing w:val="-14"/>
          <w:lang w:val="de-DE" w:eastAsia="de-DE" w:bidi="de-DE"/>
        </w:rPr>
        <w:t xml:space="preserve"> </w:t>
      </w:r>
      <w:r w:rsidR="000502B1" w:rsidRPr="002D396F">
        <w:rPr>
          <w:rFonts w:eastAsia="Arial"/>
          <w:lang w:val="de-DE" w:eastAsia="de-DE" w:bidi="de-DE"/>
        </w:rPr>
        <w:t>in</w:t>
      </w:r>
      <w:r w:rsidR="000502B1" w:rsidRPr="002D396F">
        <w:rPr>
          <w:rFonts w:eastAsia="Arial"/>
          <w:spacing w:val="-14"/>
          <w:lang w:val="de-DE" w:eastAsia="de-DE" w:bidi="de-DE"/>
        </w:rPr>
        <w:t xml:space="preserve"> </w:t>
      </w:r>
      <w:r w:rsidR="000502B1" w:rsidRPr="002D396F">
        <w:rPr>
          <w:rFonts w:eastAsia="Arial"/>
          <w:spacing w:val="-2"/>
          <w:lang w:val="de-DE" w:eastAsia="de-DE" w:bidi="de-DE"/>
        </w:rPr>
        <w:t>Ab</w:t>
      </w:r>
      <w:r w:rsidR="000502B1" w:rsidRPr="002D396F">
        <w:rPr>
          <w:rFonts w:eastAsia="Arial"/>
          <w:lang w:val="de-DE" w:eastAsia="de-DE" w:bidi="de-DE"/>
        </w:rPr>
        <w:t>satz 4.1.9.1.2 (ADN: des ADR) festgelegten Grenzwerte nicht überschreitet und</w:t>
      </w:r>
    </w:p>
    <w:p w14:paraId="58C87AB3" w14:textId="17AFBFE1" w:rsidR="000502B1" w:rsidRPr="002D396F" w:rsidRDefault="00297931" w:rsidP="00F519C1">
      <w:pPr>
        <w:widowControl w:val="0"/>
        <w:tabs>
          <w:tab w:val="left" w:pos="2741"/>
        </w:tabs>
        <w:suppressAutoHyphens w:val="0"/>
        <w:autoSpaceDE w:val="0"/>
        <w:autoSpaceDN w:val="0"/>
        <w:spacing w:before="60" w:line="235" w:lineRule="auto"/>
        <w:ind w:left="2694" w:right="1134" w:hanging="426"/>
        <w:jc w:val="both"/>
        <w:rPr>
          <w:rFonts w:eastAsia="Arial"/>
          <w:lang w:val="de-DE" w:eastAsia="de-DE" w:bidi="de-DE"/>
        </w:rPr>
      </w:pPr>
      <w:r w:rsidRPr="002D396F">
        <w:rPr>
          <w:rFonts w:eastAsia="Arial"/>
          <w:lang w:val="de-DE" w:eastAsia="de-DE" w:bidi="de-DE"/>
        </w:rPr>
        <w:t>(iv)</w:t>
      </w:r>
      <w:r w:rsidRPr="002D396F">
        <w:rPr>
          <w:rFonts w:eastAsia="Arial"/>
          <w:lang w:val="de-DE" w:eastAsia="de-DE" w:bidi="de-DE"/>
        </w:rPr>
        <w:tab/>
      </w:r>
      <w:r w:rsidR="006D7BF7">
        <w:rPr>
          <w:rFonts w:eastAsia="Arial"/>
          <w:lang w:val="de-DE" w:eastAsia="de-DE" w:bidi="de-DE"/>
        </w:rPr>
        <w:t>d</w:t>
      </w:r>
      <w:r w:rsidR="000502B1" w:rsidRPr="002D396F">
        <w:rPr>
          <w:rFonts w:eastAsia="Arial"/>
          <w:lang w:val="de-DE" w:eastAsia="de-DE" w:bidi="de-DE"/>
        </w:rPr>
        <w:t>ie Summe aus nicht festhaftender Kontamination und festhaftender</w:t>
      </w:r>
      <w:r w:rsidR="000502B1" w:rsidRPr="002D396F">
        <w:rPr>
          <w:rFonts w:eastAsia="Arial"/>
          <w:spacing w:val="-44"/>
          <w:lang w:val="de-DE" w:eastAsia="de-DE" w:bidi="de-DE"/>
        </w:rPr>
        <w:t xml:space="preserve"> </w:t>
      </w:r>
      <w:r w:rsidR="000502B1" w:rsidRPr="002D396F">
        <w:rPr>
          <w:rFonts w:eastAsia="Arial"/>
          <w:lang w:val="de-DE" w:eastAsia="de-DE" w:bidi="de-DE"/>
        </w:rPr>
        <w:t>Kontamination</w:t>
      </w:r>
      <w:r w:rsidR="000502B1" w:rsidRPr="002D396F">
        <w:rPr>
          <w:rFonts w:eastAsia="Arial"/>
          <w:spacing w:val="-10"/>
          <w:lang w:val="de-DE" w:eastAsia="de-DE" w:bidi="de-DE"/>
        </w:rPr>
        <w:t xml:space="preserve"> </w:t>
      </w:r>
      <w:r w:rsidR="000502B1" w:rsidRPr="002D396F">
        <w:rPr>
          <w:rFonts w:eastAsia="Arial"/>
          <w:lang w:val="de-DE" w:eastAsia="de-DE" w:bidi="de-DE"/>
        </w:rPr>
        <w:t>auf</w:t>
      </w:r>
      <w:r w:rsidR="000502B1" w:rsidRPr="002D396F">
        <w:rPr>
          <w:rFonts w:eastAsia="Arial"/>
          <w:spacing w:val="-10"/>
          <w:lang w:val="de-DE" w:eastAsia="de-DE" w:bidi="de-DE"/>
        </w:rPr>
        <w:t xml:space="preserve"> </w:t>
      </w:r>
      <w:r w:rsidR="000502B1" w:rsidRPr="002D396F">
        <w:rPr>
          <w:rFonts w:eastAsia="Arial"/>
          <w:lang w:val="de-DE" w:eastAsia="de-DE" w:bidi="de-DE"/>
        </w:rPr>
        <w:t>der</w:t>
      </w:r>
      <w:r w:rsidR="000502B1" w:rsidRPr="002D396F">
        <w:rPr>
          <w:rFonts w:eastAsia="Arial"/>
          <w:spacing w:val="-10"/>
          <w:lang w:val="de-DE" w:eastAsia="de-DE" w:bidi="de-DE"/>
        </w:rPr>
        <w:t xml:space="preserve"> </w:t>
      </w:r>
      <w:r w:rsidR="000502B1" w:rsidRPr="002D396F">
        <w:rPr>
          <w:rFonts w:eastAsia="Arial"/>
          <w:lang w:val="de-DE" w:eastAsia="de-DE" w:bidi="de-DE"/>
        </w:rPr>
        <w:t>unzugänglichen</w:t>
      </w:r>
      <w:r w:rsidR="000502B1" w:rsidRPr="002D396F">
        <w:rPr>
          <w:rFonts w:eastAsia="Arial"/>
          <w:spacing w:val="-11"/>
          <w:lang w:val="de-DE" w:eastAsia="de-DE" w:bidi="de-DE"/>
        </w:rPr>
        <w:t xml:space="preserve"> </w:t>
      </w:r>
      <w:r w:rsidR="000502B1" w:rsidRPr="002D396F">
        <w:rPr>
          <w:rFonts w:eastAsia="Arial"/>
          <w:lang w:val="de-DE" w:eastAsia="de-DE" w:bidi="de-DE"/>
        </w:rPr>
        <w:t>Oberfläche,</w:t>
      </w:r>
      <w:r w:rsidR="000502B1" w:rsidRPr="002D396F">
        <w:rPr>
          <w:rFonts w:eastAsia="Arial"/>
          <w:spacing w:val="-12"/>
          <w:lang w:val="de-DE" w:eastAsia="de-DE" w:bidi="de-DE"/>
        </w:rPr>
        <w:t xml:space="preserve"> </w:t>
      </w:r>
      <w:r w:rsidR="000502B1" w:rsidRPr="002D396F">
        <w:rPr>
          <w:rFonts w:eastAsia="Arial"/>
          <w:lang w:val="de-DE" w:eastAsia="de-DE" w:bidi="de-DE"/>
        </w:rPr>
        <w:t>gemittelt</w:t>
      </w:r>
      <w:r w:rsidR="000502B1" w:rsidRPr="002D396F">
        <w:rPr>
          <w:rFonts w:eastAsia="Arial"/>
          <w:spacing w:val="-7"/>
          <w:lang w:val="de-DE" w:eastAsia="de-DE" w:bidi="de-DE"/>
        </w:rPr>
        <w:t xml:space="preserve"> </w:t>
      </w:r>
      <w:r w:rsidR="000502B1" w:rsidRPr="002D396F">
        <w:rPr>
          <w:rFonts w:eastAsia="Arial"/>
          <w:lang w:val="de-DE" w:eastAsia="de-DE" w:bidi="de-DE"/>
        </w:rPr>
        <w:t>über</w:t>
      </w:r>
      <w:r w:rsidR="000502B1" w:rsidRPr="002D396F">
        <w:rPr>
          <w:rFonts w:eastAsia="Arial"/>
          <w:spacing w:val="-10"/>
          <w:lang w:val="de-DE" w:eastAsia="de-DE" w:bidi="de-DE"/>
        </w:rPr>
        <w:t xml:space="preserve"> </w:t>
      </w:r>
      <w:r w:rsidR="000502B1" w:rsidRPr="002D396F">
        <w:rPr>
          <w:rFonts w:eastAsia="Arial"/>
          <w:lang w:val="de-DE" w:eastAsia="de-DE" w:bidi="de-DE"/>
        </w:rPr>
        <w:t>300</w:t>
      </w:r>
      <w:r w:rsidR="002B088E" w:rsidRPr="002D396F">
        <w:rPr>
          <w:rFonts w:eastAsia="Arial"/>
          <w:lang w:val="de-DE" w:eastAsia="de-DE" w:bidi="de-DE"/>
        </w:rPr>
        <w:t> </w:t>
      </w:r>
      <w:r w:rsidR="000502B1" w:rsidRPr="002D396F">
        <w:rPr>
          <w:rFonts w:eastAsia="Arial"/>
          <w:lang w:val="de-DE" w:eastAsia="de-DE" w:bidi="de-DE"/>
        </w:rPr>
        <w:t>cm</w:t>
      </w:r>
      <w:r w:rsidR="000502B1" w:rsidRPr="002D396F">
        <w:rPr>
          <w:rFonts w:eastAsia="Arial"/>
          <w:position w:val="8"/>
          <w:sz w:val="14"/>
          <w:szCs w:val="14"/>
          <w:lang w:val="de-DE" w:eastAsia="de-DE" w:bidi="de-DE"/>
        </w:rPr>
        <w:t>2</w:t>
      </w:r>
      <w:r w:rsidR="000502B1" w:rsidRPr="002D396F">
        <w:rPr>
          <w:rFonts w:eastAsia="Arial"/>
          <w:lang w:val="de-DE" w:eastAsia="de-DE" w:bidi="de-DE"/>
        </w:rPr>
        <w:t>,</w:t>
      </w:r>
      <w:r w:rsidR="000502B1" w:rsidRPr="002D396F">
        <w:rPr>
          <w:rFonts w:eastAsia="Arial"/>
          <w:spacing w:val="-10"/>
          <w:lang w:val="de-DE" w:eastAsia="de-DE" w:bidi="de-DE"/>
        </w:rPr>
        <w:t xml:space="preserve"> </w:t>
      </w:r>
      <w:r w:rsidR="000502B1" w:rsidRPr="002D396F">
        <w:rPr>
          <w:rFonts w:eastAsia="Arial"/>
          <w:lang w:val="de-DE" w:eastAsia="de-DE" w:bidi="de-DE"/>
        </w:rPr>
        <w:t>8</w:t>
      </w:r>
      <w:r w:rsidR="000502B1" w:rsidRPr="002D396F">
        <w:rPr>
          <w:rFonts w:eastAsia="Arial"/>
          <w:spacing w:val="-14"/>
          <w:lang w:val="de-DE" w:eastAsia="de-DE" w:bidi="de-DE"/>
        </w:rPr>
        <w:t xml:space="preserve"> </w:t>
      </w:r>
      <w:r w:rsidR="000502B1" w:rsidRPr="002D396F">
        <w:rPr>
          <w:rFonts w:eastAsia="Arial"/>
          <w:lang w:val="de-DE" w:eastAsia="de-DE" w:bidi="de-DE"/>
        </w:rPr>
        <w:t>×</w:t>
      </w:r>
      <w:r w:rsidR="000502B1" w:rsidRPr="002D396F">
        <w:rPr>
          <w:rFonts w:eastAsia="Arial"/>
          <w:spacing w:val="-10"/>
          <w:lang w:val="de-DE" w:eastAsia="de-DE" w:bidi="de-DE"/>
        </w:rPr>
        <w:t xml:space="preserve"> </w:t>
      </w:r>
      <w:r w:rsidR="000502B1" w:rsidRPr="002D396F">
        <w:rPr>
          <w:rFonts w:eastAsia="Arial"/>
          <w:lang w:val="de-DE" w:eastAsia="de-DE" w:bidi="de-DE"/>
        </w:rPr>
        <w:t>10</w:t>
      </w:r>
      <w:r w:rsidR="000502B1" w:rsidRPr="002D396F">
        <w:rPr>
          <w:rFonts w:eastAsia="Arial"/>
          <w:position w:val="8"/>
          <w:sz w:val="14"/>
          <w:szCs w:val="14"/>
          <w:lang w:val="de-DE" w:eastAsia="de-DE" w:bidi="de-DE"/>
        </w:rPr>
        <w:t>5</w:t>
      </w:r>
      <w:r w:rsidR="000502B1" w:rsidRPr="002D396F">
        <w:rPr>
          <w:rFonts w:eastAsia="Arial"/>
          <w:lang w:val="de-DE" w:eastAsia="de-DE" w:bidi="de-DE"/>
        </w:rPr>
        <w:t xml:space="preserve"> </w:t>
      </w:r>
      <w:proofErr w:type="spellStart"/>
      <w:r w:rsidR="000502B1" w:rsidRPr="002D396F">
        <w:rPr>
          <w:rFonts w:eastAsia="Arial"/>
          <w:lang w:val="de-DE" w:eastAsia="de-DE" w:bidi="de-DE"/>
        </w:rPr>
        <w:t>Bq</w:t>
      </w:r>
      <w:proofErr w:type="spellEnd"/>
      <w:r w:rsidR="000502B1" w:rsidRPr="002D396F">
        <w:rPr>
          <w:rFonts w:eastAsia="Arial"/>
          <w:lang w:val="de-DE" w:eastAsia="de-DE" w:bidi="de-DE"/>
        </w:rPr>
        <w:t>/cm</w:t>
      </w:r>
      <w:r w:rsidR="000502B1" w:rsidRPr="002D396F">
        <w:rPr>
          <w:rFonts w:eastAsia="Arial"/>
          <w:position w:val="8"/>
          <w:sz w:val="14"/>
          <w:szCs w:val="14"/>
          <w:lang w:val="de-DE" w:eastAsia="de-DE" w:bidi="de-DE"/>
        </w:rPr>
        <w:t>2</w:t>
      </w:r>
      <w:r w:rsidR="000502B1" w:rsidRPr="002D396F">
        <w:rPr>
          <w:rFonts w:eastAsia="Arial"/>
          <w:position w:val="8"/>
          <w:lang w:val="de-DE" w:eastAsia="de-DE" w:bidi="de-DE"/>
        </w:rPr>
        <w:t xml:space="preserve"> </w:t>
      </w:r>
      <w:r w:rsidR="000502B1" w:rsidRPr="002D396F">
        <w:rPr>
          <w:rFonts w:eastAsia="Arial"/>
          <w:lang w:val="de-DE" w:eastAsia="de-DE" w:bidi="de-DE"/>
        </w:rPr>
        <w:t>für Beta- und Gammastrahler sowie Alphastrahler geringer Toxizität oder 8 × 10</w:t>
      </w:r>
      <w:r w:rsidR="000502B1" w:rsidRPr="002D396F">
        <w:rPr>
          <w:rFonts w:eastAsia="Arial"/>
          <w:position w:val="8"/>
          <w:sz w:val="14"/>
          <w:szCs w:val="14"/>
          <w:lang w:val="de-DE" w:eastAsia="de-DE" w:bidi="de-DE"/>
        </w:rPr>
        <w:t>4</w:t>
      </w:r>
      <w:r w:rsidR="000502B1" w:rsidRPr="002D396F">
        <w:rPr>
          <w:rFonts w:eastAsia="Arial"/>
          <w:position w:val="8"/>
          <w:lang w:val="de-DE" w:eastAsia="de-DE" w:bidi="de-DE"/>
        </w:rPr>
        <w:t xml:space="preserve"> </w:t>
      </w:r>
      <w:proofErr w:type="spellStart"/>
      <w:r w:rsidR="000502B1" w:rsidRPr="002D396F">
        <w:rPr>
          <w:rFonts w:eastAsia="Arial"/>
          <w:lang w:val="de-DE" w:eastAsia="de-DE" w:bidi="de-DE"/>
        </w:rPr>
        <w:t>Bq</w:t>
      </w:r>
      <w:proofErr w:type="spellEnd"/>
      <w:r w:rsidR="000502B1" w:rsidRPr="002D396F">
        <w:rPr>
          <w:rFonts w:eastAsia="Arial"/>
          <w:lang w:val="de-DE" w:eastAsia="de-DE" w:bidi="de-DE"/>
        </w:rPr>
        <w:t>/cm</w:t>
      </w:r>
      <w:r w:rsidR="000502B1" w:rsidRPr="002D396F">
        <w:rPr>
          <w:rFonts w:eastAsia="Arial"/>
          <w:position w:val="8"/>
          <w:sz w:val="14"/>
          <w:szCs w:val="14"/>
          <w:lang w:val="de-DE" w:eastAsia="de-DE" w:bidi="de-DE"/>
        </w:rPr>
        <w:t>2</w:t>
      </w:r>
      <w:r w:rsidR="000502B1" w:rsidRPr="002D396F">
        <w:rPr>
          <w:rFonts w:eastAsia="Arial"/>
          <w:position w:val="8"/>
          <w:lang w:val="de-DE" w:eastAsia="de-DE" w:bidi="de-DE"/>
        </w:rPr>
        <w:t xml:space="preserve"> </w:t>
      </w:r>
      <w:r w:rsidR="000502B1" w:rsidRPr="002D396F">
        <w:rPr>
          <w:rFonts w:eastAsia="Arial"/>
          <w:lang w:val="de-DE" w:eastAsia="de-DE" w:bidi="de-DE"/>
        </w:rPr>
        <w:t xml:space="preserve">für alle anderen Alphastrahler </w:t>
      </w:r>
      <w:r w:rsidRPr="002D396F">
        <w:rPr>
          <w:rFonts w:eastAsia="Arial"/>
          <w:lang w:val="de-DE" w:eastAsia="de-DE" w:bidi="de-DE"/>
        </w:rPr>
        <w:t>n</w:t>
      </w:r>
      <w:r w:rsidR="000502B1" w:rsidRPr="002D396F">
        <w:rPr>
          <w:rFonts w:eastAsia="Arial"/>
          <w:lang w:val="de-DE" w:eastAsia="de-DE" w:bidi="de-DE"/>
        </w:rPr>
        <w:t>icht</w:t>
      </w:r>
      <w:r w:rsidR="000502B1" w:rsidRPr="002D396F">
        <w:rPr>
          <w:rFonts w:eastAsia="Arial"/>
          <w:spacing w:val="-14"/>
          <w:lang w:val="de-DE" w:eastAsia="de-DE" w:bidi="de-DE"/>
        </w:rPr>
        <w:t xml:space="preserve"> </w:t>
      </w:r>
      <w:r w:rsidR="000502B1" w:rsidRPr="002D396F">
        <w:rPr>
          <w:rFonts w:eastAsia="Arial"/>
          <w:lang w:val="de-DE" w:eastAsia="de-DE" w:bidi="de-DE"/>
        </w:rPr>
        <w:t>überschreitet.</w:t>
      </w:r>
      <w:r w:rsidR="00B17D9F" w:rsidRPr="002D396F">
        <w:rPr>
          <w:rFonts w:eastAsia="Arial"/>
          <w:lang w:val="de-DE" w:eastAsia="de-DE" w:bidi="de-DE"/>
        </w:rPr>
        <w:t>“</w:t>
      </w:r>
      <w:r w:rsidR="00EC7143">
        <w:rPr>
          <w:rFonts w:eastAsia="Arial"/>
          <w:lang w:val="de-DE" w:eastAsia="de-DE" w:bidi="de-DE"/>
        </w:rPr>
        <w:t>.</w:t>
      </w:r>
    </w:p>
    <w:p w14:paraId="1E181546" w14:textId="77777777" w:rsidR="000502B1" w:rsidRPr="002D396F" w:rsidRDefault="000502B1" w:rsidP="000502B1">
      <w:pPr>
        <w:widowControl w:val="0"/>
        <w:suppressAutoHyphens w:val="0"/>
        <w:autoSpaceDE w:val="0"/>
        <w:autoSpaceDN w:val="0"/>
        <w:spacing w:before="11" w:line="240" w:lineRule="auto"/>
        <w:rPr>
          <w:rFonts w:ascii="Arial" w:eastAsia="Arial" w:hAnsi="Arial" w:cs="Arial"/>
          <w:sz w:val="21"/>
          <w:szCs w:val="22"/>
          <w:lang w:val="de-DE" w:eastAsia="de-DE" w:bidi="de-DE"/>
        </w:rPr>
      </w:pPr>
    </w:p>
    <w:p w14:paraId="52276349" w14:textId="6D6B3055" w:rsidR="002B088E" w:rsidRPr="002D396F" w:rsidRDefault="003A1330" w:rsidP="002B088E">
      <w:pPr>
        <w:pStyle w:val="SingleTxtG"/>
        <w:ind w:left="2259" w:hanging="1125"/>
        <w:rPr>
          <w:lang w:val="de-DE"/>
        </w:rPr>
      </w:pPr>
      <w:r w:rsidRPr="002D396F">
        <w:rPr>
          <w:lang w:val="de-DE" w:eastAsia="en-GB"/>
        </w:rPr>
        <w:t>2.2.7.2.3.3.5</w:t>
      </w:r>
      <w:r w:rsidR="002B088E" w:rsidRPr="002D396F">
        <w:rPr>
          <w:lang w:val="de-DE" w:eastAsia="en-GB"/>
        </w:rPr>
        <w:tab/>
      </w:r>
      <w:r w:rsidR="002B088E" w:rsidRPr="002D396F">
        <w:rPr>
          <w:lang w:val="de-DE"/>
        </w:rPr>
        <w:t>[Die Änderungen zu den Absätzen b) und c) in der englischen Fassung haben keine Auswirkungen auf den deutschen Text.]</w:t>
      </w:r>
    </w:p>
    <w:p w14:paraId="505B7420" w14:textId="24E17CB5" w:rsidR="008B2D0C" w:rsidRPr="002D396F" w:rsidRDefault="003A1330" w:rsidP="008B2D0C">
      <w:pPr>
        <w:pStyle w:val="SingleTxtG"/>
        <w:ind w:left="2259" w:hanging="1125"/>
        <w:rPr>
          <w:lang w:val="de-DE"/>
        </w:rPr>
      </w:pPr>
      <w:r w:rsidRPr="002D396F">
        <w:rPr>
          <w:lang w:val="de-DE" w:eastAsia="en-GB"/>
        </w:rPr>
        <w:t>2.2.7.2.3.3.7</w:t>
      </w:r>
      <w:r w:rsidRPr="002D396F">
        <w:rPr>
          <w:lang w:val="de-DE"/>
        </w:rPr>
        <w:tab/>
      </w:r>
      <w:r w:rsidR="008B2D0C" w:rsidRPr="002D396F">
        <w:rPr>
          <w:lang w:val="de-DE"/>
        </w:rPr>
        <w:t>In Absatz b) „mit dem Prüfmuster ist“ ändern in: „und das Prüfmuster sind“.</w:t>
      </w:r>
    </w:p>
    <w:p w14:paraId="3F95CE7B" w14:textId="0F60EF03" w:rsidR="008B2D0C" w:rsidRPr="002D396F" w:rsidRDefault="008B2D0C" w:rsidP="008B2D0C">
      <w:pPr>
        <w:pStyle w:val="SingleTxtG"/>
        <w:ind w:left="2259" w:firstLine="9"/>
        <w:rPr>
          <w:lang w:val="de-DE"/>
        </w:rPr>
      </w:pPr>
      <w:r w:rsidRPr="002D396F">
        <w:rPr>
          <w:lang w:val="de-DE"/>
        </w:rPr>
        <w:t>In Absatz e) „mit dem Prüfmuster“ ändern in: „und das Prüfmuster werden“.</w:t>
      </w:r>
    </w:p>
    <w:p w14:paraId="58CE4B8C" w14:textId="093CCE12" w:rsidR="008B2D0C" w:rsidRPr="002D396F" w:rsidRDefault="003A1330" w:rsidP="003A1330">
      <w:pPr>
        <w:pStyle w:val="SingleTxtG"/>
        <w:ind w:left="2259" w:hanging="1125"/>
        <w:rPr>
          <w:lang w:val="de-DE" w:eastAsia="en-GB"/>
        </w:rPr>
      </w:pPr>
      <w:r w:rsidRPr="002D396F">
        <w:rPr>
          <w:lang w:val="de-DE" w:eastAsia="en-GB"/>
        </w:rPr>
        <w:t>2.2.7.2.3.3.8</w:t>
      </w:r>
      <w:r w:rsidR="008B2D0C" w:rsidRPr="002D396F">
        <w:rPr>
          <w:lang w:val="de-DE" w:eastAsia="en-GB"/>
        </w:rPr>
        <w:tab/>
        <w:t>In Absatz a) (ii) nach „werden“ einfügen: „dann“.</w:t>
      </w:r>
    </w:p>
    <w:p w14:paraId="734B914D" w14:textId="135DE729" w:rsidR="002417A8" w:rsidRPr="002D396F" w:rsidRDefault="003A1330" w:rsidP="003A1330">
      <w:pPr>
        <w:pStyle w:val="SingleTxtG"/>
        <w:ind w:left="2259" w:hanging="1125"/>
        <w:rPr>
          <w:lang w:val="de-DE" w:eastAsia="en-GB"/>
        </w:rPr>
      </w:pPr>
      <w:r w:rsidRPr="002D396F">
        <w:rPr>
          <w:lang w:val="de-DE" w:eastAsia="en-GB"/>
        </w:rPr>
        <w:t>2.2.7.2.3.4.1</w:t>
      </w:r>
      <w:r w:rsidR="002417A8" w:rsidRPr="002D396F">
        <w:rPr>
          <w:lang w:val="de-DE" w:eastAsia="en-GB"/>
        </w:rPr>
        <w:tab/>
        <w:t>[Die Änderung zu Absatz a) in der englischen Fassung hat keine Auswirkungen auf den deutschen Text.]</w:t>
      </w:r>
    </w:p>
    <w:p w14:paraId="6089B040" w14:textId="5E07EDD3" w:rsidR="004E6588" w:rsidRPr="002D396F" w:rsidRDefault="003A1330" w:rsidP="004E6588">
      <w:pPr>
        <w:pStyle w:val="SingleTxtG"/>
        <w:ind w:left="2259" w:hanging="1125"/>
        <w:rPr>
          <w:lang w:val="de-DE"/>
        </w:rPr>
      </w:pPr>
      <w:r w:rsidRPr="002D396F">
        <w:rPr>
          <w:lang w:val="de-DE"/>
        </w:rPr>
        <w:t>2.2.7.2.3.5</w:t>
      </w:r>
      <w:r w:rsidR="004E6588" w:rsidRPr="002D396F">
        <w:rPr>
          <w:lang w:val="de-DE"/>
        </w:rPr>
        <w:tab/>
        <w:t>In Absatz e) „unter den in Abschnitt 7.5.11 Sondervorschrift CW/CV 33 (4.3) e) vorgesehenen Grenzwerten“ ändern in: „gemäß den Vorschriften des Abschnitts 7.5.11 Sondervorschrift CW/CV 33 (4.3) e)“.</w:t>
      </w:r>
    </w:p>
    <w:p w14:paraId="3A19ABB7" w14:textId="4E1F295D" w:rsidR="004E6588" w:rsidRPr="002D396F" w:rsidRDefault="003A1330" w:rsidP="004E6588">
      <w:pPr>
        <w:pStyle w:val="SingleTxtG"/>
        <w:ind w:left="2259" w:hanging="1125"/>
        <w:rPr>
          <w:lang w:val="de-DE"/>
        </w:rPr>
      </w:pPr>
      <w:r w:rsidRPr="002D396F">
        <w:rPr>
          <w:lang w:val="de-DE" w:eastAsia="en-GB"/>
        </w:rPr>
        <w:t>2.2.7.2.3.6</w:t>
      </w:r>
      <w:r w:rsidRPr="002D396F">
        <w:rPr>
          <w:lang w:val="de-DE"/>
        </w:rPr>
        <w:tab/>
      </w:r>
      <w:r w:rsidR="004E6588" w:rsidRPr="002D396F">
        <w:rPr>
          <w:lang w:val="de-DE"/>
        </w:rPr>
        <w:t xml:space="preserve">erhält am Anfang folgenden Wortlaut: „Spaltbare Stoffe, die gemäß Absatz 2.2.7.2.3.5 f) von der Klassifizierung als </w:t>
      </w:r>
      <w:r w:rsidR="003603EE" w:rsidRPr="002D396F">
        <w:rPr>
          <w:lang w:val="de-DE"/>
        </w:rPr>
        <w:t>„</w:t>
      </w:r>
      <w:r w:rsidR="004E6588" w:rsidRPr="002D396F">
        <w:rPr>
          <w:lang w:val="de-DE"/>
        </w:rPr>
        <w:t>SPALTBAR</w:t>
      </w:r>
      <w:r w:rsidR="003603EE" w:rsidRPr="002D396F">
        <w:rPr>
          <w:lang w:val="de-DE"/>
        </w:rPr>
        <w:t>“</w:t>
      </w:r>
      <w:r w:rsidR="004E6588" w:rsidRPr="002D396F">
        <w:rPr>
          <w:lang w:val="de-DE"/>
        </w:rPr>
        <w:t xml:space="preserve"> ausgenommen sind, müssen …“.</w:t>
      </w:r>
    </w:p>
    <w:p w14:paraId="0A6EC2C4" w14:textId="1479C10D" w:rsidR="003A1330" w:rsidRPr="002D396F" w:rsidRDefault="003A1330" w:rsidP="003A1330">
      <w:pPr>
        <w:pStyle w:val="SingleTxtG"/>
        <w:spacing w:before="120"/>
        <w:ind w:left="2257" w:hanging="1123"/>
        <w:rPr>
          <w:lang w:val="de-DE"/>
        </w:rPr>
      </w:pPr>
      <w:r w:rsidRPr="002D396F">
        <w:rPr>
          <w:lang w:val="de-DE"/>
        </w:rPr>
        <w:t>2.2.7.2.4.1.2</w:t>
      </w:r>
      <w:r w:rsidRPr="002D396F">
        <w:rPr>
          <w:lang w:val="de-DE"/>
        </w:rPr>
        <w:tab/>
      </w:r>
      <w:r w:rsidR="0099716E" w:rsidRPr="002D396F">
        <w:rPr>
          <w:lang w:val="de-DE"/>
        </w:rPr>
        <w:t>[Die Änderung zum Einleitungssatz in der englischen Fassung hat keine Auswirkungen auf den deutschen Text.]</w:t>
      </w:r>
    </w:p>
    <w:p w14:paraId="6D8DB265" w14:textId="1DEFC932" w:rsidR="003A1330" w:rsidRPr="002D396F" w:rsidRDefault="003A1330" w:rsidP="003A1330">
      <w:pPr>
        <w:pStyle w:val="SingleTxtG"/>
        <w:spacing w:before="120"/>
        <w:ind w:left="2257" w:hanging="1123"/>
        <w:rPr>
          <w:lang w:val="de-DE"/>
        </w:rPr>
      </w:pPr>
      <w:r w:rsidRPr="002D396F">
        <w:rPr>
          <w:lang w:val="de-DE"/>
        </w:rPr>
        <w:lastRenderedPageBreak/>
        <w:t>2.2.7.2.4.1.3</w:t>
      </w:r>
      <w:r w:rsidR="000B5119" w:rsidRPr="002D396F">
        <w:rPr>
          <w:lang w:val="de-DE"/>
        </w:rPr>
        <w:tab/>
        <w:t>[Die Änderung zu Absatz a) in der englischen Fassung hat keine Auswirkungen auf den deutschen Text.]</w:t>
      </w:r>
    </w:p>
    <w:p w14:paraId="6F07081F" w14:textId="1F7372F5" w:rsidR="001B3F77" w:rsidRPr="002D396F" w:rsidRDefault="003A1330" w:rsidP="00CC4A0E">
      <w:pPr>
        <w:pStyle w:val="SingleTxtG"/>
        <w:ind w:left="2259" w:right="521" w:hanging="1125"/>
        <w:rPr>
          <w:lang w:val="de-DE" w:eastAsia="en-GB"/>
        </w:rPr>
      </w:pPr>
      <w:r w:rsidRPr="002D396F">
        <w:rPr>
          <w:lang w:val="de-DE" w:eastAsia="en-GB"/>
        </w:rPr>
        <w:t>2.2.7.2.4.1.3</w:t>
      </w:r>
      <w:r w:rsidRPr="002D396F">
        <w:rPr>
          <w:lang w:val="de-DE" w:eastAsia="en-GB"/>
        </w:rPr>
        <w:tab/>
      </w:r>
      <w:r w:rsidR="001B3F77" w:rsidRPr="002D396F">
        <w:rPr>
          <w:lang w:val="de-DE" w:eastAsia="en-GB"/>
        </w:rPr>
        <w:t>Am Ende von Absatz c) „</w:t>
      </w:r>
      <w:r w:rsidR="003603EE" w:rsidRPr="002D396F">
        <w:rPr>
          <w:lang w:val="de-DE" w:eastAsia="en-GB"/>
        </w:rPr>
        <w:t xml:space="preserve">, </w:t>
      </w:r>
      <w:r w:rsidR="001B3F77" w:rsidRPr="002D396F">
        <w:rPr>
          <w:lang w:val="de-DE" w:eastAsia="en-GB"/>
        </w:rPr>
        <w:t>und“ ändern in: „;“</w:t>
      </w:r>
      <w:r w:rsidR="003603EE" w:rsidRPr="002D396F">
        <w:rPr>
          <w:lang w:val="de-DE" w:eastAsia="en-GB"/>
        </w:rPr>
        <w:t>.</w:t>
      </w:r>
    </w:p>
    <w:p w14:paraId="61AA000C" w14:textId="77777777" w:rsidR="001B3F77" w:rsidRPr="002D396F" w:rsidRDefault="001B3F77" w:rsidP="00CC4A0E">
      <w:pPr>
        <w:pStyle w:val="SingleTxtG"/>
        <w:ind w:left="2259" w:right="521" w:firstLine="9"/>
        <w:rPr>
          <w:lang w:val="de-DE" w:eastAsia="en-GB"/>
        </w:rPr>
      </w:pPr>
      <w:r w:rsidRPr="002D396F">
        <w:rPr>
          <w:lang w:val="de-DE" w:eastAsia="en-GB"/>
        </w:rPr>
        <w:t>Am Ende von Absatz d) den Punkt in einen Strichpunkt ändern. Folgende neue Absätze e) und f) hinzufügen:</w:t>
      </w:r>
    </w:p>
    <w:p w14:paraId="51D0C55E" w14:textId="6914DE57" w:rsidR="001B3F77" w:rsidRPr="002D396F" w:rsidRDefault="001B3F77" w:rsidP="00CC4A0E">
      <w:pPr>
        <w:pStyle w:val="SingleTxtG"/>
        <w:ind w:left="2259" w:right="521" w:firstLine="9"/>
        <w:rPr>
          <w:lang w:val="de-DE" w:eastAsia="en-GB"/>
        </w:rPr>
      </w:pPr>
      <w:r w:rsidRPr="002D396F">
        <w:rPr>
          <w:lang w:val="de-DE" w:eastAsia="en-GB"/>
        </w:rPr>
        <w:t>„e)</w:t>
      </w:r>
      <w:r w:rsidR="00072886" w:rsidRPr="002D396F">
        <w:rPr>
          <w:lang w:val="de-DE" w:eastAsia="en-GB"/>
        </w:rPr>
        <w:tab/>
      </w:r>
      <w:r w:rsidRPr="002D396F">
        <w:rPr>
          <w:lang w:val="de-DE" w:eastAsia="en-GB"/>
        </w:rPr>
        <w:t>(bleibt offen)</w:t>
      </w:r>
    </w:p>
    <w:p w14:paraId="68A5C1E2" w14:textId="6BD89910" w:rsidR="001B3F77" w:rsidRPr="002D396F" w:rsidRDefault="001B3F77" w:rsidP="00CC4A0E">
      <w:pPr>
        <w:pStyle w:val="SingleTxtG"/>
        <w:ind w:left="2259" w:right="521" w:firstLine="9"/>
        <w:rPr>
          <w:lang w:val="de-DE" w:eastAsia="en-GB"/>
        </w:rPr>
      </w:pPr>
      <w:r w:rsidRPr="002D396F">
        <w:rPr>
          <w:lang w:val="de-DE" w:eastAsia="en-GB"/>
        </w:rPr>
        <w:t>f)</w:t>
      </w:r>
      <w:r w:rsidRPr="002D396F">
        <w:rPr>
          <w:lang w:val="de-DE" w:eastAsia="en-GB"/>
        </w:rPr>
        <w:tab/>
        <w:t>es gilt eine der Vorschriften des Absatzes 2.2.7.2.3.5 a) bis f), wenn das Versandstück spaltbare Stoffe enthält.“</w:t>
      </w:r>
      <w:r w:rsidR="0076660E">
        <w:rPr>
          <w:lang w:val="de-DE" w:eastAsia="en-GB"/>
        </w:rPr>
        <w:t>.</w:t>
      </w:r>
    </w:p>
    <w:p w14:paraId="42CCD0B4" w14:textId="547E968B" w:rsidR="00A768D2" w:rsidRPr="002D396F" w:rsidRDefault="003A1330" w:rsidP="00CC4A0E">
      <w:pPr>
        <w:pStyle w:val="SingleTxtG"/>
        <w:ind w:left="2259" w:right="521" w:hanging="1125"/>
        <w:rPr>
          <w:lang w:val="de-DE"/>
        </w:rPr>
      </w:pPr>
      <w:r w:rsidRPr="002D396F">
        <w:rPr>
          <w:lang w:val="de-DE"/>
        </w:rPr>
        <w:t>2.2.7.2.4.1.4</w:t>
      </w:r>
      <w:r w:rsidRPr="002D396F">
        <w:rPr>
          <w:lang w:val="de-DE"/>
        </w:rPr>
        <w:tab/>
      </w:r>
      <w:r w:rsidR="00A768D2" w:rsidRPr="002D396F">
        <w:rPr>
          <w:lang w:val="de-DE"/>
        </w:rPr>
        <w:t>Am Ende von Absatz a) „, und“ ändern in: „;“.</w:t>
      </w:r>
    </w:p>
    <w:p w14:paraId="375F6C76" w14:textId="0DF834D0" w:rsidR="00A768D2" w:rsidRPr="002D396F" w:rsidRDefault="00A768D2" w:rsidP="00CC4A0E">
      <w:pPr>
        <w:pStyle w:val="SingleTxtG"/>
        <w:ind w:left="2259" w:right="521" w:firstLine="9"/>
        <w:rPr>
          <w:lang w:val="de-DE"/>
        </w:rPr>
      </w:pPr>
      <w:r w:rsidRPr="002D396F">
        <w:rPr>
          <w:lang w:val="de-DE"/>
        </w:rPr>
        <w:t>Am Ende von Absatz b) (ii) „.“ ändern in: „, und“.</w:t>
      </w:r>
    </w:p>
    <w:p w14:paraId="7DEC075D" w14:textId="77777777" w:rsidR="00A768D2" w:rsidRPr="002D396F" w:rsidRDefault="00A768D2" w:rsidP="00CC4A0E">
      <w:pPr>
        <w:pStyle w:val="SingleTxtG"/>
        <w:ind w:left="2259" w:right="521" w:firstLine="9"/>
        <w:rPr>
          <w:lang w:val="de-DE"/>
        </w:rPr>
      </w:pPr>
      <w:bookmarkStart w:id="16" w:name="_Hlk17201907"/>
      <w:r w:rsidRPr="002D396F">
        <w:rPr>
          <w:lang w:val="de-DE"/>
        </w:rPr>
        <w:t>Einen neuen Absatz c) mit folgendem Wortlaut hinzufügen:</w:t>
      </w:r>
    </w:p>
    <w:bookmarkEnd w:id="16"/>
    <w:p w14:paraId="49A4C83E" w14:textId="6F74E103" w:rsidR="00A768D2" w:rsidRPr="002D396F" w:rsidRDefault="00A768D2" w:rsidP="00CC4A0E">
      <w:pPr>
        <w:pStyle w:val="SingleTxtG"/>
        <w:ind w:left="2259" w:right="521" w:firstLine="9"/>
        <w:rPr>
          <w:lang w:val="de-DE"/>
        </w:rPr>
      </w:pPr>
      <w:r w:rsidRPr="002D396F">
        <w:rPr>
          <w:lang w:val="de-DE"/>
        </w:rPr>
        <w:t>„c) es gilt eine der Vorschriften des Absatzes 2.2.7.2.3.5 a) bis f), wenn das Versandstück spaltbare Stoffe enthält.“</w:t>
      </w:r>
      <w:r w:rsidR="0076660E">
        <w:rPr>
          <w:lang w:val="de-DE"/>
        </w:rPr>
        <w:t>.</w:t>
      </w:r>
    </w:p>
    <w:p w14:paraId="2EBD4FF1" w14:textId="0B7AD559" w:rsidR="00E122D2" w:rsidRPr="002D396F" w:rsidRDefault="003A1330" w:rsidP="00CC4A0E">
      <w:pPr>
        <w:pStyle w:val="SingleTxtG"/>
        <w:tabs>
          <w:tab w:val="left" w:pos="2268"/>
        </w:tabs>
        <w:ind w:left="2259" w:right="521" w:hanging="1125"/>
        <w:rPr>
          <w:lang w:val="de-DE" w:eastAsia="en-GB"/>
        </w:rPr>
      </w:pPr>
      <w:r w:rsidRPr="002D396F">
        <w:rPr>
          <w:lang w:val="de-DE" w:eastAsia="en-GB"/>
        </w:rPr>
        <w:t>2.2.7.2.4.1.7</w:t>
      </w:r>
      <w:r w:rsidR="00E122D2" w:rsidRPr="002D396F">
        <w:rPr>
          <w:lang w:val="de-DE" w:eastAsia="en-GB"/>
        </w:rPr>
        <w:tab/>
        <w:t>Am Ende von Absatz c) (ii) „, und“ ändern in: „;“.</w:t>
      </w:r>
    </w:p>
    <w:p w14:paraId="097B2BCA" w14:textId="7CC6C983" w:rsidR="00E122D2" w:rsidRPr="002D396F" w:rsidRDefault="00E122D2" w:rsidP="00CC4A0E">
      <w:pPr>
        <w:pStyle w:val="SingleTxtG"/>
        <w:ind w:left="2259" w:right="521" w:firstLine="9"/>
        <w:rPr>
          <w:lang w:val="de-DE" w:eastAsia="en-GB"/>
        </w:rPr>
      </w:pPr>
      <w:r w:rsidRPr="002D396F">
        <w:rPr>
          <w:lang w:val="de-DE" w:eastAsia="en-GB"/>
        </w:rPr>
        <w:t>Am Ende von Absatz d) „.“ ändern in: „und“.</w:t>
      </w:r>
    </w:p>
    <w:p w14:paraId="611E77E4" w14:textId="29082E4A" w:rsidR="0076660E" w:rsidRPr="002D396F" w:rsidRDefault="0076660E" w:rsidP="00CC4A0E">
      <w:pPr>
        <w:pStyle w:val="SingleTxtG"/>
        <w:ind w:left="2259" w:right="521" w:firstLine="9"/>
        <w:rPr>
          <w:lang w:val="de-DE"/>
        </w:rPr>
      </w:pPr>
      <w:r w:rsidRPr="002D396F">
        <w:rPr>
          <w:lang w:val="de-DE"/>
        </w:rPr>
        <w:t xml:space="preserve">Einen neuen Absatz </w:t>
      </w:r>
      <w:r>
        <w:rPr>
          <w:lang w:val="de-DE"/>
        </w:rPr>
        <w:t>e</w:t>
      </w:r>
      <w:r w:rsidRPr="002D396F">
        <w:rPr>
          <w:lang w:val="de-DE"/>
        </w:rPr>
        <w:t>) mit folgendem Wortlaut hinzufügen:</w:t>
      </w:r>
    </w:p>
    <w:p w14:paraId="4FF3C5C2" w14:textId="2A10DB70" w:rsidR="00E122D2" w:rsidRPr="002D396F" w:rsidRDefault="00E122D2" w:rsidP="00CC4A0E">
      <w:pPr>
        <w:pStyle w:val="SingleTxtG"/>
        <w:ind w:left="2259" w:right="521" w:firstLine="9"/>
        <w:rPr>
          <w:lang w:val="de-DE" w:eastAsia="en-GB"/>
        </w:rPr>
      </w:pPr>
      <w:r w:rsidRPr="002D396F">
        <w:rPr>
          <w:lang w:val="de-DE" w:eastAsia="en-GB"/>
        </w:rPr>
        <w:t>„e) es gilt eine der Vorschriften des Absatzes 2.2.7.2.3.5 a) bis f) oder eine der Vorschriften des Absatzes 2.2.7.1.3 für den Ausschluss, wenn das Versandstück spaltbare Stoffe enthalten hat.“</w:t>
      </w:r>
      <w:r w:rsidR="00CC4A0E">
        <w:rPr>
          <w:lang w:val="de-DE" w:eastAsia="en-GB"/>
        </w:rPr>
        <w:t>.</w:t>
      </w:r>
    </w:p>
    <w:p w14:paraId="294F36E6" w14:textId="34BB0EDD" w:rsidR="00CA19FD" w:rsidRPr="002D396F" w:rsidRDefault="003A1330" w:rsidP="003A1330">
      <w:pPr>
        <w:pStyle w:val="SingleTxtG"/>
        <w:ind w:left="2259" w:hanging="1125"/>
        <w:rPr>
          <w:lang w:val="de-DE"/>
        </w:rPr>
      </w:pPr>
      <w:r w:rsidRPr="002D396F">
        <w:rPr>
          <w:lang w:val="de-DE" w:eastAsia="en-GB"/>
        </w:rPr>
        <w:t>2.2.8.1.1</w:t>
      </w:r>
      <w:r w:rsidRPr="002D396F">
        <w:rPr>
          <w:lang w:val="de-DE" w:eastAsia="en-GB"/>
        </w:rPr>
        <w:tab/>
      </w:r>
      <w:r w:rsidR="00CA19FD" w:rsidRPr="002D396F">
        <w:rPr>
          <w:lang w:val="de-DE"/>
        </w:rPr>
        <w:t>[Die Änderung in der französischen Fassung hat keine Auswirkungen auf den deutschen Text.]</w:t>
      </w:r>
    </w:p>
    <w:p w14:paraId="2C496134" w14:textId="376BEA45" w:rsidR="00CA19FD" w:rsidRPr="002D396F" w:rsidRDefault="003A1330" w:rsidP="00CC4A0E">
      <w:pPr>
        <w:tabs>
          <w:tab w:val="left" w:pos="2410"/>
        </w:tabs>
        <w:spacing w:after="120"/>
        <w:ind w:left="2268" w:right="521" w:hanging="1134"/>
        <w:rPr>
          <w:rFonts w:eastAsia="Arial"/>
          <w:lang w:val="de-DE" w:eastAsia="de-DE" w:bidi="de-DE"/>
        </w:rPr>
      </w:pPr>
      <w:r w:rsidRPr="002D396F">
        <w:rPr>
          <w:lang w:val="de-DE" w:eastAsia="en-GB"/>
        </w:rPr>
        <w:t>2.2.8.1.5.2</w:t>
      </w:r>
      <w:r w:rsidRPr="002D396F">
        <w:rPr>
          <w:lang w:val="de-DE"/>
        </w:rPr>
        <w:tab/>
      </w:r>
      <w:r w:rsidR="00CA19FD" w:rsidRPr="002D396F">
        <w:rPr>
          <w:rFonts w:eastAsia="Arial"/>
          <w:lang w:val="de-DE" w:eastAsia="de-DE" w:bidi="de-DE"/>
        </w:rPr>
        <w:t xml:space="preserve">Im zweiten Satz „OECD Test Guideline </w:t>
      </w:r>
      <w:r w:rsidR="00576329" w:rsidRPr="002D396F">
        <w:rPr>
          <w:rFonts w:eastAsia="Arial"/>
          <w:lang w:val="de-DE" w:eastAsia="de-DE" w:bidi="de-DE"/>
        </w:rPr>
        <w:t>404</w:t>
      </w:r>
      <w:r w:rsidR="00576329" w:rsidRPr="002D396F">
        <w:rPr>
          <w:rFonts w:eastAsia="Arial"/>
          <w:position w:val="8"/>
          <w:sz w:val="16"/>
          <w:szCs w:val="16"/>
          <w:lang w:val="de-DE" w:eastAsia="de-DE" w:bidi="de-DE"/>
        </w:rPr>
        <w:t>7</w:t>
      </w:r>
      <w:r w:rsidR="00CA19FD" w:rsidRPr="002D396F">
        <w:rPr>
          <w:rFonts w:eastAsia="Arial"/>
          <w:position w:val="8"/>
          <w:sz w:val="16"/>
          <w:szCs w:val="16"/>
          <w:lang w:val="de-DE" w:eastAsia="de-DE" w:bidi="de-DE"/>
        </w:rPr>
        <w:t>)</w:t>
      </w:r>
      <w:r w:rsidR="00CA19FD" w:rsidRPr="002D396F">
        <w:rPr>
          <w:rFonts w:eastAsia="Arial"/>
          <w:position w:val="8"/>
          <w:lang w:val="de-DE" w:eastAsia="de-DE" w:bidi="de-DE"/>
        </w:rPr>
        <w:t xml:space="preserve"> </w:t>
      </w:r>
      <w:r w:rsidR="00CA19FD" w:rsidRPr="002D396F">
        <w:rPr>
          <w:rFonts w:eastAsia="Arial"/>
          <w:lang w:val="de-DE" w:eastAsia="de-DE" w:bidi="de-DE"/>
        </w:rPr>
        <w:t xml:space="preserve">oder </w:t>
      </w:r>
      <w:r w:rsidR="00576329" w:rsidRPr="002D396F">
        <w:rPr>
          <w:rFonts w:eastAsia="Arial"/>
          <w:lang w:val="de-DE" w:eastAsia="de-DE" w:bidi="de-DE"/>
        </w:rPr>
        <w:t>435</w:t>
      </w:r>
      <w:r w:rsidR="00576329" w:rsidRPr="002D396F">
        <w:rPr>
          <w:rFonts w:eastAsia="Arial"/>
          <w:position w:val="8"/>
          <w:sz w:val="16"/>
          <w:szCs w:val="16"/>
          <w:lang w:val="de-DE" w:eastAsia="de-DE" w:bidi="de-DE"/>
        </w:rPr>
        <w:t>8</w:t>
      </w:r>
      <w:r w:rsidR="00CA19FD" w:rsidRPr="002D396F">
        <w:rPr>
          <w:rFonts w:eastAsia="Arial"/>
          <w:position w:val="8"/>
          <w:sz w:val="16"/>
          <w:szCs w:val="16"/>
          <w:lang w:val="de-DE" w:eastAsia="de-DE" w:bidi="de-DE"/>
        </w:rPr>
        <w:t>)</w:t>
      </w:r>
      <w:r w:rsidR="00CA19FD" w:rsidRPr="00CC4A0E">
        <w:rPr>
          <w:rFonts w:eastAsia="Arial"/>
          <w:position w:val="8"/>
          <w:lang w:val="de-DE" w:eastAsia="de-DE" w:bidi="de-DE"/>
        </w:rPr>
        <w:t>“</w:t>
      </w:r>
      <w:r w:rsidR="00CC4A0E">
        <w:rPr>
          <w:rFonts w:eastAsia="Arial"/>
          <w:position w:val="8"/>
          <w:lang w:val="de-DE" w:eastAsia="de-DE" w:bidi="de-DE"/>
        </w:rPr>
        <w:t xml:space="preserve"> </w:t>
      </w:r>
      <w:r w:rsidR="00CA19FD" w:rsidRPr="002D396F">
        <w:rPr>
          <w:rFonts w:eastAsia="Arial"/>
          <w:lang w:val="de-DE" w:eastAsia="de-DE" w:bidi="de-DE"/>
        </w:rPr>
        <w:t>ändern in: „OECD Test</w:t>
      </w:r>
      <w:r w:rsidR="00CA19FD" w:rsidRPr="002D396F">
        <w:rPr>
          <w:rFonts w:eastAsia="Arial"/>
          <w:spacing w:val="-5"/>
          <w:lang w:val="de-DE" w:eastAsia="de-DE" w:bidi="de-DE"/>
        </w:rPr>
        <w:t xml:space="preserve"> </w:t>
      </w:r>
      <w:r w:rsidR="00CA19FD" w:rsidRPr="002D396F">
        <w:rPr>
          <w:rFonts w:eastAsia="Arial"/>
          <w:lang w:val="de-DE" w:eastAsia="de-DE" w:bidi="de-DE"/>
        </w:rPr>
        <w:t>Guidelines</w:t>
      </w:r>
      <w:r w:rsidR="00173D07" w:rsidRPr="002D396F">
        <w:rPr>
          <w:rFonts w:eastAsia="Arial"/>
          <w:lang w:val="de-DE" w:eastAsia="de-DE" w:bidi="de-DE"/>
        </w:rPr>
        <w:t xml:space="preserve"> </w:t>
      </w:r>
      <w:r w:rsidR="00576329" w:rsidRPr="002D396F">
        <w:rPr>
          <w:rFonts w:eastAsia="Arial"/>
          <w:position w:val="8"/>
          <w:vertAlign w:val="superscript"/>
          <w:lang w:val="de-DE" w:eastAsia="de-DE" w:bidi="de-DE"/>
        </w:rPr>
        <w:t>7</w:t>
      </w:r>
      <w:r w:rsidR="00CA19FD" w:rsidRPr="002D396F">
        <w:rPr>
          <w:rFonts w:eastAsia="Arial"/>
          <w:position w:val="8"/>
          <w:vertAlign w:val="superscript"/>
          <w:lang w:val="de-DE" w:eastAsia="de-DE" w:bidi="de-DE"/>
        </w:rPr>
        <w:t>)</w:t>
      </w:r>
      <w:r w:rsidR="00CA19FD" w:rsidRPr="002D396F">
        <w:rPr>
          <w:rFonts w:eastAsia="Arial"/>
          <w:position w:val="8"/>
          <w:lang w:val="de-DE" w:eastAsia="de-DE" w:bidi="de-DE"/>
        </w:rPr>
        <w:t>,</w:t>
      </w:r>
      <w:r w:rsidR="00576329" w:rsidRPr="002D396F">
        <w:rPr>
          <w:rFonts w:eastAsia="Arial"/>
          <w:position w:val="8"/>
          <w:vertAlign w:val="superscript"/>
          <w:lang w:val="de-DE" w:eastAsia="de-DE" w:bidi="de-DE"/>
        </w:rPr>
        <w:t>8</w:t>
      </w:r>
      <w:r w:rsidR="00CA19FD" w:rsidRPr="002D396F">
        <w:rPr>
          <w:rFonts w:eastAsia="Arial"/>
          <w:position w:val="8"/>
          <w:vertAlign w:val="superscript"/>
          <w:lang w:val="de-DE" w:eastAsia="de-DE" w:bidi="de-DE"/>
        </w:rPr>
        <w:t>)</w:t>
      </w:r>
      <w:r w:rsidR="00CA19FD" w:rsidRPr="002D396F">
        <w:rPr>
          <w:rFonts w:eastAsia="Arial"/>
          <w:position w:val="8"/>
          <w:lang w:val="de-DE" w:eastAsia="de-DE" w:bidi="de-DE"/>
        </w:rPr>
        <w:t>,</w:t>
      </w:r>
      <w:r w:rsidR="00576329" w:rsidRPr="002D396F">
        <w:rPr>
          <w:rFonts w:eastAsia="Arial"/>
          <w:position w:val="8"/>
          <w:vertAlign w:val="superscript"/>
          <w:lang w:val="de-DE" w:eastAsia="de-DE" w:bidi="de-DE"/>
        </w:rPr>
        <w:t>9</w:t>
      </w:r>
      <w:r w:rsidR="00CA19FD" w:rsidRPr="002D396F">
        <w:rPr>
          <w:rFonts w:eastAsia="Arial"/>
          <w:position w:val="8"/>
          <w:vertAlign w:val="superscript"/>
          <w:lang w:val="de-DE" w:eastAsia="de-DE" w:bidi="de-DE"/>
        </w:rPr>
        <w:t>)</w:t>
      </w:r>
      <w:r w:rsidR="00CA19FD" w:rsidRPr="002D396F">
        <w:rPr>
          <w:rFonts w:eastAsia="Arial"/>
          <w:position w:val="8"/>
          <w:lang w:val="de-DE" w:eastAsia="de-DE" w:bidi="de-DE"/>
        </w:rPr>
        <w:t>,</w:t>
      </w:r>
      <w:r w:rsidR="00576329" w:rsidRPr="002D396F">
        <w:rPr>
          <w:rFonts w:eastAsia="Arial"/>
          <w:position w:val="8"/>
          <w:vertAlign w:val="superscript"/>
          <w:lang w:val="de-DE" w:eastAsia="de-DE" w:bidi="de-DE"/>
        </w:rPr>
        <w:t>10</w:t>
      </w:r>
      <w:r w:rsidR="00CA19FD" w:rsidRPr="002D396F">
        <w:rPr>
          <w:rFonts w:eastAsia="Arial"/>
          <w:position w:val="8"/>
          <w:vertAlign w:val="superscript"/>
          <w:lang w:val="de-DE" w:eastAsia="de-DE" w:bidi="de-DE"/>
        </w:rPr>
        <w:t>)</w:t>
      </w:r>
      <w:r w:rsidR="00CA19FD" w:rsidRPr="00CC4A0E">
        <w:rPr>
          <w:rFonts w:eastAsia="Arial"/>
          <w:position w:val="8"/>
          <w:lang w:val="de-DE" w:eastAsia="de-DE" w:bidi="de-DE"/>
        </w:rPr>
        <w:t>“</w:t>
      </w:r>
      <w:r w:rsidR="00CA19FD" w:rsidRPr="002D396F">
        <w:rPr>
          <w:rFonts w:eastAsia="Arial"/>
          <w:lang w:val="de-DE" w:eastAsia="de-DE" w:bidi="de-DE"/>
        </w:rPr>
        <w:t>.</w:t>
      </w:r>
    </w:p>
    <w:p w14:paraId="1622DB24" w14:textId="400BD360" w:rsidR="00CA19FD" w:rsidRPr="002D396F" w:rsidRDefault="00CA19FD" w:rsidP="00173D07">
      <w:pPr>
        <w:widowControl w:val="0"/>
        <w:tabs>
          <w:tab w:val="left" w:pos="2410"/>
        </w:tabs>
        <w:suppressAutoHyphens w:val="0"/>
        <w:autoSpaceDE w:val="0"/>
        <w:autoSpaceDN w:val="0"/>
        <w:spacing w:after="120"/>
        <w:ind w:left="2268"/>
        <w:rPr>
          <w:rFonts w:eastAsia="Arial"/>
          <w:lang w:val="de-DE" w:eastAsia="de-DE" w:bidi="de-DE"/>
        </w:rPr>
      </w:pPr>
      <w:r w:rsidRPr="002D396F">
        <w:rPr>
          <w:rFonts w:eastAsia="Arial"/>
          <w:lang w:val="de-DE" w:eastAsia="de-DE" w:bidi="de-DE"/>
        </w:rPr>
        <w:t xml:space="preserve">Die Fußnote </w:t>
      </w:r>
      <w:r w:rsidR="00576329" w:rsidRPr="002D396F">
        <w:rPr>
          <w:rFonts w:eastAsia="Arial"/>
          <w:lang w:val="de-DE" w:eastAsia="de-DE" w:bidi="de-DE"/>
        </w:rPr>
        <w:t xml:space="preserve">10 </w:t>
      </w:r>
      <w:r w:rsidRPr="002D396F">
        <w:rPr>
          <w:rFonts w:eastAsia="Arial"/>
          <w:lang w:val="de-DE" w:eastAsia="de-DE" w:bidi="de-DE"/>
        </w:rPr>
        <w:t>streichen.</w:t>
      </w:r>
    </w:p>
    <w:p w14:paraId="212F7152" w14:textId="6DA35091" w:rsidR="00CA19FD" w:rsidRPr="002D396F" w:rsidRDefault="00CA19FD" w:rsidP="00173D07">
      <w:pPr>
        <w:widowControl w:val="0"/>
        <w:tabs>
          <w:tab w:val="left" w:pos="2410"/>
        </w:tabs>
        <w:suppressAutoHyphens w:val="0"/>
        <w:autoSpaceDE w:val="0"/>
        <w:autoSpaceDN w:val="0"/>
        <w:spacing w:after="120"/>
        <w:ind w:left="2268"/>
        <w:rPr>
          <w:rFonts w:eastAsia="Arial"/>
          <w:lang w:val="de-DE" w:eastAsia="de-DE" w:bidi="de-DE"/>
        </w:rPr>
      </w:pPr>
      <w:r w:rsidRPr="002D396F">
        <w:rPr>
          <w:rFonts w:eastAsia="Arial"/>
          <w:lang w:val="de-DE" w:eastAsia="de-DE" w:bidi="de-DE"/>
        </w:rPr>
        <w:t xml:space="preserve">Die Fußnote </w:t>
      </w:r>
      <w:r w:rsidR="00576329" w:rsidRPr="002D396F">
        <w:rPr>
          <w:rFonts w:eastAsia="Arial"/>
          <w:lang w:val="de-DE" w:eastAsia="de-DE" w:bidi="de-DE"/>
        </w:rPr>
        <w:t xml:space="preserve">9 </w:t>
      </w:r>
      <w:r w:rsidRPr="002D396F">
        <w:rPr>
          <w:rFonts w:eastAsia="Arial"/>
          <w:lang w:val="de-DE" w:eastAsia="de-DE" w:bidi="de-DE"/>
        </w:rPr>
        <w:t xml:space="preserve">wird zu Fußnote </w:t>
      </w:r>
      <w:r w:rsidR="00576329" w:rsidRPr="002D396F">
        <w:rPr>
          <w:rFonts w:eastAsia="Arial"/>
          <w:lang w:val="de-DE" w:eastAsia="de-DE" w:bidi="de-DE"/>
        </w:rPr>
        <w:t>10</w:t>
      </w:r>
      <w:r w:rsidRPr="002D396F">
        <w:rPr>
          <w:rFonts w:eastAsia="Arial"/>
          <w:lang w:val="de-DE" w:eastAsia="de-DE" w:bidi="de-DE"/>
        </w:rPr>
        <w:t>.</w:t>
      </w:r>
    </w:p>
    <w:p w14:paraId="1136CCE6" w14:textId="74533B43" w:rsidR="00CA19FD" w:rsidRPr="002D396F" w:rsidRDefault="00CA19FD" w:rsidP="00CC4A0E">
      <w:pPr>
        <w:widowControl w:val="0"/>
        <w:tabs>
          <w:tab w:val="left" w:pos="2410"/>
        </w:tabs>
        <w:suppressAutoHyphens w:val="0"/>
        <w:autoSpaceDE w:val="0"/>
        <w:autoSpaceDN w:val="0"/>
        <w:spacing w:after="120"/>
        <w:ind w:left="2268" w:right="521"/>
        <w:jc w:val="both"/>
        <w:rPr>
          <w:rFonts w:eastAsia="Arial"/>
          <w:lang w:val="de-DE" w:eastAsia="de-DE" w:bidi="de-DE"/>
        </w:rPr>
      </w:pPr>
      <w:r w:rsidRPr="002D396F">
        <w:rPr>
          <w:rFonts w:eastAsia="Arial"/>
          <w:lang w:val="de-DE" w:eastAsia="de-DE" w:bidi="de-DE"/>
        </w:rPr>
        <w:t xml:space="preserve">In der Fußnote </w:t>
      </w:r>
      <w:r w:rsidR="00576329" w:rsidRPr="002D396F">
        <w:rPr>
          <w:rFonts w:eastAsia="Arial"/>
          <w:lang w:val="de-DE" w:eastAsia="de-DE" w:bidi="de-DE"/>
        </w:rPr>
        <w:t xml:space="preserve">10 </w:t>
      </w:r>
      <w:r w:rsidRPr="002D396F">
        <w:rPr>
          <w:rFonts w:eastAsia="Arial"/>
          <w:lang w:val="de-DE" w:eastAsia="de-DE" w:bidi="de-DE"/>
        </w:rPr>
        <w:t xml:space="preserve">(bisherige Fußnote </w:t>
      </w:r>
      <w:r w:rsidR="00576329" w:rsidRPr="002D396F">
        <w:rPr>
          <w:rFonts w:eastAsia="Arial"/>
          <w:lang w:val="de-DE" w:eastAsia="de-DE" w:bidi="de-DE"/>
        </w:rPr>
        <w:t>9</w:t>
      </w:r>
      <w:r w:rsidRPr="002D396F">
        <w:rPr>
          <w:rFonts w:eastAsia="Arial"/>
          <w:lang w:val="de-DE" w:eastAsia="de-DE" w:bidi="de-DE"/>
        </w:rPr>
        <w:t>) vor „(TER)“ einfügen: „Method“.</w:t>
      </w:r>
    </w:p>
    <w:p w14:paraId="7E5F435B" w14:textId="26BA2B26" w:rsidR="00CA19FD" w:rsidRPr="002D396F" w:rsidRDefault="00CA19FD" w:rsidP="00CC4A0E">
      <w:pPr>
        <w:widowControl w:val="0"/>
        <w:tabs>
          <w:tab w:val="left" w:pos="2410"/>
        </w:tabs>
        <w:suppressAutoHyphens w:val="0"/>
        <w:autoSpaceDE w:val="0"/>
        <w:autoSpaceDN w:val="0"/>
        <w:spacing w:after="120"/>
        <w:ind w:left="2268" w:right="521"/>
        <w:jc w:val="both"/>
        <w:rPr>
          <w:rFonts w:eastAsia="Arial"/>
          <w:lang w:val="de-DE" w:eastAsia="de-DE" w:bidi="de-DE"/>
        </w:rPr>
      </w:pPr>
      <w:r w:rsidRPr="002D396F">
        <w:rPr>
          <w:rFonts w:eastAsia="Arial"/>
          <w:lang w:val="de-DE" w:eastAsia="de-DE" w:bidi="de-DE"/>
        </w:rPr>
        <w:t xml:space="preserve">In der Fußnote </w:t>
      </w:r>
      <w:r w:rsidR="00576329" w:rsidRPr="002D396F">
        <w:rPr>
          <w:rFonts w:eastAsia="Arial"/>
          <w:lang w:val="de-DE" w:eastAsia="de-DE" w:bidi="de-DE"/>
        </w:rPr>
        <w:t xml:space="preserve">10 </w:t>
      </w:r>
      <w:r w:rsidRPr="002D396F">
        <w:rPr>
          <w:rFonts w:eastAsia="Arial"/>
          <w:lang w:val="de-DE" w:eastAsia="de-DE" w:bidi="de-DE"/>
        </w:rPr>
        <w:t xml:space="preserve">(bisherige Fußnote </w:t>
      </w:r>
      <w:r w:rsidR="00576329" w:rsidRPr="002D396F">
        <w:rPr>
          <w:rFonts w:eastAsia="Arial"/>
          <w:lang w:val="de-DE" w:eastAsia="de-DE" w:bidi="de-DE"/>
        </w:rPr>
        <w:t>9</w:t>
      </w:r>
      <w:r w:rsidRPr="002D396F">
        <w:rPr>
          <w:rFonts w:eastAsia="Arial"/>
          <w:lang w:val="de-DE" w:eastAsia="de-DE" w:bidi="de-DE"/>
        </w:rPr>
        <w:t>) „Widerstandsprüfung“ ändern in: „Widerstandsprüfmethode“.</w:t>
      </w:r>
    </w:p>
    <w:p w14:paraId="27A7F5EB" w14:textId="4F162493" w:rsidR="00CA19FD" w:rsidRPr="002D396F" w:rsidRDefault="00CA19FD" w:rsidP="00173D07">
      <w:pPr>
        <w:widowControl w:val="0"/>
        <w:tabs>
          <w:tab w:val="left" w:pos="2410"/>
        </w:tabs>
        <w:suppressAutoHyphens w:val="0"/>
        <w:autoSpaceDE w:val="0"/>
        <w:autoSpaceDN w:val="0"/>
        <w:spacing w:after="120"/>
        <w:ind w:left="2268"/>
        <w:rPr>
          <w:rFonts w:eastAsia="Arial"/>
          <w:lang w:val="de-DE" w:eastAsia="de-DE" w:bidi="de-DE"/>
        </w:rPr>
      </w:pPr>
      <w:r w:rsidRPr="002D396F">
        <w:rPr>
          <w:rFonts w:eastAsia="Arial"/>
          <w:lang w:val="de-DE" w:eastAsia="de-DE" w:bidi="de-DE"/>
        </w:rPr>
        <w:t xml:space="preserve">Eine neue Fußnote </w:t>
      </w:r>
      <w:r w:rsidR="00576329" w:rsidRPr="002D396F">
        <w:rPr>
          <w:rFonts w:eastAsia="Arial"/>
          <w:lang w:val="de-DE" w:eastAsia="de-DE" w:bidi="de-DE"/>
        </w:rPr>
        <w:t xml:space="preserve">9 </w:t>
      </w:r>
      <w:r w:rsidRPr="002D396F">
        <w:rPr>
          <w:rFonts w:eastAsia="Arial"/>
          <w:lang w:val="de-DE" w:eastAsia="de-DE" w:bidi="de-DE"/>
        </w:rPr>
        <w:t>mit folgendem Wortlaut einfügen:</w:t>
      </w:r>
    </w:p>
    <w:p w14:paraId="078764B2" w14:textId="420728DE" w:rsidR="00CA19FD" w:rsidRPr="002D396F" w:rsidRDefault="00CA19FD" w:rsidP="00173D07">
      <w:pPr>
        <w:widowControl w:val="0"/>
        <w:tabs>
          <w:tab w:val="left" w:pos="2410"/>
        </w:tabs>
        <w:suppressAutoHyphens w:val="0"/>
        <w:autoSpaceDE w:val="0"/>
        <w:autoSpaceDN w:val="0"/>
        <w:spacing w:after="120"/>
        <w:ind w:left="2268" w:right="392"/>
        <w:jc w:val="both"/>
        <w:rPr>
          <w:rFonts w:eastAsia="Arial"/>
          <w:lang w:val="de-DE" w:eastAsia="de-DE" w:bidi="de-DE"/>
        </w:rPr>
      </w:pPr>
      <w:r w:rsidRPr="002D396F">
        <w:rPr>
          <w:rFonts w:eastAsia="Arial"/>
          <w:lang w:val="de-DE" w:eastAsia="de-DE" w:bidi="de-DE"/>
        </w:rPr>
        <w:t>„</w:t>
      </w:r>
      <w:r w:rsidR="00576329" w:rsidRPr="002D396F">
        <w:rPr>
          <w:rFonts w:eastAsia="Arial"/>
          <w:position w:val="8"/>
          <w:sz w:val="16"/>
          <w:szCs w:val="16"/>
          <w:lang w:val="de-DE" w:eastAsia="de-DE" w:bidi="de-DE"/>
        </w:rPr>
        <w:t>9</w:t>
      </w:r>
      <w:r w:rsidRPr="002D396F">
        <w:rPr>
          <w:rFonts w:eastAsia="Arial"/>
          <w:position w:val="8"/>
          <w:sz w:val="16"/>
          <w:szCs w:val="16"/>
          <w:lang w:val="de-DE" w:eastAsia="de-DE" w:bidi="de-DE"/>
        </w:rPr>
        <w:t>)</w:t>
      </w:r>
      <w:r w:rsidRPr="002D396F">
        <w:rPr>
          <w:rFonts w:eastAsia="Arial"/>
          <w:position w:val="8"/>
          <w:lang w:val="de-DE" w:eastAsia="de-DE" w:bidi="de-DE"/>
        </w:rPr>
        <w:t xml:space="preserve"> </w:t>
      </w:r>
      <w:r w:rsidRPr="002D396F">
        <w:rPr>
          <w:rFonts w:eastAsia="Arial"/>
          <w:lang w:val="de-DE" w:eastAsia="de-DE" w:bidi="de-DE"/>
        </w:rPr>
        <w:t xml:space="preserve">OECD Guideline </w:t>
      </w:r>
      <w:proofErr w:type="spellStart"/>
      <w:r w:rsidRPr="002D396F">
        <w:rPr>
          <w:rFonts w:eastAsia="Arial"/>
          <w:lang w:val="de-DE" w:eastAsia="de-DE" w:bidi="de-DE"/>
        </w:rPr>
        <w:t>for</w:t>
      </w:r>
      <w:proofErr w:type="spellEnd"/>
      <w:r w:rsidRPr="002D396F">
        <w:rPr>
          <w:rFonts w:eastAsia="Arial"/>
          <w:lang w:val="de-DE" w:eastAsia="de-DE" w:bidi="de-DE"/>
        </w:rPr>
        <w:t xml:space="preserve"> </w:t>
      </w:r>
      <w:proofErr w:type="spellStart"/>
      <w:r w:rsidRPr="002D396F">
        <w:rPr>
          <w:rFonts w:eastAsia="Arial"/>
          <w:lang w:val="de-DE" w:eastAsia="de-DE" w:bidi="de-DE"/>
        </w:rPr>
        <w:t>the</w:t>
      </w:r>
      <w:proofErr w:type="spellEnd"/>
      <w:r w:rsidRPr="002D396F">
        <w:rPr>
          <w:rFonts w:eastAsia="Arial"/>
          <w:lang w:val="de-DE" w:eastAsia="de-DE" w:bidi="de-DE"/>
        </w:rPr>
        <w:t xml:space="preserve"> </w:t>
      </w:r>
      <w:proofErr w:type="spellStart"/>
      <w:r w:rsidRPr="002D396F">
        <w:rPr>
          <w:rFonts w:eastAsia="Arial"/>
          <w:lang w:val="de-DE" w:eastAsia="de-DE" w:bidi="de-DE"/>
        </w:rPr>
        <w:t>testing</w:t>
      </w:r>
      <w:proofErr w:type="spellEnd"/>
      <w:r w:rsidRPr="002D396F">
        <w:rPr>
          <w:rFonts w:eastAsia="Arial"/>
          <w:lang w:val="de-DE" w:eastAsia="de-DE" w:bidi="de-DE"/>
        </w:rPr>
        <w:t xml:space="preserve"> </w:t>
      </w:r>
      <w:proofErr w:type="spellStart"/>
      <w:r w:rsidRPr="002D396F">
        <w:rPr>
          <w:rFonts w:eastAsia="Arial"/>
          <w:lang w:val="de-DE" w:eastAsia="de-DE" w:bidi="de-DE"/>
        </w:rPr>
        <w:t>of</w:t>
      </w:r>
      <w:proofErr w:type="spellEnd"/>
      <w:r w:rsidRPr="002D396F">
        <w:rPr>
          <w:rFonts w:eastAsia="Arial"/>
          <w:lang w:val="de-DE" w:eastAsia="de-DE" w:bidi="de-DE"/>
        </w:rPr>
        <w:t xml:space="preserve"> </w:t>
      </w:r>
      <w:proofErr w:type="spellStart"/>
      <w:r w:rsidRPr="002D396F">
        <w:rPr>
          <w:rFonts w:eastAsia="Arial"/>
          <w:lang w:val="de-DE" w:eastAsia="de-DE" w:bidi="de-DE"/>
        </w:rPr>
        <w:t>chemicals</w:t>
      </w:r>
      <w:proofErr w:type="spellEnd"/>
      <w:r w:rsidRPr="002D396F">
        <w:rPr>
          <w:rFonts w:eastAsia="Arial"/>
          <w:lang w:val="de-DE" w:eastAsia="de-DE" w:bidi="de-DE"/>
        </w:rPr>
        <w:t xml:space="preserve"> </w:t>
      </w:r>
      <w:proofErr w:type="spellStart"/>
      <w:r w:rsidRPr="002D396F">
        <w:rPr>
          <w:rFonts w:eastAsia="Arial"/>
          <w:lang w:val="de-DE" w:eastAsia="de-DE" w:bidi="de-DE"/>
        </w:rPr>
        <w:t>No</w:t>
      </w:r>
      <w:proofErr w:type="spellEnd"/>
      <w:r w:rsidRPr="002D396F">
        <w:rPr>
          <w:rFonts w:eastAsia="Arial"/>
          <w:lang w:val="de-DE" w:eastAsia="de-DE" w:bidi="de-DE"/>
        </w:rPr>
        <w:t xml:space="preserve">. 431 </w:t>
      </w:r>
      <w:r w:rsidR="00070855" w:rsidRPr="002D396F">
        <w:rPr>
          <w:rFonts w:eastAsia="Arial"/>
          <w:lang w:val="de-DE" w:eastAsia="de-DE" w:bidi="de-DE"/>
        </w:rPr>
        <w:t>„</w:t>
      </w:r>
      <w:r w:rsidRPr="002D396F">
        <w:rPr>
          <w:rFonts w:eastAsia="Arial"/>
          <w:lang w:val="de-DE" w:eastAsia="de-DE" w:bidi="de-DE"/>
        </w:rPr>
        <w:t xml:space="preserve">In Vitro Skin </w:t>
      </w:r>
      <w:proofErr w:type="spellStart"/>
      <w:r w:rsidRPr="002D396F">
        <w:rPr>
          <w:rFonts w:eastAsia="Arial"/>
          <w:lang w:val="de-DE" w:eastAsia="de-DE" w:bidi="de-DE"/>
        </w:rPr>
        <w:t>Corrosion</w:t>
      </w:r>
      <w:proofErr w:type="spellEnd"/>
      <w:r w:rsidRPr="002D396F">
        <w:rPr>
          <w:rFonts w:eastAsia="Arial"/>
          <w:lang w:val="de-DE" w:eastAsia="de-DE" w:bidi="de-DE"/>
        </w:rPr>
        <w:t xml:space="preserve">: </w:t>
      </w:r>
      <w:proofErr w:type="spellStart"/>
      <w:r w:rsidRPr="002D396F">
        <w:rPr>
          <w:rFonts w:eastAsia="Arial"/>
          <w:lang w:val="de-DE" w:eastAsia="de-DE" w:bidi="de-DE"/>
        </w:rPr>
        <w:t>reconstructed</w:t>
      </w:r>
      <w:proofErr w:type="spellEnd"/>
      <w:r w:rsidRPr="002D396F">
        <w:rPr>
          <w:rFonts w:eastAsia="Arial"/>
          <w:lang w:val="de-DE" w:eastAsia="de-DE" w:bidi="de-DE"/>
        </w:rPr>
        <w:t xml:space="preserve"> human </w:t>
      </w:r>
      <w:proofErr w:type="spellStart"/>
      <w:r w:rsidRPr="002D396F">
        <w:rPr>
          <w:rFonts w:eastAsia="Arial"/>
          <w:lang w:val="de-DE" w:eastAsia="de-DE" w:bidi="de-DE"/>
        </w:rPr>
        <w:t>epidermis</w:t>
      </w:r>
      <w:proofErr w:type="spellEnd"/>
      <w:r w:rsidRPr="002D396F">
        <w:rPr>
          <w:rFonts w:eastAsia="Arial"/>
          <w:lang w:val="de-DE" w:eastAsia="de-DE" w:bidi="de-DE"/>
        </w:rPr>
        <w:t xml:space="preserve"> (RHE) </w:t>
      </w:r>
      <w:proofErr w:type="spellStart"/>
      <w:r w:rsidRPr="002D396F">
        <w:rPr>
          <w:rFonts w:eastAsia="Arial"/>
          <w:lang w:val="de-DE" w:eastAsia="de-DE" w:bidi="de-DE"/>
        </w:rPr>
        <w:t>test</w:t>
      </w:r>
      <w:proofErr w:type="spellEnd"/>
      <w:r w:rsidRPr="002D396F">
        <w:rPr>
          <w:rFonts w:eastAsia="Arial"/>
          <w:lang w:val="de-DE" w:eastAsia="de-DE" w:bidi="de-DE"/>
        </w:rPr>
        <w:t xml:space="preserve"> </w:t>
      </w:r>
      <w:proofErr w:type="spellStart"/>
      <w:r w:rsidRPr="002D396F">
        <w:rPr>
          <w:rFonts w:eastAsia="Arial"/>
          <w:lang w:val="de-DE" w:eastAsia="de-DE" w:bidi="de-DE"/>
        </w:rPr>
        <w:t>method</w:t>
      </w:r>
      <w:proofErr w:type="spellEnd"/>
      <w:r w:rsidR="00070855" w:rsidRPr="002D396F">
        <w:rPr>
          <w:rFonts w:eastAsia="Arial"/>
          <w:lang w:val="de-DE" w:eastAsia="de-DE" w:bidi="de-DE"/>
        </w:rPr>
        <w:t>“</w:t>
      </w:r>
      <w:r w:rsidRPr="002D396F">
        <w:rPr>
          <w:rFonts w:eastAsia="Arial"/>
          <w:lang w:val="de-DE" w:eastAsia="de-DE" w:bidi="de-DE"/>
        </w:rPr>
        <w:t xml:space="preserve"> 2016 (OECD-Richtlinie für die</w:t>
      </w:r>
      <w:r w:rsidRPr="002D396F">
        <w:rPr>
          <w:rFonts w:eastAsia="Arial"/>
          <w:spacing w:val="-6"/>
          <w:lang w:val="de-DE" w:eastAsia="de-DE" w:bidi="de-DE"/>
        </w:rPr>
        <w:t xml:space="preserve"> </w:t>
      </w:r>
      <w:r w:rsidRPr="002D396F">
        <w:rPr>
          <w:rFonts w:eastAsia="Arial"/>
          <w:lang w:val="de-DE" w:eastAsia="de-DE" w:bidi="de-DE"/>
        </w:rPr>
        <w:t>Prüfung</w:t>
      </w:r>
      <w:r w:rsidRPr="002D396F">
        <w:rPr>
          <w:rFonts w:eastAsia="Arial"/>
          <w:spacing w:val="-6"/>
          <w:lang w:val="de-DE" w:eastAsia="de-DE" w:bidi="de-DE"/>
        </w:rPr>
        <w:t xml:space="preserve"> </w:t>
      </w:r>
      <w:r w:rsidRPr="002D396F">
        <w:rPr>
          <w:rFonts w:eastAsia="Arial"/>
          <w:lang w:val="de-DE" w:eastAsia="de-DE" w:bidi="de-DE"/>
        </w:rPr>
        <w:t>von</w:t>
      </w:r>
      <w:r w:rsidRPr="002D396F">
        <w:rPr>
          <w:rFonts w:eastAsia="Arial"/>
          <w:spacing w:val="-6"/>
          <w:lang w:val="de-DE" w:eastAsia="de-DE" w:bidi="de-DE"/>
        </w:rPr>
        <w:t xml:space="preserve"> </w:t>
      </w:r>
      <w:r w:rsidRPr="002D396F">
        <w:rPr>
          <w:rFonts w:eastAsia="Arial"/>
          <w:lang w:val="de-DE" w:eastAsia="de-DE" w:bidi="de-DE"/>
        </w:rPr>
        <w:t>Chemikalien</w:t>
      </w:r>
      <w:r w:rsidRPr="002D396F">
        <w:rPr>
          <w:rFonts w:eastAsia="Arial"/>
          <w:spacing w:val="-6"/>
          <w:lang w:val="de-DE" w:eastAsia="de-DE" w:bidi="de-DE"/>
        </w:rPr>
        <w:t xml:space="preserve"> </w:t>
      </w:r>
      <w:r w:rsidRPr="002D396F">
        <w:rPr>
          <w:rFonts w:eastAsia="Arial"/>
          <w:lang w:val="de-DE" w:eastAsia="de-DE" w:bidi="de-DE"/>
        </w:rPr>
        <w:t>Nr.</w:t>
      </w:r>
      <w:r w:rsidRPr="002D396F">
        <w:rPr>
          <w:rFonts w:eastAsia="Arial"/>
          <w:spacing w:val="-5"/>
          <w:lang w:val="de-DE" w:eastAsia="de-DE" w:bidi="de-DE"/>
        </w:rPr>
        <w:t xml:space="preserve"> </w:t>
      </w:r>
      <w:r w:rsidRPr="002D396F">
        <w:rPr>
          <w:rFonts w:eastAsia="Arial"/>
          <w:lang w:val="de-DE" w:eastAsia="de-DE" w:bidi="de-DE"/>
        </w:rPr>
        <w:t>431</w:t>
      </w:r>
      <w:r w:rsidRPr="002D396F">
        <w:rPr>
          <w:rFonts w:eastAsia="Arial"/>
          <w:spacing w:val="-8"/>
          <w:lang w:val="de-DE" w:eastAsia="de-DE" w:bidi="de-DE"/>
        </w:rPr>
        <w:t xml:space="preserve"> </w:t>
      </w:r>
      <w:r w:rsidR="00070855" w:rsidRPr="002D396F">
        <w:rPr>
          <w:rFonts w:eastAsia="Arial"/>
          <w:lang w:val="de-DE" w:eastAsia="de-DE" w:bidi="de-DE"/>
        </w:rPr>
        <w:t>„</w:t>
      </w:r>
      <w:r w:rsidRPr="002D396F">
        <w:rPr>
          <w:rFonts w:eastAsia="Arial"/>
          <w:lang w:val="de-DE" w:eastAsia="de-DE" w:bidi="de-DE"/>
        </w:rPr>
        <w:t>In-vitro-Verätzung</w:t>
      </w:r>
      <w:r w:rsidRPr="002D396F">
        <w:rPr>
          <w:rFonts w:eastAsia="Arial"/>
          <w:spacing w:val="-6"/>
          <w:lang w:val="de-DE" w:eastAsia="de-DE" w:bidi="de-DE"/>
        </w:rPr>
        <w:t xml:space="preserve"> </w:t>
      </w:r>
      <w:r w:rsidRPr="002D396F">
        <w:rPr>
          <w:rFonts w:eastAsia="Arial"/>
          <w:lang w:val="de-DE" w:eastAsia="de-DE" w:bidi="de-DE"/>
        </w:rPr>
        <w:t>der</w:t>
      </w:r>
      <w:r w:rsidRPr="002D396F">
        <w:rPr>
          <w:rFonts w:eastAsia="Arial"/>
          <w:spacing w:val="-7"/>
          <w:lang w:val="de-DE" w:eastAsia="de-DE" w:bidi="de-DE"/>
        </w:rPr>
        <w:t xml:space="preserve"> </w:t>
      </w:r>
      <w:r w:rsidRPr="002D396F">
        <w:rPr>
          <w:rFonts w:eastAsia="Arial"/>
          <w:lang w:val="de-DE" w:eastAsia="de-DE" w:bidi="de-DE"/>
        </w:rPr>
        <w:t>Haut:</w:t>
      </w:r>
      <w:r w:rsidRPr="002D396F">
        <w:rPr>
          <w:rFonts w:eastAsia="Arial"/>
          <w:spacing w:val="-5"/>
          <w:lang w:val="de-DE" w:eastAsia="de-DE" w:bidi="de-DE"/>
        </w:rPr>
        <w:t xml:space="preserve"> </w:t>
      </w:r>
      <w:r w:rsidRPr="002D396F">
        <w:rPr>
          <w:rFonts w:eastAsia="Arial"/>
          <w:lang w:val="de-DE" w:eastAsia="de-DE" w:bidi="de-DE"/>
        </w:rPr>
        <w:t>Prüfmethode mit rekonstruierter menschlicher Epidermis (RHE)</w:t>
      </w:r>
      <w:r w:rsidR="00070855" w:rsidRPr="002D396F">
        <w:rPr>
          <w:rFonts w:eastAsia="Arial"/>
          <w:lang w:val="de-DE" w:eastAsia="de-DE" w:bidi="de-DE"/>
        </w:rPr>
        <w:t>“</w:t>
      </w:r>
      <w:r w:rsidRPr="002D396F">
        <w:rPr>
          <w:rFonts w:eastAsia="Arial"/>
          <w:spacing w:val="-7"/>
          <w:lang w:val="de-DE" w:eastAsia="de-DE" w:bidi="de-DE"/>
        </w:rPr>
        <w:t xml:space="preserve"> </w:t>
      </w:r>
      <w:r w:rsidRPr="002D396F">
        <w:rPr>
          <w:rFonts w:eastAsia="Arial"/>
          <w:lang w:val="de-DE" w:eastAsia="de-DE" w:bidi="de-DE"/>
        </w:rPr>
        <w:t>2016).“</w:t>
      </w:r>
      <w:r w:rsidR="00CC4A0E">
        <w:rPr>
          <w:rFonts w:eastAsia="Arial"/>
          <w:lang w:val="de-DE" w:eastAsia="de-DE" w:bidi="de-DE"/>
        </w:rPr>
        <w:t>.</w:t>
      </w:r>
    </w:p>
    <w:p w14:paraId="4AE41933" w14:textId="67B99CE8" w:rsidR="00CA19FD" w:rsidRPr="002D396F" w:rsidRDefault="00CA19FD" w:rsidP="00CC4A0E">
      <w:pPr>
        <w:widowControl w:val="0"/>
        <w:tabs>
          <w:tab w:val="left" w:pos="2410"/>
        </w:tabs>
        <w:suppressAutoHyphens w:val="0"/>
        <w:autoSpaceDE w:val="0"/>
        <w:autoSpaceDN w:val="0"/>
        <w:spacing w:after="120"/>
        <w:ind w:left="2268" w:right="521"/>
        <w:jc w:val="both"/>
        <w:rPr>
          <w:rFonts w:eastAsia="Arial"/>
          <w:lang w:val="de-DE" w:eastAsia="de-DE" w:bidi="de-DE"/>
        </w:rPr>
      </w:pPr>
      <w:r w:rsidRPr="002D396F">
        <w:rPr>
          <w:rFonts w:eastAsia="Arial"/>
          <w:lang w:val="de-DE" w:eastAsia="de-DE" w:bidi="de-DE"/>
        </w:rPr>
        <w:t>Im dritten Satz „</w:t>
      </w:r>
      <w:r w:rsidR="00823C3C">
        <w:rPr>
          <w:rFonts w:eastAsia="Arial"/>
          <w:lang w:val="de-DE" w:eastAsia="de-DE" w:bidi="de-DE"/>
        </w:rPr>
        <w:t xml:space="preserve">der </w:t>
      </w:r>
      <w:r w:rsidRPr="002D396F">
        <w:rPr>
          <w:rFonts w:eastAsia="Arial"/>
          <w:lang w:val="de-DE" w:eastAsia="de-DE" w:bidi="de-DE"/>
        </w:rPr>
        <w:t>OECD Test Guideline 430</w:t>
      </w:r>
      <w:r w:rsidR="00B1694D" w:rsidRPr="002D396F">
        <w:rPr>
          <w:rFonts w:eastAsia="Arial"/>
          <w:position w:val="8"/>
          <w:sz w:val="16"/>
          <w:szCs w:val="16"/>
          <w:lang w:val="de-DE" w:eastAsia="de-DE" w:bidi="de-DE"/>
        </w:rPr>
        <w:t>9</w:t>
      </w:r>
      <w:r w:rsidRPr="002D396F">
        <w:rPr>
          <w:rFonts w:eastAsia="Arial"/>
          <w:position w:val="8"/>
          <w:sz w:val="16"/>
          <w:szCs w:val="16"/>
          <w:lang w:val="de-DE" w:eastAsia="de-DE" w:bidi="de-DE"/>
        </w:rPr>
        <w:t>)</w:t>
      </w:r>
      <w:r w:rsidRPr="002D396F">
        <w:rPr>
          <w:rFonts w:eastAsia="Arial"/>
          <w:position w:val="8"/>
          <w:lang w:val="de-DE" w:eastAsia="de-DE" w:bidi="de-DE"/>
        </w:rPr>
        <w:t xml:space="preserve"> </w:t>
      </w:r>
      <w:r w:rsidRPr="002D396F">
        <w:rPr>
          <w:rFonts w:eastAsia="Arial"/>
          <w:lang w:val="de-DE" w:eastAsia="de-DE" w:bidi="de-DE"/>
        </w:rPr>
        <w:t xml:space="preserve">oder </w:t>
      </w:r>
      <w:r w:rsidR="00A47945" w:rsidRPr="002D396F">
        <w:rPr>
          <w:rFonts w:eastAsia="Arial"/>
          <w:lang w:val="de-DE" w:eastAsia="de-DE" w:bidi="de-DE"/>
        </w:rPr>
        <w:t>431</w:t>
      </w:r>
      <w:r w:rsidR="00A47945" w:rsidRPr="002D396F">
        <w:rPr>
          <w:rFonts w:eastAsia="Arial"/>
          <w:position w:val="8"/>
          <w:sz w:val="16"/>
          <w:szCs w:val="16"/>
          <w:lang w:val="de-DE" w:eastAsia="de-DE" w:bidi="de-DE"/>
        </w:rPr>
        <w:t>10</w:t>
      </w:r>
      <w:r w:rsidRPr="002D396F">
        <w:rPr>
          <w:rFonts w:eastAsia="Arial"/>
          <w:position w:val="8"/>
          <w:sz w:val="16"/>
          <w:szCs w:val="16"/>
          <w:lang w:val="de-DE" w:eastAsia="de-DE" w:bidi="de-DE"/>
        </w:rPr>
        <w:t>)</w:t>
      </w:r>
      <w:r w:rsidRPr="002D396F">
        <w:rPr>
          <w:rFonts w:eastAsia="Arial"/>
          <w:position w:val="8"/>
          <w:lang w:val="de-DE" w:eastAsia="de-DE" w:bidi="de-DE"/>
        </w:rPr>
        <w:t xml:space="preserve">“ </w:t>
      </w:r>
      <w:r w:rsidRPr="002D396F">
        <w:rPr>
          <w:rFonts w:eastAsia="Arial"/>
          <w:lang w:val="de-DE" w:eastAsia="de-DE" w:bidi="de-DE"/>
        </w:rPr>
        <w:t>ändern in: „</w:t>
      </w:r>
      <w:r w:rsidR="00823C3C">
        <w:rPr>
          <w:rFonts w:eastAsia="Arial"/>
          <w:lang w:val="de-DE" w:eastAsia="de-DE" w:bidi="de-DE"/>
        </w:rPr>
        <w:t xml:space="preserve">den </w:t>
      </w:r>
      <w:r w:rsidRPr="002D396F">
        <w:rPr>
          <w:rFonts w:eastAsia="Arial"/>
          <w:lang w:val="de-DE" w:eastAsia="de-DE" w:bidi="de-DE"/>
        </w:rPr>
        <w:t>OECD Test Guidelines</w:t>
      </w:r>
      <w:r w:rsidR="00A47945" w:rsidRPr="002D396F">
        <w:rPr>
          <w:rFonts w:eastAsia="Arial"/>
          <w:position w:val="8"/>
          <w:sz w:val="16"/>
          <w:szCs w:val="16"/>
          <w:lang w:val="de-DE" w:eastAsia="de-DE" w:bidi="de-DE"/>
        </w:rPr>
        <w:t>7</w:t>
      </w:r>
      <w:r w:rsidRPr="002D396F">
        <w:rPr>
          <w:rFonts w:eastAsia="Arial"/>
          <w:position w:val="8"/>
          <w:sz w:val="16"/>
          <w:szCs w:val="16"/>
          <w:lang w:val="de-DE" w:eastAsia="de-DE" w:bidi="de-DE"/>
        </w:rPr>
        <w:t>)</w:t>
      </w:r>
      <w:r w:rsidRPr="002D396F">
        <w:rPr>
          <w:rFonts w:eastAsia="Arial"/>
          <w:position w:val="8"/>
          <w:lang w:val="de-DE" w:eastAsia="de-DE" w:bidi="de-DE"/>
        </w:rPr>
        <w:t>,</w:t>
      </w:r>
      <w:r w:rsidR="00A47945" w:rsidRPr="002D396F">
        <w:rPr>
          <w:rFonts w:eastAsia="Arial"/>
          <w:position w:val="8"/>
          <w:sz w:val="16"/>
          <w:szCs w:val="16"/>
          <w:lang w:val="de-DE" w:eastAsia="de-DE" w:bidi="de-DE"/>
        </w:rPr>
        <w:t>8</w:t>
      </w:r>
      <w:r w:rsidRPr="002D396F">
        <w:rPr>
          <w:rFonts w:eastAsia="Arial"/>
          <w:position w:val="8"/>
          <w:sz w:val="16"/>
          <w:szCs w:val="16"/>
          <w:lang w:val="de-DE" w:eastAsia="de-DE" w:bidi="de-DE"/>
        </w:rPr>
        <w:t>)</w:t>
      </w:r>
      <w:r w:rsidRPr="002D396F">
        <w:rPr>
          <w:rFonts w:eastAsia="Arial"/>
          <w:position w:val="8"/>
          <w:lang w:val="de-DE" w:eastAsia="de-DE" w:bidi="de-DE"/>
        </w:rPr>
        <w:t>,</w:t>
      </w:r>
      <w:r w:rsidR="00A47945" w:rsidRPr="002D396F">
        <w:rPr>
          <w:rFonts w:eastAsia="Arial"/>
          <w:position w:val="8"/>
          <w:sz w:val="16"/>
          <w:szCs w:val="16"/>
          <w:lang w:val="de-DE" w:eastAsia="de-DE" w:bidi="de-DE"/>
        </w:rPr>
        <w:t>9</w:t>
      </w:r>
      <w:r w:rsidRPr="002D396F">
        <w:rPr>
          <w:rFonts w:eastAsia="Arial"/>
          <w:position w:val="8"/>
          <w:sz w:val="16"/>
          <w:szCs w:val="16"/>
          <w:lang w:val="de-DE" w:eastAsia="de-DE" w:bidi="de-DE"/>
        </w:rPr>
        <w:t>)</w:t>
      </w:r>
      <w:r w:rsidRPr="002D396F">
        <w:rPr>
          <w:rFonts w:eastAsia="Arial"/>
          <w:position w:val="8"/>
          <w:lang w:val="de-DE" w:eastAsia="de-DE" w:bidi="de-DE"/>
        </w:rPr>
        <w:t>,</w:t>
      </w:r>
      <w:r w:rsidR="00A47945" w:rsidRPr="002D396F">
        <w:rPr>
          <w:rFonts w:eastAsia="Arial"/>
          <w:position w:val="8"/>
          <w:sz w:val="16"/>
          <w:szCs w:val="16"/>
          <w:lang w:val="de-DE" w:eastAsia="de-DE" w:bidi="de-DE"/>
        </w:rPr>
        <w:t>10</w:t>
      </w:r>
      <w:r w:rsidRPr="002D396F">
        <w:rPr>
          <w:rFonts w:eastAsia="Arial"/>
          <w:position w:val="8"/>
          <w:sz w:val="16"/>
          <w:szCs w:val="16"/>
          <w:lang w:val="de-DE" w:eastAsia="de-DE" w:bidi="de-DE"/>
        </w:rPr>
        <w:t>)</w:t>
      </w:r>
      <w:r w:rsidRPr="002D396F">
        <w:rPr>
          <w:rFonts w:eastAsia="Arial"/>
          <w:position w:val="8"/>
          <w:lang w:val="de-DE" w:eastAsia="de-DE" w:bidi="de-DE"/>
        </w:rPr>
        <w:t>“</w:t>
      </w:r>
      <w:r w:rsidRPr="002D396F">
        <w:rPr>
          <w:rFonts w:eastAsia="Arial"/>
          <w:lang w:val="de-DE" w:eastAsia="de-DE" w:bidi="de-DE"/>
        </w:rPr>
        <w:t>.</w:t>
      </w:r>
    </w:p>
    <w:p w14:paraId="5518627A" w14:textId="0B9602D6" w:rsidR="00CA19FD" w:rsidRPr="002D396F" w:rsidRDefault="00CA19FD" w:rsidP="00173D07">
      <w:pPr>
        <w:widowControl w:val="0"/>
        <w:tabs>
          <w:tab w:val="left" w:pos="2410"/>
        </w:tabs>
        <w:suppressAutoHyphens w:val="0"/>
        <w:autoSpaceDE w:val="0"/>
        <w:autoSpaceDN w:val="0"/>
        <w:spacing w:after="120"/>
        <w:ind w:left="2268"/>
        <w:jc w:val="both"/>
        <w:rPr>
          <w:rFonts w:eastAsia="Arial"/>
          <w:lang w:val="de-DE" w:eastAsia="de-DE" w:bidi="de-DE"/>
        </w:rPr>
      </w:pPr>
      <w:r w:rsidRPr="002D396F">
        <w:rPr>
          <w:rFonts w:eastAsia="Arial"/>
          <w:lang w:val="de-DE" w:eastAsia="de-DE" w:bidi="de-DE"/>
        </w:rPr>
        <w:t>Am Ende des Absatzes folgenden neuen Satz hinzufügen:</w:t>
      </w:r>
    </w:p>
    <w:p w14:paraId="04BEED9F" w14:textId="4C84E099" w:rsidR="00CA19FD" w:rsidRPr="002D396F" w:rsidRDefault="00173D07" w:rsidP="00173D07">
      <w:pPr>
        <w:widowControl w:val="0"/>
        <w:tabs>
          <w:tab w:val="left" w:pos="2410"/>
        </w:tabs>
        <w:suppressAutoHyphens w:val="0"/>
        <w:autoSpaceDE w:val="0"/>
        <w:autoSpaceDN w:val="0"/>
        <w:spacing w:after="120"/>
        <w:ind w:left="2268" w:right="391"/>
        <w:jc w:val="both"/>
        <w:rPr>
          <w:rFonts w:eastAsia="Arial"/>
          <w:lang w:val="de-DE" w:eastAsia="de-DE" w:bidi="de-DE"/>
        </w:rPr>
      </w:pPr>
      <w:r w:rsidRPr="002D396F">
        <w:rPr>
          <w:rFonts w:eastAsia="Arial"/>
          <w:lang w:val="de-DE" w:eastAsia="de-DE" w:bidi="de-DE"/>
        </w:rPr>
        <w:t>„</w:t>
      </w:r>
      <w:r w:rsidR="00CA19FD" w:rsidRPr="002D396F">
        <w:rPr>
          <w:rFonts w:eastAsia="Arial"/>
          <w:lang w:val="de-DE" w:eastAsia="de-DE" w:bidi="de-DE"/>
        </w:rPr>
        <w:t>Wenn die In-vitro-Prüfergebnisse ergeben, dass der Stoff oder das Gemisch ätzend und nicht der Verpackungsgruppe I zugeordnet ist, aber das Prüfverfahren keine</w:t>
      </w:r>
      <w:r w:rsidR="00CA19FD" w:rsidRPr="002D396F">
        <w:rPr>
          <w:rFonts w:eastAsia="Arial"/>
          <w:spacing w:val="-43"/>
          <w:lang w:val="de-DE" w:eastAsia="de-DE" w:bidi="de-DE"/>
        </w:rPr>
        <w:t xml:space="preserve"> </w:t>
      </w:r>
      <w:r w:rsidR="00CA19FD" w:rsidRPr="002D396F">
        <w:rPr>
          <w:rFonts w:eastAsia="Arial"/>
          <w:lang w:val="de-DE" w:eastAsia="de-DE" w:bidi="de-DE"/>
        </w:rPr>
        <w:t>Abgrenzung zwischen den Verpackungsgruppen II und III zulässt, so gilt der Stoff oder das Gemisch als der Verpackungsgruppe II</w:t>
      </w:r>
      <w:r w:rsidR="00CA19FD" w:rsidRPr="002D396F">
        <w:rPr>
          <w:rFonts w:eastAsia="Arial"/>
          <w:spacing w:val="-4"/>
          <w:lang w:val="de-DE" w:eastAsia="de-DE" w:bidi="de-DE"/>
        </w:rPr>
        <w:t xml:space="preserve"> </w:t>
      </w:r>
      <w:r w:rsidR="00CA19FD" w:rsidRPr="002D396F">
        <w:rPr>
          <w:rFonts w:eastAsia="Arial"/>
          <w:lang w:val="de-DE" w:eastAsia="de-DE" w:bidi="de-DE"/>
        </w:rPr>
        <w:t>zugeordnet.“</w:t>
      </w:r>
      <w:r w:rsidR="00CC4A0E">
        <w:rPr>
          <w:rFonts w:eastAsia="Arial"/>
          <w:lang w:val="de-DE" w:eastAsia="de-DE" w:bidi="de-DE"/>
        </w:rPr>
        <w:t>.</w:t>
      </w:r>
    </w:p>
    <w:p w14:paraId="05BAC771" w14:textId="77777777" w:rsidR="00FC06C9" w:rsidRDefault="00FC06C9">
      <w:pPr>
        <w:suppressAutoHyphens w:val="0"/>
        <w:spacing w:line="240" w:lineRule="auto"/>
        <w:rPr>
          <w:lang w:val="de-DE"/>
        </w:rPr>
      </w:pPr>
      <w:bookmarkStart w:id="17" w:name="_Hlk9931794"/>
      <w:r>
        <w:rPr>
          <w:lang w:val="de-DE"/>
        </w:rPr>
        <w:br w:type="page"/>
      </w:r>
    </w:p>
    <w:p w14:paraId="4F543369" w14:textId="5A0ED2D3" w:rsidR="00DE0C5E" w:rsidRPr="002D396F" w:rsidRDefault="003A1330" w:rsidP="00DE0C5E">
      <w:pPr>
        <w:pStyle w:val="SingleTxtG"/>
        <w:ind w:left="2259" w:hanging="1125"/>
        <w:rPr>
          <w:lang w:val="de-DE"/>
        </w:rPr>
      </w:pPr>
      <w:r w:rsidRPr="002D396F">
        <w:rPr>
          <w:lang w:val="de-DE"/>
        </w:rPr>
        <w:lastRenderedPageBreak/>
        <w:t>2.2.8.1.6.3.3</w:t>
      </w:r>
      <w:bookmarkEnd w:id="17"/>
      <w:r w:rsidRPr="002D396F">
        <w:rPr>
          <w:lang w:val="de-DE"/>
        </w:rPr>
        <w:tab/>
      </w:r>
      <w:r w:rsidR="00DE0C5E" w:rsidRPr="002D396F">
        <w:rPr>
          <w:lang w:val="de-DE"/>
        </w:rPr>
        <w:t>Am Ende folgenden Satz hinzufügen:</w:t>
      </w:r>
    </w:p>
    <w:p w14:paraId="6C95AA26" w14:textId="15AA81D6" w:rsidR="00DE0C5E" w:rsidRPr="002D396F" w:rsidRDefault="00DE0C5E" w:rsidP="00DE0C5E">
      <w:pPr>
        <w:pStyle w:val="SingleTxtG"/>
        <w:ind w:left="2259" w:firstLine="9"/>
        <w:rPr>
          <w:lang w:val="de-DE"/>
        </w:rPr>
      </w:pPr>
      <w:r w:rsidRPr="002D396F">
        <w:rPr>
          <w:lang w:val="de-DE"/>
        </w:rPr>
        <w:t>„Für diese Berechnungsmethode gelten allgemeine Konzentrationsgrenzwerte, wenn im ersten Schritt für die Bewertung von Stoffen der Verpackungsgruppe I 1 % bzw. in den übrigen Schritten 5 % verwendet wird.“</w:t>
      </w:r>
      <w:r w:rsidR="00CC4A0E">
        <w:rPr>
          <w:lang w:val="de-DE"/>
        </w:rPr>
        <w:t>.</w:t>
      </w:r>
    </w:p>
    <w:p w14:paraId="0AA7B6A4" w14:textId="6ECE11A3" w:rsidR="003A1330" w:rsidRPr="002D396F" w:rsidRDefault="003A1330" w:rsidP="003A1330">
      <w:pPr>
        <w:pStyle w:val="SingleTxtG"/>
        <w:rPr>
          <w:i/>
          <w:iCs/>
          <w:lang w:val="de-DE"/>
        </w:rPr>
      </w:pPr>
      <w:r w:rsidRPr="002D396F">
        <w:rPr>
          <w:i/>
          <w:iCs/>
          <w:lang w:val="de-DE"/>
        </w:rPr>
        <w:t>(</w:t>
      </w:r>
      <w:r w:rsidR="006511D9" w:rsidRPr="002D396F">
        <w:rPr>
          <w:i/>
          <w:iCs/>
          <w:lang w:val="de-DE"/>
        </w:rPr>
        <w:t>Korrektur der 20. revidierten Fassung der Modellvorschriften</w:t>
      </w:r>
      <w:r w:rsidRPr="002D396F">
        <w:rPr>
          <w:i/>
          <w:iCs/>
          <w:lang w:val="de-DE"/>
        </w:rPr>
        <w:t>)</w:t>
      </w:r>
    </w:p>
    <w:p w14:paraId="5F166EA5" w14:textId="22D60A52" w:rsidR="003A1330" w:rsidRPr="002D396F" w:rsidRDefault="003A1330" w:rsidP="00005C41">
      <w:pPr>
        <w:pStyle w:val="SingleTxtG"/>
        <w:tabs>
          <w:tab w:val="left" w:pos="2268"/>
        </w:tabs>
        <w:rPr>
          <w:lang w:val="de-DE"/>
        </w:rPr>
      </w:pPr>
      <w:r w:rsidRPr="002D396F">
        <w:rPr>
          <w:lang w:val="de-DE"/>
        </w:rPr>
        <w:t>2.2.8.1.6.3.4</w:t>
      </w:r>
      <w:r w:rsidR="00005C41" w:rsidRPr="002D396F">
        <w:rPr>
          <w:lang w:val="de-DE"/>
        </w:rPr>
        <w:t xml:space="preserve"> </w:t>
      </w:r>
      <w:r w:rsidR="00005C41" w:rsidRPr="002D396F">
        <w:rPr>
          <w:lang w:val="de-DE"/>
        </w:rPr>
        <w:tab/>
        <w:t>Den letzten Satz streichen</w:t>
      </w:r>
      <w:r w:rsidRPr="002D396F">
        <w:rPr>
          <w:lang w:val="de-DE"/>
        </w:rPr>
        <w:t>.</w:t>
      </w:r>
    </w:p>
    <w:p w14:paraId="7A9F8B33" w14:textId="52A70162" w:rsidR="003A1330" w:rsidRPr="002D396F" w:rsidRDefault="003A1330" w:rsidP="003A1330">
      <w:pPr>
        <w:pStyle w:val="SingleTxtG"/>
        <w:rPr>
          <w:i/>
          <w:iCs/>
          <w:lang w:val="de-DE"/>
        </w:rPr>
      </w:pPr>
      <w:r w:rsidRPr="002D396F">
        <w:rPr>
          <w:i/>
          <w:iCs/>
          <w:lang w:val="de-DE"/>
        </w:rPr>
        <w:t>(</w:t>
      </w:r>
      <w:r w:rsidR="006511D9" w:rsidRPr="002D396F">
        <w:rPr>
          <w:i/>
          <w:iCs/>
          <w:lang w:val="de-DE"/>
        </w:rPr>
        <w:t>Korrektur der 20. revidierten Fassung der Modellvorschriften</w:t>
      </w:r>
      <w:r w:rsidRPr="002D396F">
        <w:rPr>
          <w:i/>
          <w:iCs/>
          <w:lang w:val="de-DE"/>
        </w:rPr>
        <w:t>)</w:t>
      </w:r>
    </w:p>
    <w:p w14:paraId="3CD129B1" w14:textId="103CD2DE" w:rsidR="00C3746A" w:rsidRPr="00CC4A0E" w:rsidRDefault="003A1330" w:rsidP="00C3746A">
      <w:pPr>
        <w:pStyle w:val="SingleTxtG"/>
        <w:ind w:left="2259" w:hanging="1125"/>
        <w:rPr>
          <w:lang w:val="de-DE"/>
        </w:rPr>
      </w:pPr>
      <w:r w:rsidRPr="002D396F">
        <w:rPr>
          <w:lang w:val="de-DE" w:eastAsia="en-GB"/>
        </w:rPr>
        <w:t>2.2.9.3</w:t>
      </w:r>
      <w:r w:rsidRPr="002D396F">
        <w:rPr>
          <w:lang w:val="de-DE"/>
        </w:rPr>
        <w:tab/>
      </w:r>
      <w:r w:rsidR="00C3746A" w:rsidRPr="002D396F">
        <w:rPr>
          <w:lang w:val="de-DE"/>
        </w:rPr>
        <w:t xml:space="preserve">Unter „andere Stoffe und Gegenstände, die während der Beförderung eine Gefahr darstellen und nicht unter die Definition einer anderen Klasse fallen, M11“ vor „3363 </w:t>
      </w:r>
      <w:r w:rsidR="004A1DCE" w:rsidRPr="00CC4A0E">
        <w:rPr>
          <w:rFonts w:eastAsiaTheme="minorEastAsia"/>
          <w:sz w:val="18"/>
          <w:szCs w:val="18"/>
          <w:lang w:val="de-DE" w:eastAsia="zh-CN"/>
        </w:rPr>
        <w:t xml:space="preserve">GEFÄHRLICHE GÜTER IN MASCHINEN </w:t>
      </w:r>
      <w:r w:rsidR="00C3746A" w:rsidRPr="00CC4A0E">
        <w:rPr>
          <w:lang w:val="de-DE"/>
        </w:rPr>
        <w:t>oder“ einfügen:</w:t>
      </w:r>
    </w:p>
    <w:p w14:paraId="0FEE5777" w14:textId="4DFE1141" w:rsidR="00C3746A" w:rsidRPr="002D396F" w:rsidRDefault="00C3746A" w:rsidP="00C3746A">
      <w:pPr>
        <w:pStyle w:val="SingleTxtG"/>
        <w:ind w:left="2259" w:firstLine="9"/>
        <w:rPr>
          <w:lang w:val="de-DE"/>
        </w:rPr>
      </w:pPr>
      <w:r w:rsidRPr="002D396F">
        <w:rPr>
          <w:lang w:val="de-DE"/>
        </w:rPr>
        <w:t>„3363 GEFÄHRLICHE GÜTER IN GEGENSTÄNDEN oder“.</w:t>
      </w:r>
    </w:p>
    <w:p w14:paraId="49423EE7" w14:textId="3C17E897" w:rsidR="003A1330" w:rsidRPr="002D396F" w:rsidRDefault="003A1330" w:rsidP="003A1330">
      <w:pPr>
        <w:pStyle w:val="H1G"/>
        <w:rPr>
          <w:lang w:val="de-DE"/>
        </w:rPr>
      </w:pPr>
      <w:r w:rsidRPr="002D396F">
        <w:rPr>
          <w:lang w:val="de-DE"/>
        </w:rPr>
        <w:tab/>
      </w:r>
      <w:r w:rsidRPr="002D396F">
        <w:rPr>
          <w:lang w:val="de-DE"/>
        </w:rPr>
        <w:tab/>
      </w:r>
      <w:r w:rsidR="00C3746A" w:rsidRPr="002D396F">
        <w:rPr>
          <w:lang w:val="de-DE"/>
        </w:rPr>
        <w:t>Kapitel</w:t>
      </w:r>
      <w:r w:rsidRPr="002D396F">
        <w:rPr>
          <w:lang w:val="de-DE"/>
        </w:rPr>
        <w:t xml:space="preserve"> 3.1</w:t>
      </w:r>
    </w:p>
    <w:p w14:paraId="36EAE622" w14:textId="77777777" w:rsidR="0055371E" w:rsidRPr="002D396F" w:rsidRDefault="003A1330" w:rsidP="0055371E">
      <w:pPr>
        <w:pStyle w:val="SingleTxtG"/>
        <w:ind w:left="2259" w:hanging="1125"/>
        <w:rPr>
          <w:lang w:val="de-DE"/>
        </w:rPr>
      </w:pPr>
      <w:r w:rsidRPr="002D396F">
        <w:rPr>
          <w:lang w:val="de-DE"/>
        </w:rPr>
        <w:t>3.1.2.8.1.4</w:t>
      </w:r>
      <w:r w:rsidRPr="002D396F">
        <w:rPr>
          <w:lang w:val="de-DE"/>
        </w:rPr>
        <w:tab/>
      </w:r>
      <w:r w:rsidR="0055371E" w:rsidRPr="002D396F">
        <w:rPr>
          <w:lang w:val="de-DE"/>
        </w:rPr>
        <w:t>Folgenden neuen Absatz 3.1.2.8.1.4 hinzufügen:</w:t>
      </w:r>
    </w:p>
    <w:p w14:paraId="3EA4EAC4" w14:textId="79795C66" w:rsidR="0055371E" w:rsidRPr="002D396F" w:rsidRDefault="0055371E" w:rsidP="0055371E">
      <w:pPr>
        <w:pStyle w:val="SingleTxtG"/>
        <w:ind w:left="2259" w:hanging="1125"/>
        <w:rPr>
          <w:lang w:val="de-DE"/>
        </w:rPr>
      </w:pPr>
      <w:r w:rsidRPr="002D396F">
        <w:rPr>
          <w:lang w:val="de-DE"/>
        </w:rPr>
        <w:t>„3.1.2.8.1.4 Nur bei den UN-Nummern 3077 und 3082 darf die technische Benennung eine Benennung sein, die in Kapitel 3.2 Tabelle A Spalte 2 in Großbuchstaben angegeben ist, vorausgesetzt, diese Benennung enthält nicht die Bezeichnung „N.A.G.“ und die Sondervorschrift 274 ist [ihr] nicht zugeordnet. Es ist die Benennung zu verwenden, die den Stoff oder das Gemisch am zutreffendsten beschreibt, z. B.:</w:t>
      </w:r>
    </w:p>
    <w:p w14:paraId="4474E288" w14:textId="77777777" w:rsidR="0055371E" w:rsidRPr="002D396F" w:rsidRDefault="0055371E" w:rsidP="0055371E">
      <w:pPr>
        <w:pStyle w:val="SingleTxtG"/>
        <w:ind w:left="2259" w:firstLine="9"/>
        <w:rPr>
          <w:lang w:val="de-DE"/>
        </w:rPr>
      </w:pPr>
      <w:r w:rsidRPr="002D396F">
        <w:rPr>
          <w:lang w:val="de-DE"/>
        </w:rPr>
        <w:t>UN 3082, UMWELTGEFÄHRDENDER STOFF, FLÜSSIG, N.A.G. (FARBE)</w:t>
      </w:r>
    </w:p>
    <w:p w14:paraId="59107005" w14:textId="2973E313" w:rsidR="0055371E" w:rsidRPr="002D396F" w:rsidRDefault="0055371E" w:rsidP="0055371E">
      <w:pPr>
        <w:pStyle w:val="SingleTxtG"/>
        <w:ind w:left="2259" w:firstLine="9"/>
        <w:rPr>
          <w:lang w:val="de-DE"/>
        </w:rPr>
      </w:pPr>
      <w:r w:rsidRPr="002D396F">
        <w:rPr>
          <w:lang w:val="de-DE"/>
        </w:rPr>
        <w:t>UN 3082, UMWELTGEFÄHRDENDER STOFF, FLÜSSIG, N.A.G. (PARFÜMERIEERZEUGNISSE).“</w:t>
      </w:r>
      <w:r w:rsidR="00CC4A0E">
        <w:rPr>
          <w:lang w:val="de-DE"/>
        </w:rPr>
        <w:t>.</w:t>
      </w:r>
    </w:p>
    <w:p w14:paraId="6B1B4B41" w14:textId="3F7CA920" w:rsidR="003A1330" w:rsidRPr="002D396F" w:rsidRDefault="003A1330" w:rsidP="003A1330">
      <w:pPr>
        <w:pStyle w:val="H1G"/>
        <w:rPr>
          <w:lang w:val="de-DE"/>
        </w:rPr>
      </w:pPr>
      <w:r w:rsidRPr="002D396F">
        <w:rPr>
          <w:lang w:val="de-DE"/>
        </w:rPr>
        <w:tab/>
      </w:r>
      <w:r w:rsidRPr="002D396F">
        <w:rPr>
          <w:lang w:val="de-DE"/>
        </w:rPr>
        <w:tab/>
      </w:r>
      <w:r w:rsidR="0055371E" w:rsidRPr="002D396F">
        <w:rPr>
          <w:lang w:val="de-DE"/>
        </w:rPr>
        <w:t>Kapitel</w:t>
      </w:r>
      <w:r w:rsidRPr="002D396F">
        <w:rPr>
          <w:lang w:val="de-DE"/>
        </w:rPr>
        <w:t xml:space="preserve"> 3.2, Tab</w:t>
      </w:r>
      <w:r w:rsidR="0055371E" w:rsidRPr="002D396F">
        <w:rPr>
          <w:lang w:val="de-DE"/>
        </w:rPr>
        <w:t>elle</w:t>
      </w:r>
      <w:r w:rsidRPr="002D396F">
        <w:rPr>
          <w:lang w:val="de-DE"/>
        </w:rPr>
        <w:t xml:space="preserve"> A</w:t>
      </w:r>
    </w:p>
    <w:p w14:paraId="1122F986" w14:textId="36E3E5D1" w:rsidR="003A1330" w:rsidRPr="002D396F" w:rsidRDefault="00686CF3" w:rsidP="003A1330">
      <w:pPr>
        <w:pStyle w:val="SingleTxtG"/>
        <w:ind w:left="2259" w:hanging="1125"/>
        <w:rPr>
          <w:lang w:val="de-DE"/>
        </w:rPr>
      </w:pPr>
      <w:r w:rsidRPr="002D396F">
        <w:rPr>
          <w:lang w:val="de-DE"/>
        </w:rPr>
        <w:t>Folgende neue Eintragungen einfügen</w:t>
      </w:r>
      <w:r w:rsidR="003A1330" w:rsidRPr="002D396F">
        <w:rPr>
          <w:lang w:val="de-DE"/>
        </w:rPr>
        <w:t>:</w:t>
      </w:r>
    </w:p>
    <w:p w14:paraId="05CB355E" w14:textId="033900C1" w:rsidR="003A1330" w:rsidRPr="002D396F" w:rsidRDefault="003A1330" w:rsidP="003A1330">
      <w:pPr>
        <w:pStyle w:val="SingleTxtG"/>
        <w:ind w:left="2259" w:hanging="1125"/>
        <w:rPr>
          <w:b/>
          <w:bCs/>
          <w:lang w:val="de-DE"/>
        </w:rPr>
      </w:pPr>
      <w:r w:rsidRPr="002D396F">
        <w:rPr>
          <w:b/>
          <w:bCs/>
          <w:lang w:val="de-DE"/>
        </w:rPr>
        <w:t>(ADN:)</w:t>
      </w:r>
    </w:p>
    <w:tbl>
      <w:tblPr>
        <w:tblStyle w:val="TableNormal2"/>
        <w:tblW w:w="99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425"/>
        <w:gridCol w:w="567"/>
        <w:gridCol w:w="425"/>
        <w:gridCol w:w="569"/>
        <w:gridCol w:w="425"/>
        <w:gridCol w:w="425"/>
        <w:gridCol w:w="425"/>
        <w:gridCol w:w="567"/>
        <w:gridCol w:w="567"/>
        <w:gridCol w:w="425"/>
        <w:gridCol w:w="569"/>
        <w:gridCol w:w="567"/>
        <w:gridCol w:w="567"/>
      </w:tblGrid>
      <w:tr w:rsidR="00686CF3" w:rsidRPr="00CC4A0E" w14:paraId="4AA6C538" w14:textId="77777777" w:rsidTr="008C1882">
        <w:trPr>
          <w:trHeight w:val="182"/>
        </w:trPr>
        <w:tc>
          <w:tcPr>
            <w:tcW w:w="562" w:type="dxa"/>
          </w:tcPr>
          <w:p w14:paraId="579A366B" w14:textId="77777777" w:rsidR="00686CF3" w:rsidRPr="00CC4A0E" w:rsidRDefault="00686CF3" w:rsidP="00686CF3">
            <w:pPr>
              <w:suppressAutoHyphens w:val="0"/>
              <w:spacing w:line="162" w:lineRule="exact"/>
              <w:ind w:left="50" w:right="38"/>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w:t>
            </w:r>
          </w:p>
        </w:tc>
        <w:tc>
          <w:tcPr>
            <w:tcW w:w="2837" w:type="dxa"/>
          </w:tcPr>
          <w:p w14:paraId="52267D1D" w14:textId="77777777" w:rsidR="00686CF3" w:rsidRPr="00CC4A0E" w:rsidRDefault="00686CF3" w:rsidP="00686CF3">
            <w:pPr>
              <w:suppressAutoHyphens w:val="0"/>
              <w:spacing w:line="162" w:lineRule="exact"/>
              <w:ind w:left="1301" w:right="1290"/>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(2)</w:t>
            </w:r>
          </w:p>
        </w:tc>
        <w:tc>
          <w:tcPr>
            <w:tcW w:w="425" w:type="dxa"/>
          </w:tcPr>
          <w:p w14:paraId="299A9E00" w14:textId="77777777" w:rsidR="00686CF3" w:rsidRPr="00CC4A0E" w:rsidRDefault="00686CF3" w:rsidP="00686CF3">
            <w:pPr>
              <w:suppressAutoHyphens w:val="0"/>
              <w:spacing w:line="162" w:lineRule="exact"/>
              <w:ind w:left="46" w:right="41"/>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(3a)</w:t>
            </w:r>
          </w:p>
        </w:tc>
        <w:tc>
          <w:tcPr>
            <w:tcW w:w="567" w:type="dxa"/>
          </w:tcPr>
          <w:p w14:paraId="2BAC1F06" w14:textId="77777777" w:rsidR="00686CF3" w:rsidRPr="00CC4A0E" w:rsidRDefault="00686CF3" w:rsidP="00686CF3">
            <w:pPr>
              <w:suppressAutoHyphens w:val="0"/>
              <w:spacing w:line="162" w:lineRule="exact"/>
              <w:ind w:left="138"/>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(3b)</w:t>
            </w:r>
          </w:p>
        </w:tc>
        <w:tc>
          <w:tcPr>
            <w:tcW w:w="425" w:type="dxa"/>
          </w:tcPr>
          <w:p w14:paraId="052EE56D" w14:textId="77777777" w:rsidR="00686CF3" w:rsidRPr="00CC4A0E" w:rsidRDefault="00686CF3" w:rsidP="00686CF3">
            <w:pPr>
              <w:suppressAutoHyphens w:val="0"/>
              <w:spacing w:line="162" w:lineRule="exact"/>
              <w:ind w:left="113"/>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(4)</w:t>
            </w:r>
          </w:p>
        </w:tc>
        <w:tc>
          <w:tcPr>
            <w:tcW w:w="569" w:type="dxa"/>
          </w:tcPr>
          <w:p w14:paraId="73243B92" w14:textId="77777777" w:rsidR="00686CF3" w:rsidRPr="00CC4A0E" w:rsidRDefault="00686CF3" w:rsidP="00686CF3">
            <w:pPr>
              <w:suppressAutoHyphens w:val="0"/>
              <w:spacing w:line="162" w:lineRule="exact"/>
              <w:ind w:left="185"/>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(5)</w:t>
            </w:r>
          </w:p>
        </w:tc>
        <w:tc>
          <w:tcPr>
            <w:tcW w:w="425" w:type="dxa"/>
          </w:tcPr>
          <w:p w14:paraId="500E39FD" w14:textId="77777777" w:rsidR="00686CF3" w:rsidRPr="00CC4A0E" w:rsidRDefault="00686CF3" w:rsidP="00686CF3">
            <w:pPr>
              <w:suppressAutoHyphens w:val="0"/>
              <w:spacing w:line="162" w:lineRule="exact"/>
              <w:ind w:left="113"/>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(6)</w:t>
            </w:r>
          </w:p>
        </w:tc>
        <w:tc>
          <w:tcPr>
            <w:tcW w:w="425" w:type="dxa"/>
          </w:tcPr>
          <w:p w14:paraId="4CD372C1" w14:textId="77777777" w:rsidR="00686CF3" w:rsidRPr="00CC4A0E" w:rsidRDefault="00686CF3" w:rsidP="00686CF3">
            <w:pPr>
              <w:suppressAutoHyphens w:val="0"/>
              <w:spacing w:line="162" w:lineRule="exact"/>
              <w:ind w:left="45" w:right="42"/>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(7a)</w:t>
            </w:r>
          </w:p>
        </w:tc>
        <w:tc>
          <w:tcPr>
            <w:tcW w:w="425" w:type="dxa"/>
          </w:tcPr>
          <w:p w14:paraId="66E639C4" w14:textId="77777777" w:rsidR="00686CF3" w:rsidRPr="00CC4A0E" w:rsidRDefault="00686CF3" w:rsidP="00686CF3">
            <w:pPr>
              <w:suppressAutoHyphens w:val="0"/>
              <w:spacing w:line="162" w:lineRule="exact"/>
              <w:ind w:left="44" w:right="42"/>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(7b)</w:t>
            </w:r>
          </w:p>
        </w:tc>
        <w:tc>
          <w:tcPr>
            <w:tcW w:w="567" w:type="dxa"/>
          </w:tcPr>
          <w:p w14:paraId="2943045F" w14:textId="77777777" w:rsidR="00686CF3" w:rsidRPr="00CC4A0E" w:rsidRDefault="00686CF3" w:rsidP="00686CF3">
            <w:pPr>
              <w:suppressAutoHyphens w:val="0"/>
              <w:spacing w:line="162" w:lineRule="exact"/>
              <w:ind w:left="184"/>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(8)</w:t>
            </w:r>
          </w:p>
        </w:tc>
        <w:tc>
          <w:tcPr>
            <w:tcW w:w="567" w:type="dxa"/>
          </w:tcPr>
          <w:p w14:paraId="0B0B8722" w14:textId="77777777" w:rsidR="00686CF3" w:rsidRPr="00CC4A0E" w:rsidRDefault="00686CF3" w:rsidP="00686CF3">
            <w:pPr>
              <w:suppressAutoHyphens w:val="0"/>
              <w:spacing w:line="162" w:lineRule="exact"/>
              <w:ind w:left="183"/>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(9)</w:t>
            </w:r>
          </w:p>
        </w:tc>
        <w:tc>
          <w:tcPr>
            <w:tcW w:w="425" w:type="dxa"/>
          </w:tcPr>
          <w:p w14:paraId="544BD5ED" w14:textId="77777777" w:rsidR="00686CF3" w:rsidRPr="00CC4A0E" w:rsidRDefault="00686CF3" w:rsidP="00686CF3">
            <w:pPr>
              <w:suppressAutoHyphens w:val="0"/>
              <w:spacing w:line="162" w:lineRule="exact"/>
              <w:ind w:left="68"/>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(10)</w:t>
            </w:r>
          </w:p>
        </w:tc>
        <w:tc>
          <w:tcPr>
            <w:tcW w:w="569" w:type="dxa"/>
          </w:tcPr>
          <w:p w14:paraId="7C5AD63C" w14:textId="77777777" w:rsidR="00686CF3" w:rsidRPr="00CC4A0E" w:rsidRDefault="00686CF3" w:rsidP="00686CF3">
            <w:pPr>
              <w:suppressAutoHyphens w:val="0"/>
              <w:spacing w:line="162" w:lineRule="exact"/>
              <w:ind w:left="137"/>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(11)</w:t>
            </w:r>
          </w:p>
        </w:tc>
        <w:tc>
          <w:tcPr>
            <w:tcW w:w="567" w:type="dxa"/>
          </w:tcPr>
          <w:p w14:paraId="43D9C6A4" w14:textId="77777777" w:rsidR="00686CF3" w:rsidRPr="00CC4A0E" w:rsidRDefault="00686CF3" w:rsidP="00686CF3">
            <w:pPr>
              <w:suppressAutoHyphens w:val="0"/>
              <w:spacing w:line="162" w:lineRule="exact"/>
              <w:ind w:left="137"/>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(12)</w:t>
            </w:r>
          </w:p>
        </w:tc>
        <w:tc>
          <w:tcPr>
            <w:tcW w:w="567" w:type="dxa"/>
          </w:tcPr>
          <w:p w14:paraId="14A64B63" w14:textId="77777777" w:rsidR="00686CF3" w:rsidRPr="00CC4A0E" w:rsidRDefault="00686CF3" w:rsidP="00686CF3">
            <w:pPr>
              <w:suppressAutoHyphens w:val="0"/>
              <w:spacing w:line="162" w:lineRule="exact"/>
              <w:ind w:left="136"/>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(13)</w:t>
            </w:r>
          </w:p>
        </w:tc>
      </w:tr>
      <w:tr w:rsidR="00686CF3" w:rsidRPr="00CC4A0E" w14:paraId="3E412F2A" w14:textId="77777777" w:rsidTr="008C1882">
        <w:trPr>
          <w:trHeight w:val="369"/>
        </w:trPr>
        <w:tc>
          <w:tcPr>
            <w:tcW w:w="562" w:type="dxa"/>
          </w:tcPr>
          <w:p w14:paraId="7AE8CE48" w14:textId="77777777" w:rsidR="00686CF3" w:rsidRPr="00CC4A0E" w:rsidRDefault="00686CF3" w:rsidP="008C1882">
            <w:pPr>
              <w:suppressAutoHyphens w:val="0"/>
              <w:spacing w:line="183" w:lineRule="exact"/>
              <w:ind w:left="-342" w:right="37" w:firstLine="392"/>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0511</w:t>
            </w:r>
          </w:p>
        </w:tc>
        <w:tc>
          <w:tcPr>
            <w:tcW w:w="2837" w:type="dxa"/>
          </w:tcPr>
          <w:p w14:paraId="0B58F53E" w14:textId="797EAC0C" w:rsidR="00686CF3" w:rsidRPr="00CC4A0E" w:rsidRDefault="00686CF3" w:rsidP="00C17D33">
            <w:pPr>
              <w:suppressAutoHyphens w:val="0"/>
              <w:spacing w:line="182" w:lineRule="exact"/>
              <w:ind w:left="71"/>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SPRENGKAPSELN, ELEKTRONISCH, programmierbar</w:t>
            </w:r>
          </w:p>
        </w:tc>
        <w:tc>
          <w:tcPr>
            <w:tcW w:w="425" w:type="dxa"/>
          </w:tcPr>
          <w:p w14:paraId="6EC4FCD3" w14:textId="77777777" w:rsidR="00686CF3" w:rsidRPr="00CC4A0E" w:rsidRDefault="00686CF3" w:rsidP="00686CF3">
            <w:pPr>
              <w:suppressAutoHyphens w:val="0"/>
              <w:spacing w:line="183" w:lineRule="exact"/>
              <w:ind w:left="8"/>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w:t>
            </w:r>
          </w:p>
        </w:tc>
        <w:tc>
          <w:tcPr>
            <w:tcW w:w="567" w:type="dxa"/>
          </w:tcPr>
          <w:p w14:paraId="1624186D" w14:textId="77777777" w:rsidR="00686CF3" w:rsidRPr="00CC4A0E" w:rsidRDefault="00686CF3" w:rsidP="00686CF3">
            <w:pPr>
              <w:suppressAutoHyphens w:val="0"/>
              <w:spacing w:line="183" w:lineRule="exact"/>
              <w:ind w:left="116"/>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1.1B</w:t>
            </w:r>
          </w:p>
        </w:tc>
        <w:tc>
          <w:tcPr>
            <w:tcW w:w="425" w:type="dxa"/>
          </w:tcPr>
          <w:p w14:paraId="01C9C520"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9" w:type="dxa"/>
          </w:tcPr>
          <w:p w14:paraId="349C0097"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425" w:type="dxa"/>
          </w:tcPr>
          <w:p w14:paraId="5FCF81E3"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425" w:type="dxa"/>
          </w:tcPr>
          <w:p w14:paraId="36B6DAED" w14:textId="77777777" w:rsidR="00686CF3" w:rsidRPr="00CC4A0E" w:rsidRDefault="00686CF3" w:rsidP="00686CF3">
            <w:pPr>
              <w:suppressAutoHyphens w:val="0"/>
              <w:spacing w:line="183" w:lineRule="exact"/>
              <w:ind w:left="6"/>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0</w:t>
            </w:r>
          </w:p>
        </w:tc>
        <w:tc>
          <w:tcPr>
            <w:tcW w:w="425" w:type="dxa"/>
          </w:tcPr>
          <w:p w14:paraId="1FF97A6F" w14:textId="77777777" w:rsidR="00686CF3" w:rsidRPr="00CC4A0E" w:rsidRDefault="00686CF3" w:rsidP="00686CF3">
            <w:pPr>
              <w:suppressAutoHyphens w:val="0"/>
              <w:spacing w:line="183" w:lineRule="exact"/>
              <w:ind w:left="46" w:right="42"/>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E0</w:t>
            </w:r>
          </w:p>
        </w:tc>
        <w:tc>
          <w:tcPr>
            <w:tcW w:w="567" w:type="dxa"/>
          </w:tcPr>
          <w:p w14:paraId="40DAC0FA"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7" w:type="dxa"/>
          </w:tcPr>
          <w:p w14:paraId="232A09B1"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425" w:type="dxa"/>
          </w:tcPr>
          <w:p w14:paraId="1EC2A119"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9" w:type="dxa"/>
          </w:tcPr>
          <w:p w14:paraId="2BAAEEBC"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7" w:type="dxa"/>
          </w:tcPr>
          <w:p w14:paraId="5795740B"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7" w:type="dxa"/>
          </w:tcPr>
          <w:p w14:paraId="1B91AA5B"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r>
      <w:tr w:rsidR="00686CF3" w:rsidRPr="00CC4A0E" w14:paraId="67E9DD67" w14:textId="77777777" w:rsidTr="008C1882">
        <w:trPr>
          <w:trHeight w:val="366"/>
        </w:trPr>
        <w:tc>
          <w:tcPr>
            <w:tcW w:w="562" w:type="dxa"/>
          </w:tcPr>
          <w:p w14:paraId="65BB2A62" w14:textId="77777777" w:rsidR="00686CF3" w:rsidRPr="00CC4A0E" w:rsidRDefault="00686CF3" w:rsidP="00686CF3">
            <w:pPr>
              <w:suppressAutoHyphens w:val="0"/>
              <w:spacing w:line="180" w:lineRule="exact"/>
              <w:ind w:left="50" w:right="37"/>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0512</w:t>
            </w:r>
          </w:p>
        </w:tc>
        <w:tc>
          <w:tcPr>
            <w:tcW w:w="2837" w:type="dxa"/>
          </w:tcPr>
          <w:p w14:paraId="718F5B82" w14:textId="5F9D49A9" w:rsidR="00686CF3" w:rsidRPr="00CC4A0E" w:rsidRDefault="00686CF3" w:rsidP="00C17D33">
            <w:pPr>
              <w:suppressAutoHyphens w:val="0"/>
              <w:spacing w:line="180" w:lineRule="exact"/>
              <w:ind w:left="71"/>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SPRENGKAPSELN, ELEKTRONISCH, programmierbar</w:t>
            </w:r>
          </w:p>
        </w:tc>
        <w:tc>
          <w:tcPr>
            <w:tcW w:w="425" w:type="dxa"/>
          </w:tcPr>
          <w:p w14:paraId="23B686FC" w14:textId="77777777" w:rsidR="00686CF3" w:rsidRPr="00CC4A0E" w:rsidRDefault="00686CF3" w:rsidP="00686CF3">
            <w:pPr>
              <w:suppressAutoHyphens w:val="0"/>
              <w:spacing w:line="180" w:lineRule="exact"/>
              <w:ind w:left="8"/>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w:t>
            </w:r>
          </w:p>
        </w:tc>
        <w:tc>
          <w:tcPr>
            <w:tcW w:w="567" w:type="dxa"/>
          </w:tcPr>
          <w:p w14:paraId="2C6535A9" w14:textId="77777777" w:rsidR="00686CF3" w:rsidRPr="00CC4A0E" w:rsidRDefault="00686CF3" w:rsidP="00686CF3">
            <w:pPr>
              <w:suppressAutoHyphens w:val="0"/>
              <w:spacing w:line="180" w:lineRule="exact"/>
              <w:ind w:left="116"/>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1.4B</w:t>
            </w:r>
          </w:p>
        </w:tc>
        <w:tc>
          <w:tcPr>
            <w:tcW w:w="425" w:type="dxa"/>
          </w:tcPr>
          <w:p w14:paraId="41C84C24"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9" w:type="dxa"/>
          </w:tcPr>
          <w:p w14:paraId="3C1DE050"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425" w:type="dxa"/>
          </w:tcPr>
          <w:p w14:paraId="613331BB"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425" w:type="dxa"/>
          </w:tcPr>
          <w:p w14:paraId="0407B684" w14:textId="77777777" w:rsidR="00686CF3" w:rsidRPr="00CC4A0E" w:rsidRDefault="00686CF3" w:rsidP="00686CF3">
            <w:pPr>
              <w:suppressAutoHyphens w:val="0"/>
              <w:spacing w:line="180" w:lineRule="exact"/>
              <w:ind w:left="6"/>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0</w:t>
            </w:r>
          </w:p>
        </w:tc>
        <w:tc>
          <w:tcPr>
            <w:tcW w:w="425" w:type="dxa"/>
          </w:tcPr>
          <w:p w14:paraId="36F1A8CA" w14:textId="77777777" w:rsidR="00686CF3" w:rsidRPr="00CC4A0E" w:rsidRDefault="00686CF3" w:rsidP="00686CF3">
            <w:pPr>
              <w:suppressAutoHyphens w:val="0"/>
              <w:spacing w:line="180" w:lineRule="exact"/>
              <w:ind w:left="46" w:right="42"/>
              <w:jc w:val="center"/>
              <w:rPr>
                <w:rFonts w:ascii="Times New Roman" w:eastAsia="Arial" w:hAnsi="Times New Roman"/>
                <w:sz w:val="16"/>
                <w:szCs w:val="16"/>
                <w:lang w:val="de-DE" w:eastAsia="de-DE" w:bidi="de-DE"/>
              </w:rPr>
            </w:pPr>
            <w:r w:rsidRPr="00CC4A0E">
              <w:rPr>
                <w:rFonts w:ascii="Times New Roman" w:eastAsia="Arial" w:hAnsi="Times New Roman"/>
                <w:sz w:val="16"/>
                <w:szCs w:val="16"/>
                <w:lang w:val="de-DE" w:eastAsia="de-DE" w:bidi="de-DE"/>
              </w:rPr>
              <w:t>E0</w:t>
            </w:r>
          </w:p>
        </w:tc>
        <w:tc>
          <w:tcPr>
            <w:tcW w:w="567" w:type="dxa"/>
          </w:tcPr>
          <w:p w14:paraId="6FE5281E"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7" w:type="dxa"/>
          </w:tcPr>
          <w:p w14:paraId="454105D4"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425" w:type="dxa"/>
          </w:tcPr>
          <w:p w14:paraId="6A896477"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9" w:type="dxa"/>
          </w:tcPr>
          <w:p w14:paraId="33E009E4"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7" w:type="dxa"/>
          </w:tcPr>
          <w:p w14:paraId="34E82F71"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c>
          <w:tcPr>
            <w:tcW w:w="567" w:type="dxa"/>
          </w:tcPr>
          <w:p w14:paraId="4A70E40F" w14:textId="77777777" w:rsidR="00686CF3" w:rsidRPr="00CC4A0E" w:rsidRDefault="00686CF3" w:rsidP="00686CF3">
            <w:pPr>
              <w:suppressAutoHyphens w:val="0"/>
              <w:spacing w:line="240" w:lineRule="auto"/>
              <w:rPr>
                <w:rFonts w:ascii="Times New Roman" w:eastAsia="Arial" w:hAnsi="Times New Roman"/>
                <w:sz w:val="16"/>
                <w:szCs w:val="16"/>
                <w:lang w:val="de-DE" w:eastAsia="de-DE" w:bidi="de-DE"/>
              </w:rPr>
            </w:pPr>
          </w:p>
        </w:tc>
      </w:tr>
    </w:tbl>
    <w:tbl>
      <w:tblPr>
        <w:tblStyle w:val="TableNormal3"/>
        <w:tblW w:w="99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837"/>
        <w:gridCol w:w="425"/>
        <w:gridCol w:w="567"/>
        <w:gridCol w:w="425"/>
        <w:gridCol w:w="569"/>
        <w:gridCol w:w="425"/>
        <w:gridCol w:w="425"/>
        <w:gridCol w:w="425"/>
        <w:gridCol w:w="567"/>
        <w:gridCol w:w="567"/>
        <w:gridCol w:w="425"/>
        <w:gridCol w:w="569"/>
        <w:gridCol w:w="567"/>
        <w:gridCol w:w="567"/>
      </w:tblGrid>
      <w:tr w:rsidR="00686CF3" w:rsidRPr="00CC4A0E" w14:paraId="5555CF25" w14:textId="77777777" w:rsidTr="008C1882">
        <w:trPr>
          <w:trHeight w:val="369"/>
        </w:trPr>
        <w:tc>
          <w:tcPr>
            <w:tcW w:w="562" w:type="dxa"/>
          </w:tcPr>
          <w:p w14:paraId="3BCED826" w14:textId="77777777" w:rsidR="00686CF3" w:rsidRPr="00CC4A0E" w:rsidRDefault="00686CF3" w:rsidP="00686CF3">
            <w:pPr>
              <w:suppressAutoHyphens w:val="0"/>
              <w:spacing w:line="183" w:lineRule="exact"/>
              <w:ind w:left="50" w:right="37"/>
              <w:jc w:val="center"/>
              <w:rPr>
                <w:rFonts w:ascii="Times New Roman" w:eastAsia="Arial" w:hAnsi="Times New Roman"/>
                <w:sz w:val="16"/>
                <w:lang w:val="de-DE" w:eastAsia="de-DE" w:bidi="de-DE"/>
              </w:rPr>
            </w:pPr>
            <w:bookmarkStart w:id="18" w:name="_Hlk15551216"/>
            <w:r w:rsidRPr="00CC4A0E">
              <w:rPr>
                <w:rFonts w:ascii="Times New Roman" w:eastAsia="Arial" w:hAnsi="Times New Roman"/>
                <w:sz w:val="16"/>
                <w:lang w:val="de-DE" w:eastAsia="de-DE" w:bidi="de-DE"/>
              </w:rPr>
              <w:t>0513</w:t>
            </w:r>
          </w:p>
        </w:tc>
        <w:tc>
          <w:tcPr>
            <w:tcW w:w="2837" w:type="dxa"/>
          </w:tcPr>
          <w:p w14:paraId="051B9A57" w14:textId="4DFF3732" w:rsidR="00686CF3" w:rsidRPr="00CC4A0E" w:rsidRDefault="00686CF3" w:rsidP="00C17D33">
            <w:pPr>
              <w:suppressAutoHyphens w:val="0"/>
              <w:spacing w:line="182" w:lineRule="exact"/>
              <w:ind w:left="71"/>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SPRENGKAPSELN, ELEKTRONISCH, programmierbar</w:t>
            </w:r>
          </w:p>
        </w:tc>
        <w:tc>
          <w:tcPr>
            <w:tcW w:w="425" w:type="dxa"/>
          </w:tcPr>
          <w:p w14:paraId="0EFCB36E" w14:textId="77777777" w:rsidR="00686CF3" w:rsidRPr="00CC4A0E" w:rsidRDefault="00686CF3" w:rsidP="00686CF3">
            <w:pPr>
              <w:suppressAutoHyphens w:val="0"/>
              <w:spacing w:line="183" w:lineRule="exact"/>
              <w:ind w:left="8"/>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1</w:t>
            </w:r>
          </w:p>
        </w:tc>
        <w:tc>
          <w:tcPr>
            <w:tcW w:w="567" w:type="dxa"/>
          </w:tcPr>
          <w:p w14:paraId="0F7C42CE" w14:textId="77777777" w:rsidR="00686CF3" w:rsidRPr="00CC4A0E" w:rsidRDefault="00686CF3" w:rsidP="00686CF3">
            <w:pPr>
              <w:suppressAutoHyphens w:val="0"/>
              <w:spacing w:line="183" w:lineRule="exact"/>
              <w:ind w:left="80" w:right="75"/>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1.4S</w:t>
            </w:r>
          </w:p>
        </w:tc>
        <w:tc>
          <w:tcPr>
            <w:tcW w:w="425" w:type="dxa"/>
          </w:tcPr>
          <w:p w14:paraId="2D1B8306"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9" w:type="dxa"/>
          </w:tcPr>
          <w:p w14:paraId="137E3AC6"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425" w:type="dxa"/>
          </w:tcPr>
          <w:p w14:paraId="6CA17D3E" w14:textId="77777777" w:rsidR="00686CF3" w:rsidRPr="00CC4A0E" w:rsidRDefault="00686CF3" w:rsidP="00686CF3">
            <w:pPr>
              <w:suppressAutoHyphens w:val="0"/>
              <w:spacing w:line="183" w:lineRule="exact"/>
              <w:ind w:left="77"/>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347</w:t>
            </w:r>
          </w:p>
        </w:tc>
        <w:tc>
          <w:tcPr>
            <w:tcW w:w="425" w:type="dxa"/>
          </w:tcPr>
          <w:p w14:paraId="0A4EA006" w14:textId="77777777" w:rsidR="00686CF3" w:rsidRPr="00CC4A0E" w:rsidRDefault="00686CF3" w:rsidP="00686CF3">
            <w:pPr>
              <w:suppressAutoHyphens w:val="0"/>
              <w:spacing w:line="183" w:lineRule="exact"/>
              <w:ind w:left="6"/>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0</w:t>
            </w:r>
          </w:p>
        </w:tc>
        <w:tc>
          <w:tcPr>
            <w:tcW w:w="425" w:type="dxa"/>
          </w:tcPr>
          <w:p w14:paraId="055DBA42" w14:textId="77777777" w:rsidR="00686CF3" w:rsidRPr="00CC4A0E" w:rsidRDefault="00686CF3" w:rsidP="00686CF3">
            <w:pPr>
              <w:suppressAutoHyphens w:val="0"/>
              <w:spacing w:line="183" w:lineRule="exact"/>
              <w:ind w:left="46" w:right="42"/>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E0</w:t>
            </w:r>
          </w:p>
        </w:tc>
        <w:tc>
          <w:tcPr>
            <w:tcW w:w="567" w:type="dxa"/>
          </w:tcPr>
          <w:p w14:paraId="77BF32AA"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7D07A8E7"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425" w:type="dxa"/>
          </w:tcPr>
          <w:p w14:paraId="29E79D95"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9" w:type="dxa"/>
          </w:tcPr>
          <w:p w14:paraId="359513C1"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3323968D"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775364FA"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r>
      <w:tr w:rsidR="00686CF3" w:rsidRPr="00CC4A0E" w14:paraId="797D6097" w14:textId="77777777" w:rsidTr="008C1882">
        <w:trPr>
          <w:trHeight w:val="918"/>
        </w:trPr>
        <w:tc>
          <w:tcPr>
            <w:tcW w:w="562" w:type="dxa"/>
          </w:tcPr>
          <w:p w14:paraId="57F88FE3" w14:textId="77777777" w:rsidR="00686CF3" w:rsidRPr="00CC4A0E" w:rsidRDefault="00686CF3" w:rsidP="00686CF3">
            <w:pPr>
              <w:suppressAutoHyphens w:val="0"/>
              <w:spacing w:line="180" w:lineRule="exact"/>
              <w:ind w:left="50" w:right="37"/>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3549</w:t>
            </w:r>
          </w:p>
        </w:tc>
        <w:tc>
          <w:tcPr>
            <w:tcW w:w="2837" w:type="dxa"/>
          </w:tcPr>
          <w:p w14:paraId="375AF1A7" w14:textId="69DFFCF7" w:rsidR="00686CF3" w:rsidRPr="00CC4A0E" w:rsidRDefault="00686CF3" w:rsidP="00C17D33">
            <w:pPr>
              <w:suppressAutoHyphens w:val="0"/>
              <w:spacing w:line="240" w:lineRule="auto"/>
              <w:ind w:left="71" w:right="122"/>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MEDIZINISCHE ABFÄLLE, KATEGORIE A, GEFÄHRLICH FÜR MENSCHEN, fest oder MEDIZINISCHE ABFÄLLE, KATEGORIE A, nur GEFÄHRLICH FÜR TIERE, fest</w:t>
            </w:r>
          </w:p>
        </w:tc>
        <w:tc>
          <w:tcPr>
            <w:tcW w:w="425" w:type="dxa"/>
          </w:tcPr>
          <w:p w14:paraId="36F55E5F" w14:textId="77777777" w:rsidR="00686CF3" w:rsidRPr="00CC4A0E" w:rsidRDefault="00686CF3" w:rsidP="00686CF3">
            <w:pPr>
              <w:suppressAutoHyphens w:val="0"/>
              <w:spacing w:line="180" w:lineRule="exact"/>
              <w:ind w:left="46" w:right="38"/>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6.2</w:t>
            </w:r>
          </w:p>
        </w:tc>
        <w:tc>
          <w:tcPr>
            <w:tcW w:w="567" w:type="dxa"/>
          </w:tcPr>
          <w:p w14:paraId="7E324005" w14:textId="77777777" w:rsidR="00686CF3" w:rsidRPr="00CC4A0E" w:rsidRDefault="00686CF3" w:rsidP="00686CF3">
            <w:pPr>
              <w:suppressAutoHyphens w:val="0"/>
              <w:spacing w:line="180" w:lineRule="exact"/>
              <w:ind w:left="80" w:right="71"/>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I3</w:t>
            </w:r>
          </w:p>
        </w:tc>
        <w:tc>
          <w:tcPr>
            <w:tcW w:w="425" w:type="dxa"/>
          </w:tcPr>
          <w:p w14:paraId="68CEF407"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9" w:type="dxa"/>
          </w:tcPr>
          <w:p w14:paraId="6674A641"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425" w:type="dxa"/>
          </w:tcPr>
          <w:p w14:paraId="241AF32B" w14:textId="77777777" w:rsidR="00686CF3" w:rsidRPr="00CC4A0E" w:rsidRDefault="00686CF3" w:rsidP="00686CF3">
            <w:pPr>
              <w:suppressAutoHyphens w:val="0"/>
              <w:spacing w:line="180" w:lineRule="exact"/>
              <w:ind w:left="77"/>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395</w:t>
            </w:r>
          </w:p>
          <w:p w14:paraId="38EF6D26" w14:textId="77777777" w:rsidR="00686CF3" w:rsidRPr="00CC4A0E" w:rsidRDefault="00686CF3" w:rsidP="00686CF3">
            <w:pPr>
              <w:suppressAutoHyphens w:val="0"/>
              <w:spacing w:before="1" w:line="240" w:lineRule="auto"/>
              <w:ind w:left="84"/>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6xx</w:t>
            </w:r>
          </w:p>
        </w:tc>
        <w:tc>
          <w:tcPr>
            <w:tcW w:w="425" w:type="dxa"/>
          </w:tcPr>
          <w:p w14:paraId="543B0AF1" w14:textId="77777777" w:rsidR="00686CF3" w:rsidRPr="00CC4A0E" w:rsidRDefault="00686CF3" w:rsidP="00686CF3">
            <w:pPr>
              <w:suppressAutoHyphens w:val="0"/>
              <w:spacing w:line="180" w:lineRule="exact"/>
              <w:ind w:left="6"/>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0</w:t>
            </w:r>
          </w:p>
        </w:tc>
        <w:tc>
          <w:tcPr>
            <w:tcW w:w="425" w:type="dxa"/>
          </w:tcPr>
          <w:p w14:paraId="781FABF8" w14:textId="77777777" w:rsidR="00686CF3" w:rsidRPr="00CC4A0E" w:rsidRDefault="00686CF3" w:rsidP="00686CF3">
            <w:pPr>
              <w:suppressAutoHyphens w:val="0"/>
              <w:spacing w:line="180" w:lineRule="exact"/>
              <w:ind w:left="46" w:right="42"/>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E0</w:t>
            </w:r>
          </w:p>
        </w:tc>
        <w:tc>
          <w:tcPr>
            <w:tcW w:w="567" w:type="dxa"/>
          </w:tcPr>
          <w:p w14:paraId="721542ED"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34B5656D"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425" w:type="dxa"/>
          </w:tcPr>
          <w:p w14:paraId="2E00CCA8"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9" w:type="dxa"/>
          </w:tcPr>
          <w:p w14:paraId="6FB81C80"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052A41AE"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41266855"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r>
      <w:tr w:rsidR="00686CF3" w:rsidRPr="00CC4A0E" w14:paraId="2907D5CE" w14:textId="77777777" w:rsidTr="008C1882">
        <w:trPr>
          <w:trHeight w:val="1104"/>
        </w:trPr>
        <w:tc>
          <w:tcPr>
            <w:tcW w:w="562" w:type="dxa"/>
          </w:tcPr>
          <w:p w14:paraId="59EF6748" w14:textId="77777777" w:rsidR="00686CF3" w:rsidRPr="00CC4A0E" w:rsidRDefault="00686CF3" w:rsidP="00686CF3">
            <w:pPr>
              <w:suppressAutoHyphens w:val="0"/>
              <w:spacing w:line="179" w:lineRule="exact"/>
              <w:ind w:left="50" w:right="41"/>
              <w:jc w:val="center"/>
              <w:rPr>
                <w:rFonts w:ascii="Times New Roman" w:eastAsia="Arial" w:hAnsi="Times New Roman"/>
                <w:sz w:val="16"/>
                <w:lang w:val="de-DE" w:eastAsia="de-DE" w:bidi="de-DE"/>
              </w:rPr>
            </w:pPr>
            <w:r w:rsidRPr="00CC4A0E">
              <w:rPr>
                <w:rFonts w:ascii="Times New Roman" w:eastAsia="Arial" w:hAnsi="Times New Roman"/>
                <w:b/>
                <w:sz w:val="16"/>
                <w:lang w:val="de-DE" w:eastAsia="de-DE" w:bidi="de-DE"/>
              </w:rPr>
              <w:t>[</w:t>
            </w:r>
            <w:r w:rsidRPr="00CC4A0E">
              <w:rPr>
                <w:rFonts w:ascii="Times New Roman" w:eastAsia="Arial" w:hAnsi="Times New Roman"/>
                <w:sz w:val="16"/>
                <w:lang w:val="de-DE" w:eastAsia="de-DE" w:bidi="de-DE"/>
              </w:rPr>
              <w:t>3549</w:t>
            </w:r>
          </w:p>
        </w:tc>
        <w:tc>
          <w:tcPr>
            <w:tcW w:w="2837" w:type="dxa"/>
          </w:tcPr>
          <w:p w14:paraId="47C61D08" w14:textId="50F87F99" w:rsidR="00686CF3" w:rsidRPr="00CC4A0E" w:rsidRDefault="00686CF3" w:rsidP="00C17D33">
            <w:pPr>
              <w:suppressAutoHyphens w:val="0"/>
              <w:spacing w:line="237" w:lineRule="auto"/>
              <w:ind w:left="71" w:right="122"/>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MEDIZINISCHE ABFÄLLE, KATEGORIE A, GEFÄHRLICH FÜR MENSCHEN, fest oder MEDIZINISCHE ABFÄLLE, KATEGORIE A, nur GEFÄHRLICH FÜR TIERE, fest, in tiefgekühlt verflüssigtem Stickstoff</w:t>
            </w:r>
          </w:p>
        </w:tc>
        <w:tc>
          <w:tcPr>
            <w:tcW w:w="425" w:type="dxa"/>
          </w:tcPr>
          <w:p w14:paraId="16549E37" w14:textId="77777777" w:rsidR="00686CF3" w:rsidRPr="00CC4A0E" w:rsidRDefault="00686CF3" w:rsidP="00686CF3">
            <w:pPr>
              <w:suppressAutoHyphens w:val="0"/>
              <w:spacing w:line="181" w:lineRule="exact"/>
              <w:ind w:left="46" w:right="38"/>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6.2</w:t>
            </w:r>
          </w:p>
        </w:tc>
        <w:tc>
          <w:tcPr>
            <w:tcW w:w="567" w:type="dxa"/>
          </w:tcPr>
          <w:p w14:paraId="47466372" w14:textId="77777777" w:rsidR="00686CF3" w:rsidRPr="00CC4A0E" w:rsidRDefault="00686CF3" w:rsidP="00686CF3">
            <w:pPr>
              <w:suppressAutoHyphens w:val="0"/>
              <w:spacing w:line="181" w:lineRule="exact"/>
              <w:ind w:left="80" w:right="71"/>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I3</w:t>
            </w:r>
          </w:p>
        </w:tc>
        <w:tc>
          <w:tcPr>
            <w:tcW w:w="425" w:type="dxa"/>
          </w:tcPr>
          <w:p w14:paraId="7261E07B"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9" w:type="dxa"/>
          </w:tcPr>
          <w:p w14:paraId="2FEDC73F" w14:textId="77777777" w:rsidR="00686CF3" w:rsidRPr="00CC4A0E" w:rsidRDefault="00686CF3" w:rsidP="00686CF3">
            <w:pPr>
              <w:suppressAutoHyphens w:val="0"/>
              <w:spacing w:line="181" w:lineRule="exact"/>
              <w:ind w:left="125"/>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6.2+</w:t>
            </w:r>
          </w:p>
          <w:p w14:paraId="50017967" w14:textId="77777777" w:rsidR="00686CF3" w:rsidRPr="00CC4A0E" w:rsidRDefault="00686CF3" w:rsidP="00686CF3">
            <w:pPr>
              <w:suppressAutoHyphens w:val="0"/>
              <w:spacing w:line="183" w:lineRule="exact"/>
              <w:ind w:left="171"/>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2.2</w:t>
            </w:r>
          </w:p>
        </w:tc>
        <w:tc>
          <w:tcPr>
            <w:tcW w:w="425" w:type="dxa"/>
          </w:tcPr>
          <w:p w14:paraId="639B4320" w14:textId="77777777" w:rsidR="00686CF3" w:rsidRPr="00CC4A0E" w:rsidRDefault="00686CF3" w:rsidP="00686CF3">
            <w:pPr>
              <w:suppressAutoHyphens w:val="0"/>
              <w:spacing w:line="181" w:lineRule="exact"/>
              <w:ind w:left="77"/>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395</w:t>
            </w:r>
          </w:p>
        </w:tc>
        <w:tc>
          <w:tcPr>
            <w:tcW w:w="425" w:type="dxa"/>
          </w:tcPr>
          <w:p w14:paraId="566B133E" w14:textId="77777777" w:rsidR="00686CF3" w:rsidRPr="00CC4A0E" w:rsidRDefault="00686CF3" w:rsidP="00686CF3">
            <w:pPr>
              <w:suppressAutoHyphens w:val="0"/>
              <w:spacing w:line="181" w:lineRule="exact"/>
              <w:ind w:left="6"/>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0</w:t>
            </w:r>
          </w:p>
        </w:tc>
        <w:tc>
          <w:tcPr>
            <w:tcW w:w="425" w:type="dxa"/>
          </w:tcPr>
          <w:p w14:paraId="64CE0B96" w14:textId="77777777" w:rsidR="00686CF3" w:rsidRPr="00CC4A0E" w:rsidRDefault="00686CF3" w:rsidP="00686CF3">
            <w:pPr>
              <w:suppressAutoHyphens w:val="0"/>
              <w:spacing w:line="181" w:lineRule="exact"/>
              <w:ind w:left="46" w:right="42"/>
              <w:jc w:val="center"/>
              <w:rPr>
                <w:rFonts w:ascii="Times New Roman" w:eastAsia="Arial" w:hAnsi="Times New Roman"/>
                <w:sz w:val="16"/>
                <w:lang w:val="de-DE" w:eastAsia="de-DE" w:bidi="de-DE"/>
              </w:rPr>
            </w:pPr>
            <w:r w:rsidRPr="00CC4A0E">
              <w:rPr>
                <w:rFonts w:ascii="Times New Roman" w:eastAsia="Arial" w:hAnsi="Times New Roman"/>
                <w:sz w:val="16"/>
                <w:lang w:val="de-DE" w:eastAsia="de-DE" w:bidi="de-DE"/>
              </w:rPr>
              <w:t>E0</w:t>
            </w:r>
          </w:p>
        </w:tc>
        <w:tc>
          <w:tcPr>
            <w:tcW w:w="567" w:type="dxa"/>
          </w:tcPr>
          <w:p w14:paraId="4F9F6012"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30355F91"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425" w:type="dxa"/>
          </w:tcPr>
          <w:p w14:paraId="0AA00D07"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9" w:type="dxa"/>
          </w:tcPr>
          <w:p w14:paraId="392086BB"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2FDD8ED3" w14:textId="77777777" w:rsidR="00686CF3" w:rsidRPr="00CC4A0E" w:rsidRDefault="00686CF3" w:rsidP="00686CF3">
            <w:pPr>
              <w:suppressAutoHyphens w:val="0"/>
              <w:spacing w:line="240" w:lineRule="auto"/>
              <w:rPr>
                <w:rFonts w:ascii="Times New Roman" w:eastAsia="Arial" w:hAnsi="Times New Roman"/>
                <w:sz w:val="16"/>
                <w:lang w:val="de-DE" w:eastAsia="de-DE" w:bidi="de-DE"/>
              </w:rPr>
            </w:pPr>
          </w:p>
        </w:tc>
        <w:tc>
          <w:tcPr>
            <w:tcW w:w="567" w:type="dxa"/>
          </w:tcPr>
          <w:p w14:paraId="61BCF4CA" w14:textId="77777777" w:rsidR="00686CF3" w:rsidRPr="00CC4A0E" w:rsidRDefault="00686CF3" w:rsidP="00686CF3">
            <w:pPr>
              <w:suppressAutoHyphens w:val="0"/>
              <w:spacing w:line="179" w:lineRule="exact"/>
              <w:ind w:left="5"/>
              <w:jc w:val="center"/>
              <w:rPr>
                <w:rFonts w:ascii="Times New Roman" w:eastAsia="Arial" w:hAnsi="Times New Roman"/>
                <w:b/>
                <w:sz w:val="16"/>
                <w:lang w:val="de-DE" w:eastAsia="de-DE" w:bidi="de-DE"/>
              </w:rPr>
            </w:pPr>
            <w:r w:rsidRPr="00CC4A0E">
              <w:rPr>
                <w:rFonts w:ascii="Times New Roman" w:eastAsia="Arial" w:hAnsi="Times New Roman"/>
                <w:b/>
                <w:sz w:val="16"/>
                <w:lang w:val="de-DE" w:eastAsia="de-DE" w:bidi="de-DE"/>
              </w:rPr>
              <w:t>]</w:t>
            </w:r>
          </w:p>
        </w:tc>
      </w:tr>
      <w:bookmarkEnd w:id="18"/>
    </w:tbl>
    <w:p w14:paraId="7DBE855A" w14:textId="77777777" w:rsidR="00686CF3" w:rsidRPr="002D396F" w:rsidRDefault="00686CF3" w:rsidP="00CB3958">
      <w:pPr>
        <w:pStyle w:val="SingleTxtG"/>
        <w:tabs>
          <w:tab w:val="left" w:pos="2835"/>
        </w:tabs>
        <w:ind w:left="567" w:right="946"/>
        <w:rPr>
          <w:b/>
          <w:bCs/>
          <w:i/>
          <w:iCs/>
          <w:color w:val="548DD4" w:themeColor="text2" w:themeTint="99"/>
          <w:lang w:val="de-DE"/>
        </w:rPr>
      </w:pPr>
    </w:p>
    <w:p w14:paraId="66D3F52D" w14:textId="22A15C6C" w:rsidR="00686CF3" w:rsidRPr="002D396F" w:rsidRDefault="00686CF3" w:rsidP="00CB3958">
      <w:pPr>
        <w:pStyle w:val="SingleTxtG"/>
        <w:tabs>
          <w:tab w:val="left" w:pos="2835"/>
        </w:tabs>
        <w:ind w:left="567" w:right="946"/>
        <w:rPr>
          <w:i/>
          <w:iCs/>
          <w:color w:val="548DD4" w:themeColor="text2" w:themeTint="99"/>
          <w:lang w:val="de-DE"/>
        </w:rPr>
      </w:pPr>
      <w:r w:rsidRPr="002D396F">
        <w:rPr>
          <w:b/>
          <w:bCs/>
          <w:i/>
          <w:iCs/>
          <w:color w:val="548DD4" w:themeColor="text2" w:themeTint="99"/>
          <w:lang w:val="de-DE"/>
        </w:rPr>
        <w:t>Anmerkung des Sekretariats</w:t>
      </w:r>
      <w:r w:rsidRPr="002D396F">
        <w:rPr>
          <w:i/>
          <w:iCs/>
          <w:color w:val="548DD4" w:themeColor="text2" w:themeTint="99"/>
          <w:lang w:val="de-DE"/>
        </w:rPr>
        <w:t xml:space="preserve">: Die Tabelle A des ADN muss von der informellen Arbeitsgruppe </w:t>
      </w:r>
      <w:r w:rsidR="005445A0">
        <w:rPr>
          <w:i/>
          <w:iCs/>
          <w:color w:val="548DD4" w:themeColor="text2" w:themeTint="99"/>
          <w:lang w:val="de-DE"/>
        </w:rPr>
        <w:t>„</w:t>
      </w:r>
      <w:r w:rsidR="00F519C1">
        <w:rPr>
          <w:i/>
          <w:iCs/>
          <w:color w:val="548DD4" w:themeColor="text2" w:themeTint="99"/>
          <w:lang w:val="de-DE"/>
        </w:rPr>
        <w:t>Stoffe</w:t>
      </w:r>
      <w:r w:rsidR="005445A0">
        <w:rPr>
          <w:i/>
          <w:iCs/>
          <w:color w:val="548DD4" w:themeColor="text2" w:themeTint="99"/>
          <w:lang w:val="de-DE"/>
        </w:rPr>
        <w:t>“</w:t>
      </w:r>
      <w:r w:rsidR="00F519C1">
        <w:rPr>
          <w:i/>
          <w:iCs/>
          <w:color w:val="548DD4" w:themeColor="text2" w:themeTint="99"/>
          <w:lang w:val="de-DE"/>
        </w:rPr>
        <w:t xml:space="preserve"> </w:t>
      </w:r>
      <w:r w:rsidRPr="002D396F">
        <w:rPr>
          <w:i/>
          <w:iCs/>
          <w:color w:val="548DD4" w:themeColor="text2" w:themeTint="99"/>
          <w:lang w:val="de-DE"/>
        </w:rPr>
        <w:t>vervollständigt werden</w:t>
      </w:r>
    </w:p>
    <w:p w14:paraId="06F9F8F2" w14:textId="279CCB0C" w:rsidR="00CB3958" w:rsidRPr="002D396F" w:rsidRDefault="006511D9" w:rsidP="00CB3958">
      <w:pPr>
        <w:pStyle w:val="SingleTxtG"/>
        <w:tabs>
          <w:tab w:val="left" w:pos="2835"/>
        </w:tabs>
        <w:ind w:left="567" w:right="946"/>
        <w:rPr>
          <w:lang w:val="de-DE"/>
        </w:rPr>
      </w:pPr>
      <w:r w:rsidRPr="002D396F">
        <w:rPr>
          <w:b/>
          <w:bCs/>
          <w:i/>
          <w:iCs/>
          <w:color w:val="548DD4" w:themeColor="text2" w:themeTint="99"/>
          <w:lang w:val="de-DE"/>
        </w:rPr>
        <w:lastRenderedPageBreak/>
        <w:t xml:space="preserve">Schlussfolgerungen der </w:t>
      </w:r>
      <w:r w:rsidR="00F13FDA" w:rsidRPr="002D396F">
        <w:rPr>
          <w:b/>
          <w:bCs/>
          <w:i/>
          <w:iCs/>
          <w:color w:val="548DD4" w:themeColor="text2" w:themeTint="99"/>
          <w:lang w:val="de-DE"/>
        </w:rPr>
        <w:t>ad hoc</w:t>
      </w:r>
      <w:r w:rsidRPr="002D396F">
        <w:rPr>
          <w:b/>
          <w:bCs/>
          <w:i/>
          <w:iCs/>
          <w:color w:val="548DD4" w:themeColor="text2" w:themeTint="99"/>
          <w:lang w:val="de-DE"/>
        </w:rPr>
        <w:t>-Arbeitsgruppe</w:t>
      </w:r>
      <w:r w:rsidR="00F13FDA" w:rsidRPr="002D396F">
        <w:rPr>
          <w:lang w:val="de-DE"/>
        </w:rPr>
        <w:t xml:space="preserve">: </w:t>
      </w:r>
    </w:p>
    <w:p w14:paraId="3ED00726" w14:textId="32520C9F" w:rsidR="00F13FDA" w:rsidRPr="002D396F" w:rsidRDefault="00F13FDA" w:rsidP="00CB3958">
      <w:pPr>
        <w:pStyle w:val="SingleTxtG"/>
        <w:tabs>
          <w:tab w:val="left" w:pos="1134"/>
        </w:tabs>
        <w:ind w:left="567" w:right="946"/>
        <w:rPr>
          <w:b/>
          <w:bCs/>
          <w:i/>
          <w:iCs/>
          <w:color w:val="548DD4" w:themeColor="text2" w:themeTint="99"/>
          <w:lang w:val="de-DE"/>
        </w:rPr>
      </w:pPr>
      <w:r w:rsidRPr="002D396F">
        <w:rPr>
          <w:b/>
          <w:bCs/>
          <w:i/>
          <w:iCs/>
          <w:color w:val="548DD4" w:themeColor="text2" w:themeTint="99"/>
          <w:lang w:val="de-DE"/>
        </w:rPr>
        <w:t>UN 3549</w:t>
      </w:r>
      <w:r w:rsidR="009318F6" w:rsidRPr="002D396F">
        <w:rPr>
          <w:b/>
          <w:bCs/>
          <w:i/>
          <w:iCs/>
          <w:color w:val="548DD4" w:themeColor="text2" w:themeTint="99"/>
          <w:lang w:val="de-DE"/>
        </w:rPr>
        <w:t xml:space="preserve"> in </w:t>
      </w:r>
      <w:r w:rsidR="006511D9" w:rsidRPr="002D396F">
        <w:rPr>
          <w:b/>
          <w:bCs/>
          <w:i/>
          <w:iCs/>
          <w:color w:val="548DD4" w:themeColor="text2" w:themeTint="99"/>
          <w:lang w:val="de-DE"/>
        </w:rPr>
        <w:t>tiefgekühlt verflüssigtem Stickstoff</w:t>
      </w:r>
    </w:p>
    <w:p w14:paraId="4DAF0F3A" w14:textId="5584C658" w:rsidR="00F13FDA" w:rsidRPr="002D396F" w:rsidRDefault="006511D9" w:rsidP="00CB3958">
      <w:pPr>
        <w:pStyle w:val="SingleTxtG"/>
        <w:tabs>
          <w:tab w:val="left" w:pos="1134"/>
        </w:tabs>
        <w:ind w:left="567" w:right="946"/>
        <w:rPr>
          <w:i/>
          <w:iCs/>
          <w:color w:val="548DD4" w:themeColor="text2" w:themeTint="99"/>
          <w:lang w:val="de-DE"/>
        </w:rPr>
      </w:pPr>
      <w:r w:rsidRPr="002D396F">
        <w:rPr>
          <w:i/>
          <w:iCs/>
          <w:color w:val="548DD4" w:themeColor="text2" w:themeTint="99"/>
          <w:lang w:val="de-DE"/>
        </w:rPr>
        <w:t>30.</w:t>
      </w:r>
      <w:r w:rsidRPr="002D396F">
        <w:rPr>
          <w:i/>
          <w:iCs/>
          <w:color w:val="548DD4" w:themeColor="text2" w:themeTint="99"/>
          <w:lang w:val="de-DE"/>
        </w:rPr>
        <w:tab/>
        <w:t xml:space="preserve">Die Ansichten </w:t>
      </w:r>
      <w:r w:rsidR="00E87A2F" w:rsidRPr="002D396F">
        <w:rPr>
          <w:i/>
          <w:iCs/>
          <w:color w:val="548DD4" w:themeColor="text2" w:themeTint="99"/>
          <w:lang w:val="de-DE"/>
        </w:rPr>
        <w:t>über die</w:t>
      </w:r>
      <w:r w:rsidRPr="002D396F">
        <w:rPr>
          <w:i/>
          <w:iCs/>
          <w:color w:val="548DD4" w:themeColor="text2" w:themeTint="99"/>
          <w:lang w:val="de-DE"/>
        </w:rPr>
        <w:t xml:space="preserve"> Notwend</w:t>
      </w:r>
      <w:r w:rsidR="009318F6" w:rsidRPr="002D396F">
        <w:rPr>
          <w:i/>
          <w:iCs/>
          <w:color w:val="548DD4" w:themeColor="text2" w:themeTint="99"/>
          <w:lang w:val="de-DE"/>
        </w:rPr>
        <w:t>i</w:t>
      </w:r>
      <w:r w:rsidRPr="002D396F">
        <w:rPr>
          <w:i/>
          <w:iCs/>
          <w:color w:val="548DD4" w:themeColor="text2" w:themeTint="99"/>
          <w:lang w:val="de-DE"/>
        </w:rPr>
        <w:t>gkeit eine</w:t>
      </w:r>
      <w:r w:rsidR="00B17ED6" w:rsidRPr="002D396F">
        <w:rPr>
          <w:i/>
          <w:iCs/>
          <w:color w:val="548DD4" w:themeColor="text2" w:themeTint="99"/>
          <w:lang w:val="de-DE"/>
        </w:rPr>
        <w:t>r</w:t>
      </w:r>
      <w:r w:rsidRPr="002D396F">
        <w:rPr>
          <w:i/>
          <w:iCs/>
          <w:color w:val="548DD4" w:themeColor="text2" w:themeTint="99"/>
          <w:lang w:val="de-DE"/>
        </w:rPr>
        <w:t xml:space="preserve"> spezifischen Eintrag</w:t>
      </w:r>
      <w:r w:rsidR="00B17ED6" w:rsidRPr="002D396F">
        <w:rPr>
          <w:i/>
          <w:iCs/>
          <w:color w:val="548DD4" w:themeColor="text2" w:themeTint="99"/>
          <w:lang w:val="de-DE"/>
        </w:rPr>
        <w:t>ung</w:t>
      </w:r>
      <w:r w:rsidRPr="002D396F">
        <w:rPr>
          <w:i/>
          <w:iCs/>
          <w:color w:val="548DD4" w:themeColor="text2" w:themeTint="99"/>
          <w:lang w:val="de-DE"/>
        </w:rPr>
        <w:t xml:space="preserve"> für Abfälle nach </w:t>
      </w:r>
      <w:r w:rsidR="00F13FDA" w:rsidRPr="002D396F">
        <w:rPr>
          <w:i/>
          <w:iCs/>
          <w:color w:val="548DD4" w:themeColor="text2" w:themeTint="99"/>
          <w:lang w:val="de-DE"/>
        </w:rPr>
        <w:t xml:space="preserve">UN 3549 </w:t>
      </w:r>
      <w:r w:rsidR="009318F6" w:rsidRPr="002D396F">
        <w:rPr>
          <w:i/>
          <w:iCs/>
          <w:color w:val="548DD4" w:themeColor="text2" w:themeTint="99"/>
          <w:lang w:val="de-DE"/>
        </w:rPr>
        <w:t xml:space="preserve">in </w:t>
      </w:r>
      <w:r w:rsidRPr="002D396F">
        <w:rPr>
          <w:i/>
          <w:iCs/>
          <w:color w:val="548DD4" w:themeColor="text2" w:themeTint="99"/>
          <w:lang w:val="de-DE"/>
        </w:rPr>
        <w:t>tiefgekühlt verflüssigtem Stickstoff</w:t>
      </w:r>
      <w:r w:rsidR="009318F6" w:rsidRPr="002D396F">
        <w:rPr>
          <w:i/>
          <w:iCs/>
          <w:color w:val="548DD4" w:themeColor="text2" w:themeTint="99"/>
          <w:lang w:val="de-DE"/>
        </w:rPr>
        <w:t>,</w:t>
      </w:r>
      <w:r w:rsidRPr="002D396F">
        <w:rPr>
          <w:i/>
          <w:iCs/>
          <w:color w:val="548DD4" w:themeColor="text2" w:themeTint="99"/>
          <w:lang w:val="de-DE"/>
        </w:rPr>
        <w:t xml:space="preserve"> wie </w:t>
      </w:r>
      <w:r w:rsidR="00B17ED6" w:rsidRPr="002D396F">
        <w:rPr>
          <w:i/>
          <w:iCs/>
          <w:color w:val="548DD4" w:themeColor="text2" w:themeTint="99"/>
          <w:lang w:val="de-DE"/>
        </w:rPr>
        <w:t xml:space="preserve">diejenige, die </w:t>
      </w:r>
      <w:r w:rsidR="009318F6" w:rsidRPr="002D396F">
        <w:rPr>
          <w:i/>
          <w:iCs/>
          <w:color w:val="548DD4" w:themeColor="text2" w:themeTint="99"/>
          <w:lang w:val="de-DE"/>
        </w:rPr>
        <w:t xml:space="preserve">für </w:t>
      </w:r>
      <w:r w:rsidRPr="002D396F">
        <w:rPr>
          <w:i/>
          <w:iCs/>
          <w:color w:val="548DD4" w:themeColor="text2" w:themeTint="99"/>
          <w:lang w:val="de-DE"/>
        </w:rPr>
        <w:t xml:space="preserve">andere ansteckungsgefährliche Stoffe </w:t>
      </w:r>
      <w:r w:rsidR="00E87A2F" w:rsidRPr="002D396F">
        <w:rPr>
          <w:i/>
          <w:iCs/>
          <w:color w:val="548DD4" w:themeColor="text2" w:themeTint="99"/>
          <w:lang w:val="de-DE"/>
        </w:rPr>
        <w:t>gilt</w:t>
      </w:r>
      <w:r w:rsidR="009318F6" w:rsidRPr="002D396F">
        <w:rPr>
          <w:i/>
          <w:iCs/>
          <w:color w:val="548DD4" w:themeColor="text2" w:themeTint="99"/>
          <w:lang w:val="de-DE"/>
        </w:rPr>
        <w:t xml:space="preserve"> </w:t>
      </w:r>
      <w:r w:rsidR="00F13FDA" w:rsidRPr="002D396F">
        <w:rPr>
          <w:i/>
          <w:iCs/>
          <w:color w:val="548DD4" w:themeColor="text2" w:themeTint="99"/>
          <w:lang w:val="de-DE"/>
        </w:rPr>
        <w:t xml:space="preserve">(UN 2814, 2900 </w:t>
      </w:r>
      <w:r w:rsidR="009318F6" w:rsidRPr="002D396F">
        <w:rPr>
          <w:i/>
          <w:iCs/>
          <w:color w:val="548DD4" w:themeColor="text2" w:themeTint="99"/>
          <w:lang w:val="de-DE"/>
        </w:rPr>
        <w:t>u</w:t>
      </w:r>
      <w:r w:rsidR="00F13FDA" w:rsidRPr="002D396F">
        <w:rPr>
          <w:i/>
          <w:iCs/>
          <w:color w:val="548DD4" w:themeColor="text2" w:themeTint="99"/>
          <w:lang w:val="de-DE"/>
        </w:rPr>
        <w:t>nd 3291)</w:t>
      </w:r>
      <w:r w:rsidR="00E87A2F" w:rsidRPr="002D396F">
        <w:rPr>
          <w:i/>
          <w:iCs/>
          <w:color w:val="548DD4" w:themeColor="text2" w:themeTint="99"/>
          <w:lang w:val="de-DE"/>
        </w:rPr>
        <w:t>,</w:t>
      </w:r>
      <w:r w:rsidR="009318F6" w:rsidRPr="002D396F">
        <w:rPr>
          <w:i/>
          <w:iCs/>
          <w:color w:val="548DD4" w:themeColor="text2" w:themeTint="99"/>
          <w:lang w:val="de-DE"/>
        </w:rPr>
        <w:t xml:space="preserve"> waren geteilt</w:t>
      </w:r>
      <w:r w:rsidR="00F13FDA" w:rsidRPr="002D396F">
        <w:rPr>
          <w:i/>
          <w:iCs/>
          <w:color w:val="548DD4" w:themeColor="text2" w:themeTint="99"/>
          <w:lang w:val="de-DE"/>
        </w:rPr>
        <w:t xml:space="preserve">. </w:t>
      </w:r>
    </w:p>
    <w:p w14:paraId="4FE7F66A" w14:textId="62B8FB55" w:rsidR="00F13FDA" w:rsidRPr="002D396F" w:rsidRDefault="00F13FDA" w:rsidP="00CB3958">
      <w:pPr>
        <w:pStyle w:val="SingleTxtG"/>
        <w:tabs>
          <w:tab w:val="left" w:pos="1134"/>
        </w:tabs>
        <w:ind w:left="567" w:right="946"/>
        <w:rPr>
          <w:i/>
          <w:iCs/>
          <w:color w:val="548DD4" w:themeColor="text2" w:themeTint="99"/>
          <w:lang w:val="de-DE"/>
        </w:rPr>
      </w:pPr>
      <w:r w:rsidRPr="002D396F">
        <w:rPr>
          <w:i/>
          <w:iCs/>
          <w:color w:val="548DD4" w:themeColor="text2" w:themeTint="99"/>
          <w:lang w:val="de-DE"/>
        </w:rPr>
        <w:t>31.</w:t>
      </w:r>
      <w:r w:rsidRPr="002D396F">
        <w:rPr>
          <w:i/>
          <w:iCs/>
          <w:color w:val="548DD4" w:themeColor="text2" w:themeTint="99"/>
          <w:lang w:val="de-DE"/>
        </w:rPr>
        <w:tab/>
      </w:r>
      <w:r w:rsidR="00AF755E" w:rsidRPr="002D396F">
        <w:rPr>
          <w:i/>
          <w:iCs/>
          <w:color w:val="548DD4" w:themeColor="text2" w:themeTint="99"/>
          <w:lang w:val="de-DE"/>
        </w:rPr>
        <w:t xml:space="preserve">Einige Delegationen vertraten die Auffassung, dass </w:t>
      </w:r>
      <w:r w:rsidR="000B660B" w:rsidRPr="002D396F">
        <w:rPr>
          <w:i/>
          <w:iCs/>
          <w:color w:val="548DD4" w:themeColor="text2" w:themeTint="99"/>
          <w:lang w:val="de-DE"/>
        </w:rPr>
        <w:t xml:space="preserve">eine </w:t>
      </w:r>
      <w:r w:rsidR="00AF755E" w:rsidRPr="002D396F">
        <w:rPr>
          <w:i/>
          <w:iCs/>
          <w:color w:val="548DD4" w:themeColor="text2" w:themeTint="99"/>
          <w:lang w:val="de-DE"/>
        </w:rPr>
        <w:t xml:space="preserve">Kühlung </w:t>
      </w:r>
      <w:r w:rsidR="000B660B" w:rsidRPr="002D396F">
        <w:rPr>
          <w:i/>
          <w:iCs/>
          <w:color w:val="548DD4" w:themeColor="text2" w:themeTint="99"/>
          <w:lang w:val="de-DE"/>
        </w:rPr>
        <w:t xml:space="preserve">bei </w:t>
      </w:r>
      <w:r w:rsidR="00AF755E" w:rsidRPr="002D396F">
        <w:rPr>
          <w:i/>
          <w:iCs/>
          <w:color w:val="548DD4" w:themeColor="text2" w:themeTint="99"/>
          <w:lang w:val="de-DE"/>
        </w:rPr>
        <w:t>flüssige</w:t>
      </w:r>
      <w:r w:rsidR="000B660B" w:rsidRPr="002D396F">
        <w:rPr>
          <w:i/>
          <w:iCs/>
          <w:color w:val="548DD4" w:themeColor="text2" w:themeTint="99"/>
          <w:lang w:val="de-DE"/>
        </w:rPr>
        <w:t>n</w:t>
      </w:r>
      <w:r w:rsidR="00AF755E" w:rsidRPr="002D396F">
        <w:rPr>
          <w:i/>
          <w:iCs/>
          <w:color w:val="548DD4" w:themeColor="text2" w:themeTint="99"/>
          <w:lang w:val="de-DE"/>
        </w:rPr>
        <w:t xml:space="preserve"> Abfälle</w:t>
      </w:r>
      <w:r w:rsidR="004C0325" w:rsidRPr="002D396F">
        <w:rPr>
          <w:i/>
          <w:iCs/>
          <w:color w:val="548DD4" w:themeColor="text2" w:themeTint="99"/>
          <w:lang w:val="de-DE"/>
        </w:rPr>
        <w:t>n</w:t>
      </w:r>
      <w:r w:rsidR="00AF755E" w:rsidRPr="002D396F">
        <w:rPr>
          <w:i/>
          <w:iCs/>
          <w:color w:val="548DD4" w:themeColor="text2" w:themeTint="99"/>
          <w:lang w:val="de-DE"/>
        </w:rPr>
        <w:t xml:space="preserve"> </w:t>
      </w:r>
      <w:r w:rsidR="004C0325" w:rsidRPr="002D396F">
        <w:rPr>
          <w:i/>
          <w:iCs/>
          <w:color w:val="548DD4" w:themeColor="text2" w:themeTint="99"/>
          <w:lang w:val="de-DE"/>
        </w:rPr>
        <w:t xml:space="preserve">angemessen </w:t>
      </w:r>
      <w:r w:rsidR="00AF755E" w:rsidRPr="002D396F">
        <w:rPr>
          <w:i/>
          <w:iCs/>
          <w:color w:val="548DD4" w:themeColor="text2" w:themeTint="99"/>
          <w:lang w:val="de-DE"/>
        </w:rPr>
        <w:t xml:space="preserve">wäre, um ein Auslaufen </w:t>
      </w:r>
      <w:r w:rsidR="00E913A5" w:rsidRPr="002D396F">
        <w:rPr>
          <w:i/>
          <w:iCs/>
          <w:color w:val="548DD4" w:themeColor="text2" w:themeTint="99"/>
          <w:lang w:val="de-DE"/>
        </w:rPr>
        <w:t xml:space="preserve">zu vermeiden </w:t>
      </w:r>
      <w:r w:rsidR="00AF755E" w:rsidRPr="002D396F">
        <w:rPr>
          <w:i/>
          <w:iCs/>
          <w:color w:val="548DD4" w:themeColor="text2" w:themeTint="99"/>
          <w:lang w:val="de-DE"/>
        </w:rPr>
        <w:t xml:space="preserve">oder </w:t>
      </w:r>
      <w:r w:rsidR="00E913A5" w:rsidRPr="002D396F">
        <w:rPr>
          <w:i/>
          <w:iCs/>
          <w:color w:val="548DD4" w:themeColor="text2" w:themeTint="99"/>
          <w:lang w:val="de-DE"/>
        </w:rPr>
        <w:t xml:space="preserve">die Vermehrung von Bakterien zu verhindern, waren aber nicht davon überzeugt, dass dies auch bei festen Abfällen erforderlich </w:t>
      </w:r>
      <w:r w:rsidR="00CD6F97" w:rsidRPr="002D396F">
        <w:rPr>
          <w:i/>
          <w:iCs/>
          <w:color w:val="548DD4" w:themeColor="text2" w:themeTint="99"/>
          <w:lang w:val="de-DE"/>
        </w:rPr>
        <w:t>sei</w:t>
      </w:r>
      <w:r w:rsidRPr="002D396F">
        <w:rPr>
          <w:i/>
          <w:iCs/>
          <w:color w:val="548DD4" w:themeColor="text2" w:themeTint="99"/>
          <w:lang w:val="de-DE"/>
        </w:rPr>
        <w:t xml:space="preserve">. </w:t>
      </w:r>
      <w:r w:rsidR="00E913A5" w:rsidRPr="002D396F">
        <w:rPr>
          <w:i/>
          <w:iCs/>
          <w:color w:val="548DD4" w:themeColor="text2" w:themeTint="99"/>
          <w:lang w:val="de-DE"/>
        </w:rPr>
        <w:t xml:space="preserve">Andere wiesen darauf hin, dass </w:t>
      </w:r>
      <w:r w:rsidRPr="002D396F">
        <w:rPr>
          <w:i/>
          <w:iCs/>
          <w:color w:val="548DD4" w:themeColor="text2" w:themeTint="99"/>
          <w:lang w:val="de-DE"/>
        </w:rPr>
        <w:t xml:space="preserve">MP6 </w:t>
      </w:r>
      <w:r w:rsidR="00E913A5" w:rsidRPr="002D396F">
        <w:rPr>
          <w:i/>
          <w:iCs/>
          <w:color w:val="548DD4" w:themeColor="text2" w:themeTint="99"/>
          <w:lang w:val="de-DE"/>
        </w:rPr>
        <w:t>die Verwendung eines Kühlmittels bereits erlaubt</w:t>
      </w:r>
      <w:r w:rsidR="000B660B" w:rsidRPr="002D396F">
        <w:rPr>
          <w:i/>
          <w:iCs/>
          <w:color w:val="548DD4" w:themeColor="text2" w:themeTint="99"/>
          <w:lang w:val="de-DE"/>
        </w:rPr>
        <w:t>,</w:t>
      </w:r>
      <w:r w:rsidR="00E913A5" w:rsidRPr="002D396F">
        <w:rPr>
          <w:i/>
          <w:iCs/>
          <w:color w:val="548DD4" w:themeColor="text2" w:themeTint="99"/>
          <w:lang w:val="de-DE"/>
        </w:rPr>
        <w:t xml:space="preserve"> und waren daher der Ansicht, dass ein</w:t>
      </w:r>
      <w:r w:rsidR="00A676B6" w:rsidRPr="002D396F">
        <w:rPr>
          <w:i/>
          <w:iCs/>
          <w:color w:val="548DD4" w:themeColor="text2" w:themeTint="99"/>
          <w:lang w:val="de-DE"/>
        </w:rPr>
        <w:t>e</w:t>
      </w:r>
      <w:r w:rsidR="00E913A5" w:rsidRPr="002D396F">
        <w:rPr>
          <w:i/>
          <w:iCs/>
          <w:color w:val="548DD4" w:themeColor="text2" w:themeTint="99"/>
          <w:lang w:val="de-DE"/>
        </w:rPr>
        <w:t xml:space="preserve"> zusätzliche Eintrag</w:t>
      </w:r>
      <w:r w:rsidR="00A676B6" w:rsidRPr="002D396F">
        <w:rPr>
          <w:i/>
          <w:iCs/>
          <w:color w:val="548DD4" w:themeColor="text2" w:themeTint="99"/>
          <w:lang w:val="de-DE"/>
        </w:rPr>
        <w:t>ung</w:t>
      </w:r>
      <w:r w:rsidR="00E913A5" w:rsidRPr="002D396F">
        <w:rPr>
          <w:i/>
          <w:iCs/>
          <w:color w:val="548DD4" w:themeColor="text2" w:themeTint="99"/>
          <w:lang w:val="de-DE"/>
        </w:rPr>
        <w:t xml:space="preserve"> zu diesem Zw</w:t>
      </w:r>
      <w:r w:rsidR="000B660B" w:rsidRPr="002D396F">
        <w:rPr>
          <w:i/>
          <w:iCs/>
          <w:color w:val="548DD4" w:themeColor="text2" w:themeTint="99"/>
          <w:lang w:val="de-DE"/>
        </w:rPr>
        <w:t>e</w:t>
      </w:r>
      <w:r w:rsidR="00E913A5" w:rsidRPr="002D396F">
        <w:rPr>
          <w:i/>
          <w:iCs/>
          <w:color w:val="548DD4" w:themeColor="text2" w:themeTint="99"/>
          <w:lang w:val="de-DE"/>
        </w:rPr>
        <w:t xml:space="preserve">ck nicht notwendig </w:t>
      </w:r>
      <w:r w:rsidR="0090424A" w:rsidRPr="002D396F">
        <w:rPr>
          <w:i/>
          <w:iCs/>
          <w:color w:val="548DD4" w:themeColor="text2" w:themeTint="99"/>
          <w:lang w:val="de-DE"/>
        </w:rPr>
        <w:t>sei</w:t>
      </w:r>
      <w:r w:rsidRPr="002D396F">
        <w:rPr>
          <w:i/>
          <w:iCs/>
          <w:color w:val="548DD4" w:themeColor="text2" w:themeTint="99"/>
          <w:lang w:val="de-DE"/>
        </w:rPr>
        <w:t xml:space="preserve">. </w:t>
      </w:r>
      <w:r w:rsidR="00E913A5" w:rsidRPr="002D396F">
        <w:rPr>
          <w:i/>
          <w:iCs/>
          <w:color w:val="548DD4" w:themeColor="text2" w:themeTint="99"/>
          <w:lang w:val="de-DE"/>
        </w:rPr>
        <w:t xml:space="preserve">Es wurde allerdings angemerkt, dass, auch wenn </w:t>
      </w:r>
      <w:r w:rsidRPr="002D396F">
        <w:rPr>
          <w:i/>
          <w:iCs/>
          <w:color w:val="548DD4" w:themeColor="text2" w:themeTint="99"/>
          <w:lang w:val="de-DE"/>
        </w:rPr>
        <w:t xml:space="preserve">MP6 </w:t>
      </w:r>
      <w:r w:rsidR="00E913A5" w:rsidRPr="002D396F">
        <w:rPr>
          <w:i/>
          <w:iCs/>
          <w:color w:val="548DD4" w:themeColor="text2" w:themeTint="99"/>
          <w:lang w:val="de-DE"/>
        </w:rPr>
        <w:t xml:space="preserve">den UN-Nummern </w:t>
      </w:r>
      <w:r w:rsidRPr="002D396F">
        <w:rPr>
          <w:i/>
          <w:iCs/>
          <w:color w:val="548DD4" w:themeColor="text2" w:themeTint="99"/>
          <w:lang w:val="de-DE"/>
        </w:rPr>
        <w:t xml:space="preserve">2814, 2900 </w:t>
      </w:r>
      <w:r w:rsidR="00E913A5" w:rsidRPr="002D396F">
        <w:rPr>
          <w:i/>
          <w:iCs/>
          <w:color w:val="548DD4" w:themeColor="text2" w:themeTint="99"/>
          <w:lang w:val="de-DE"/>
        </w:rPr>
        <w:t>u</w:t>
      </w:r>
      <w:r w:rsidRPr="002D396F">
        <w:rPr>
          <w:i/>
          <w:iCs/>
          <w:color w:val="548DD4" w:themeColor="text2" w:themeTint="99"/>
          <w:lang w:val="de-DE"/>
        </w:rPr>
        <w:t>nd 3291</w:t>
      </w:r>
      <w:r w:rsidR="00E913A5" w:rsidRPr="002D396F">
        <w:rPr>
          <w:i/>
          <w:iCs/>
          <w:color w:val="548DD4" w:themeColor="text2" w:themeTint="99"/>
          <w:lang w:val="de-DE"/>
        </w:rPr>
        <w:t xml:space="preserve"> zugeordnet ist, ein</w:t>
      </w:r>
      <w:r w:rsidR="000B660B" w:rsidRPr="002D396F">
        <w:rPr>
          <w:i/>
          <w:iCs/>
          <w:color w:val="548DD4" w:themeColor="text2" w:themeTint="99"/>
          <w:lang w:val="de-DE"/>
        </w:rPr>
        <w:t>e</w:t>
      </w:r>
      <w:r w:rsidR="00E913A5" w:rsidRPr="002D396F">
        <w:rPr>
          <w:i/>
          <w:iCs/>
          <w:color w:val="548DD4" w:themeColor="text2" w:themeTint="99"/>
          <w:lang w:val="de-DE"/>
        </w:rPr>
        <w:t xml:space="preserve"> zusätzliche Eintrag</w:t>
      </w:r>
      <w:r w:rsidR="000B660B" w:rsidRPr="002D396F">
        <w:rPr>
          <w:i/>
          <w:iCs/>
          <w:color w:val="548DD4" w:themeColor="text2" w:themeTint="99"/>
          <w:lang w:val="de-DE"/>
        </w:rPr>
        <w:t>ung</w:t>
      </w:r>
      <w:r w:rsidR="00E913A5" w:rsidRPr="002D396F">
        <w:rPr>
          <w:i/>
          <w:iCs/>
          <w:color w:val="548DD4" w:themeColor="text2" w:themeTint="99"/>
          <w:lang w:val="de-DE"/>
        </w:rPr>
        <w:t xml:space="preserve"> über die Beförderung in tiefgekühlt verfl</w:t>
      </w:r>
      <w:r w:rsidR="00A91618" w:rsidRPr="002D396F">
        <w:rPr>
          <w:i/>
          <w:iCs/>
          <w:color w:val="548DD4" w:themeColor="text2" w:themeTint="99"/>
          <w:lang w:val="de-DE"/>
        </w:rPr>
        <w:t>ü</w:t>
      </w:r>
      <w:r w:rsidR="00E913A5" w:rsidRPr="002D396F">
        <w:rPr>
          <w:i/>
          <w:iCs/>
          <w:color w:val="548DD4" w:themeColor="text2" w:themeTint="99"/>
          <w:lang w:val="de-DE"/>
        </w:rPr>
        <w:t>ssigtem Stickstoff vorhanden war</w:t>
      </w:r>
      <w:r w:rsidRPr="002D396F">
        <w:rPr>
          <w:i/>
          <w:iCs/>
          <w:color w:val="548DD4" w:themeColor="text2" w:themeTint="99"/>
          <w:lang w:val="de-DE"/>
        </w:rPr>
        <w:t xml:space="preserve">. </w:t>
      </w:r>
      <w:r w:rsidR="00E913A5" w:rsidRPr="002D396F">
        <w:rPr>
          <w:i/>
          <w:iCs/>
          <w:color w:val="548DD4" w:themeColor="text2" w:themeTint="99"/>
          <w:lang w:val="de-DE"/>
        </w:rPr>
        <w:t xml:space="preserve">Einige meinten, dass, wenn die Zuordnung von </w:t>
      </w:r>
      <w:r w:rsidRPr="002D396F">
        <w:rPr>
          <w:i/>
          <w:iCs/>
          <w:color w:val="548DD4" w:themeColor="text2" w:themeTint="99"/>
          <w:lang w:val="de-DE"/>
        </w:rPr>
        <w:t xml:space="preserve">MP6 </w:t>
      </w:r>
      <w:r w:rsidR="00E913A5" w:rsidRPr="002D396F">
        <w:rPr>
          <w:i/>
          <w:iCs/>
          <w:color w:val="548DD4" w:themeColor="text2" w:themeTint="99"/>
          <w:lang w:val="de-DE"/>
        </w:rPr>
        <w:t>zu</w:t>
      </w:r>
      <w:r w:rsidR="0052381F" w:rsidRPr="002D396F">
        <w:rPr>
          <w:i/>
          <w:iCs/>
          <w:color w:val="548DD4" w:themeColor="text2" w:themeTint="99"/>
          <w:lang w:val="de-DE"/>
        </w:rPr>
        <w:t>r</w:t>
      </w:r>
      <w:r w:rsidR="00E913A5" w:rsidRPr="002D396F">
        <w:rPr>
          <w:i/>
          <w:iCs/>
          <w:color w:val="548DD4" w:themeColor="text2" w:themeTint="99"/>
          <w:lang w:val="de-DE"/>
        </w:rPr>
        <w:t xml:space="preserve"> ersten Eintrag</w:t>
      </w:r>
      <w:r w:rsidR="0052381F" w:rsidRPr="002D396F">
        <w:rPr>
          <w:i/>
          <w:iCs/>
          <w:color w:val="548DD4" w:themeColor="text2" w:themeTint="99"/>
          <w:lang w:val="de-DE"/>
        </w:rPr>
        <w:t>ung</w:t>
      </w:r>
      <w:r w:rsidR="00E913A5" w:rsidRPr="002D396F">
        <w:rPr>
          <w:i/>
          <w:iCs/>
          <w:color w:val="548DD4" w:themeColor="text2" w:themeTint="99"/>
          <w:lang w:val="de-DE"/>
        </w:rPr>
        <w:t xml:space="preserve"> das Ziel hatte, andere </w:t>
      </w:r>
      <w:r w:rsidR="000B660B" w:rsidRPr="002D396F">
        <w:rPr>
          <w:i/>
          <w:iCs/>
          <w:color w:val="548DD4" w:themeColor="text2" w:themeTint="99"/>
          <w:lang w:val="de-DE"/>
        </w:rPr>
        <w:t xml:space="preserve">Kühl- oder Konditionierungsmittel </w:t>
      </w:r>
      <w:r w:rsidR="00E913A5" w:rsidRPr="002D396F">
        <w:rPr>
          <w:i/>
          <w:iCs/>
          <w:color w:val="548DD4" w:themeColor="text2" w:themeTint="99"/>
          <w:lang w:val="de-DE"/>
        </w:rPr>
        <w:t>als tiefgekühlt verflüssigten Stickstoff zuzulassen, ein Verbot, letzteren zu benutzen, eindeutig ausgesprochen werden sollte, und schlugen vor, dies in einer eigenen Vorschrift zu regeln</w:t>
      </w:r>
      <w:r w:rsidRPr="002D396F">
        <w:rPr>
          <w:i/>
          <w:iCs/>
          <w:color w:val="548DD4" w:themeColor="text2" w:themeTint="99"/>
          <w:lang w:val="de-DE"/>
        </w:rPr>
        <w:t xml:space="preserve">. </w:t>
      </w:r>
    </w:p>
    <w:p w14:paraId="10E53241" w14:textId="4874A539" w:rsidR="00F13FDA" w:rsidRPr="002D396F" w:rsidRDefault="003E250F" w:rsidP="00CB3958">
      <w:pPr>
        <w:pStyle w:val="SingleTxtG"/>
        <w:tabs>
          <w:tab w:val="left" w:pos="1134"/>
        </w:tabs>
        <w:ind w:left="567" w:right="946"/>
        <w:rPr>
          <w:i/>
          <w:iCs/>
          <w:color w:val="548DD4" w:themeColor="text2" w:themeTint="99"/>
          <w:lang w:val="de-DE"/>
        </w:rPr>
      </w:pPr>
      <w:r w:rsidRPr="002D396F">
        <w:rPr>
          <w:i/>
          <w:iCs/>
          <w:color w:val="548DD4" w:themeColor="text2" w:themeTint="99"/>
          <w:lang w:val="de-DE"/>
        </w:rPr>
        <w:t>32.</w:t>
      </w:r>
      <w:r w:rsidRPr="002D396F">
        <w:rPr>
          <w:i/>
          <w:iCs/>
          <w:color w:val="548DD4" w:themeColor="text2" w:themeTint="99"/>
          <w:lang w:val="de-DE"/>
        </w:rPr>
        <w:tab/>
        <w:t>Nach Diskussion stimmte die Arbeitsgruppe für die beiden folgenden Optionen</w:t>
      </w:r>
      <w:r w:rsidR="00F13FDA" w:rsidRPr="002D396F">
        <w:rPr>
          <w:i/>
          <w:iCs/>
          <w:color w:val="548DD4" w:themeColor="text2" w:themeTint="99"/>
          <w:lang w:val="de-DE"/>
        </w:rPr>
        <w:t>:</w:t>
      </w:r>
    </w:p>
    <w:p w14:paraId="43C590C0" w14:textId="77777777" w:rsidR="00F13FDA" w:rsidRPr="002D396F" w:rsidRDefault="00F13FDA" w:rsidP="00CB3958">
      <w:pPr>
        <w:pStyle w:val="SingleTxtG"/>
        <w:tabs>
          <w:tab w:val="left" w:pos="1134"/>
        </w:tabs>
        <w:ind w:left="567" w:right="946"/>
        <w:rPr>
          <w:b/>
          <w:bCs/>
          <w:i/>
          <w:iCs/>
          <w:color w:val="548DD4" w:themeColor="text2" w:themeTint="99"/>
          <w:lang w:val="de-DE"/>
        </w:rPr>
      </w:pPr>
      <w:r w:rsidRPr="002D396F">
        <w:rPr>
          <w:b/>
          <w:bCs/>
          <w:i/>
          <w:iCs/>
          <w:color w:val="548DD4" w:themeColor="text2" w:themeTint="99"/>
          <w:lang w:val="de-DE"/>
        </w:rPr>
        <w:tab/>
        <w:t xml:space="preserve">Option 1: </w:t>
      </w:r>
    </w:p>
    <w:p w14:paraId="0D4EE4E1" w14:textId="5BD25A27" w:rsidR="00F13FDA" w:rsidRPr="002D396F" w:rsidRDefault="003E250F" w:rsidP="00CB3958">
      <w:pPr>
        <w:pStyle w:val="SingleTxtG"/>
        <w:tabs>
          <w:tab w:val="left" w:pos="2835"/>
        </w:tabs>
        <w:ind w:left="567" w:right="946"/>
        <w:rPr>
          <w:i/>
          <w:iCs/>
          <w:color w:val="548DD4" w:themeColor="text2" w:themeTint="99"/>
          <w:lang w:val="de-DE"/>
        </w:rPr>
      </w:pPr>
      <w:r w:rsidRPr="002D396F">
        <w:rPr>
          <w:i/>
          <w:iCs/>
          <w:color w:val="548DD4" w:themeColor="text2" w:themeTint="99"/>
          <w:lang w:val="de-DE"/>
        </w:rPr>
        <w:t>Nur eine Eintragung behalten</w:t>
      </w:r>
      <w:r w:rsidR="00F13FDA" w:rsidRPr="002D396F">
        <w:rPr>
          <w:i/>
          <w:iCs/>
          <w:color w:val="548DD4" w:themeColor="text2" w:themeTint="99"/>
          <w:lang w:val="de-DE"/>
        </w:rPr>
        <w:t xml:space="preserve">, </w:t>
      </w:r>
      <w:r w:rsidRPr="002D396F">
        <w:rPr>
          <w:i/>
          <w:iCs/>
          <w:color w:val="548DD4" w:themeColor="text2" w:themeTint="99"/>
          <w:lang w:val="de-DE"/>
        </w:rPr>
        <w:t xml:space="preserve">mit </w:t>
      </w:r>
      <w:r w:rsidR="00F13FDA" w:rsidRPr="002D396F">
        <w:rPr>
          <w:i/>
          <w:iCs/>
          <w:color w:val="548DD4" w:themeColor="text2" w:themeTint="99"/>
          <w:lang w:val="de-DE"/>
        </w:rPr>
        <w:t xml:space="preserve">MP6 </w:t>
      </w:r>
      <w:r w:rsidRPr="002D396F">
        <w:rPr>
          <w:i/>
          <w:iCs/>
          <w:color w:val="548DD4" w:themeColor="text2" w:themeTint="99"/>
          <w:lang w:val="de-DE"/>
        </w:rPr>
        <w:t xml:space="preserve">in Spalte </w:t>
      </w:r>
      <w:r w:rsidR="00F13FDA" w:rsidRPr="002D396F">
        <w:rPr>
          <w:i/>
          <w:iCs/>
          <w:color w:val="548DD4" w:themeColor="text2" w:themeTint="99"/>
          <w:lang w:val="de-DE"/>
        </w:rPr>
        <w:t>(9b)</w:t>
      </w:r>
      <w:r w:rsidR="00735D07" w:rsidRPr="002D396F">
        <w:rPr>
          <w:i/>
          <w:iCs/>
          <w:color w:val="548DD4" w:themeColor="text2" w:themeTint="99"/>
          <w:lang w:val="de-DE"/>
        </w:rPr>
        <w:t>,</w:t>
      </w:r>
      <w:r w:rsidR="00F13FDA" w:rsidRPr="002D396F">
        <w:rPr>
          <w:i/>
          <w:iCs/>
          <w:color w:val="548DD4" w:themeColor="text2" w:themeTint="99"/>
          <w:lang w:val="de-DE"/>
        </w:rPr>
        <w:t xml:space="preserve"> </w:t>
      </w:r>
      <w:r w:rsidRPr="002D396F">
        <w:rPr>
          <w:i/>
          <w:iCs/>
          <w:color w:val="548DD4" w:themeColor="text2" w:themeTint="99"/>
          <w:lang w:val="de-DE"/>
        </w:rPr>
        <w:t xml:space="preserve">und eine neue, spezifische Vorschrift </w:t>
      </w:r>
      <w:r w:rsidR="00F13FDA" w:rsidRPr="002D396F">
        <w:rPr>
          <w:i/>
          <w:iCs/>
          <w:color w:val="548DD4" w:themeColor="text2" w:themeTint="99"/>
          <w:lang w:val="de-DE"/>
        </w:rPr>
        <w:t xml:space="preserve">6XX </w:t>
      </w:r>
      <w:r w:rsidRPr="002D396F">
        <w:rPr>
          <w:i/>
          <w:iCs/>
          <w:color w:val="548DD4" w:themeColor="text2" w:themeTint="99"/>
          <w:lang w:val="de-DE"/>
        </w:rPr>
        <w:t xml:space="preserve">einführen </w:t>
      </w:r>
      <w:r w:rsidR="00F13FDA" w:rsidRPr="002D396F">
        <w:rPr>
          <w:i/>
          <w:iCs/>
          <w:color w:val="548DD4" w:themeColor="text2" w:themeTint="99"/>
          <w:lang w:val="de-DE"/>
        </w:rPr>
        <w:t>(</w:t>
      </w:r>
      <w:r w:rsidRPr="002D396F">
        <w:rPr>
          <w:i/>
          <w:iCs/>
          <w:color w:val="548DD4" w:themeColor="text2" w:themeTint="99"/>
          <w:lang w:val="de-DE"/>
        </w:rPr>
        <w:t xml:space="preserve">„Tiefgekühlt verflüssigter Stickstoff soll nicht als Kühlmittel für Stoffe </w:t>
      </w:r>
      <w:r w:rsidR="00735D07" w:rsidRPr="002D396F">
        <w:rPr>
          <w:i/>
          <w:iCs/>
          <w:color w:val="548DD4" w:themeColor="text2" w:themeTint="99"/>
          <w:lang w:val="de-DE"/>
        </w:rPr>
        <w:t>unter</w:t>
      </w:r>
      <w:r w:rsidRPr="002D396F">
        <w:rPr>
          <w:i/>
          <w:iCs/>
          <w:color w:val="548DD4" w:themeColor="text2" w:themeTint="99"/>
          <w:lang w:val="de-DE"/>
        </w:rPr>
        <w:t xml:space="preserve"> dieser Eintragung verwendet werden</w:t>
      </w:r>
      <w:r w:rsidR="00F13FDA" w:rsidRPr="002D396F">
        <w:rPr>
          <w:i/>
          <w:iCs/>
          <w:color w:val="548DD4" w:themeColor="text2" w:themeTint="99"/>
          <w:lang w:val="de-DE"/>
        </w:rPr>
        <w:t>.</w:t>
      </w:r>
      <w:r w:rsidRPr="002D396F">
        <w:rPr>
          <w:i/>
          <w:iCs/>
          <w:color w:val="548DD4" w:themeColor="text2" w:themeTint="99"/>
          <w:lang w:val="de-DE"/>
        </w:rPr>
        <w:t>“</w:t>
      </w:r>
      <w:r w:rsidR="00F13FDA" w:rsidRPr="002D396F">
        <w:rPr>
          <w:i/>
          <w:iCs/>
          <w:color w:val="548DD4" w:themeColor="text2" w:themeTint="99"/>
          <w:lang w:val="de-DE"/>
        </w:rPr>
        <w:t>)</w:t>
      </w:r>
    </w:p>
    <w:p w14:paraId="26AF3806" w14:textId="77777777" w:rsidR="00F13FDA" w:rsidRPr="002D396F" w:rsidRDefault="00F13FDA" w:rsidP="00CB3958">
      <w:pPr>
        <w:pStyle w:val="SingleTxtG"/>
        <w:tabs>
          <w:tab w:val="left" w:pos="1134"/>
        </w:tabs>
        <w:ind w:left="567" w:right="946"/>
        <w:rPr>
          <w:b/>
          <w:bCs/>
          <w:i/>
          <w:iCs/>
          <w:color w:val="548DD4" w:themeColor="text2" w:themeTint="99"/>
          <w:lang w:val="de-DE"/>
        </w:rPr>
      </w:pPr>
      <w:r w:rsidRPr="002D396F">
        <w:rPr>
          <w:b/>
          <w:bCs/>
          <w:i/>
          <w:iCs/>
          <w:color w:val="548DD4" w:themeColor="text2" w:themeTint="99"/>
          <w:lang w:val="de-DE"/>
        </w:rPr>
        <w:tab/>
        <w:t>Option 2:</w:t>
      </w:r>
    </w:p>
    <w:p w14:paraId="2B04FF12" w14:textId="2AE9EC76" w:rsidR="00F13FDA" w:rsidRPr="002D396F" w:rsidRDefault="003E250F" w:rsidP="00CB3958">
      <w:pPr>
        <w:pStyle w:val="SingleTxtG"/>
        <w:tabs>
          <w:tab w:val="left" w:pos="2835"/>
        </w:tabs>
        <w:ind w:left="567" w:right="946"/>
        <w:rPr>
          <w:i/>
          <w:iCs/>
          <w:color w:val="548DD4" w:themeColor="text2" w:themeTint="99"/>
          <w:lang w:val="de-DE"/>
        </w:rPr>
      </w:pPr>
      <w:r w:rsidRPr="002D396F">
        <w:rPr>
          <w:i/>
          <w:iCs/>
          <w:color w:val="548DD4" w:themeColor="text2" w:themeTint="99"/>
          <w:lang w:val="de-DE"/>
        </w:rPr>
        <w:t>Zwei Eintragungen behalten</w:t>
      </w:r>
      <w:r w:rsidR="00311D02" w:rsidRPr="002D396F">
        <w:rPr>
          <w:i/>
          <w:iCs/>
          <w:color w:val="548DD4" w:themeColor="text2" w:themeTint="99"/>
          <w:lang w:val="de-DE"/>
        </w:rPr>
        <w:t xml:space="preserve">, wie bei den UN-Nummern </w:t>
      </w:r>
      <w:r w:rsidR="00F13FDA" w:rsidRPr="002D396F">
        <w:rPr>
          <w:i/>
          <w:iCs/>
          <w:color w:val="548DD4" w:themeColor="text2" w:themeTint="99"/>
          <w:lang w:val="de-DE"/>
        </w:rPr>
        <w:t xml:space="preserve">2814, 2900 </w:t>
      </w:r>
      <w:r w:rsidR="00311D02" w:rsidRPr="002D396F">
        <w:rPr>
          <w:i/>
          <w:iCs/>
          <w:color w:val="548DD4" w:themeColor="text2" w:themeTint="99"/>
          <w:lang w:val="de-DE"/>
        </w:rPr>
        <w:t>u</w:t>
      </w:r>
      <w:r w:rsidR="00F13FDA" w:rsidRPr="002D396F">
        <w:rPr>
          <w:i/>
          <w:iCs/>
          <w:color w:val="548DD4" w:themeColor="text2" w:themeTint="99"/>
          <w:lang w:val="de-DE"/>
        </w:rPr>
        <w:t xml:space="preserve">nd 3291, </w:t>
      </w:r>
      <w:r w:rsidR="00311D02" w:rsidRPr="002D396F">
        <w:rPr>
          <w:i/>
          <w:iCs/>
          <w:color w:val="548DD4" w:themeColor="text2" w:themeTint="99"/>
          <w:lang w:val="de-DE"/>
        </w:rPr>
        <w:t xml:space="preserve">mit </w:t>
      </w:r>
      <w:r w:rsidR="00F13FDA" w:rsidRPr="002D396F">
        <w:rPr>
          <w:i/>
          <w:iCs/>
          <w:color w:val="548DD4" w:themeColor="text2" w:themeTint="99"/>
          <w:lang w:val="de-DE"/>
        </w:rPr>
        <w:t xml:space="preserve">MP6 </w:t>
      </w:r>
      <w:r w:rsidR="00311D02" w:rsidRPr="002D396F">
        <w:rPr>
          <w:i/>
          <w:iCs/>
          <w:color w:val="548DD4" w:themeColor="text2" w:themeTint="99"/>
          <w:lang w:val="de-DE"/>
        </w:rPr>
        <w:t>u</w:t>
      </w:r>
      <w:r w:rsidR="00F13FDA" w:rsidRPr="002D396F">
        <w:rPr>
          <w:i/>
          <w:iCs/>
          <w:color w:val="548DD4" w:themeColor="text2" w:themeTint="99"/>
          <w:lang w:val="de-DE"/>
        </w:rPr>
        <w:t xml:space="preserve">nd </w:t>
      </w:r>
      <w:r w:rsidR="00311D02" w:rsidRPr="002D396F">
        <w:rPr>
          <w:i/>
          <w:iCs/>
          <w:color w:val="548DD4" w:themeColor="text2" w:themeTint="99"/>
          <w:lang w:val="de-DE"/>
        </w:rPr>
        <w:t xml:space="preserve">der neuen spezifischen Vorschrift </w:t>
      </w:r>
      <w:r w:rsidR="00F13FDA" w:rsidRPr="002D396F">
        <w:rPr>
          <w:i/>
          <w:iCs/>
          <w:color w:val="548DD4" w:themeColor="text2" w:themeTint="99"/>
          <w:lang w:val="de-DE"/>
        </w:rPr>
        <w:t xml:space="preserve">6XX </w:t>
      </w:r>
      <w:r w:rsidR="00311D02" w:rsidRPr="002D396F">
        <w:rPr>
          <w:i/>
          <w:iCs/>
          <w:color w:val="548DD4" w:themeColor="text2" w:themeTint="99"/>
          <w:lang w:val="de-DE"/>
        </w:rPr>
        <w:t>zur ersten Eintragung</w:t>
      </w:r>
      <w:r w:rsidR="00F13FDA" w:rsidRPr="002D396F">
        <w:rPr>
          <w:i/>
          <w:iCs/>
          <w:color w:val="548DD4" w:themeColor="text2" w:themeTint="99"/>
          <w:lang w:val="de-DE"/>
        </w:rPr>
        <w:t xml:space="preserve">, </w:t>
      </w:r>
      <w:r w:rsidR="00311D02" w:rsidRPr="002D396F">
        <w:rPr>
          <w:i/>
          <w:iCs/>
          <w:color w:val="548DD4" w:themeColor="text2" w:themeTint="99"/>
          <w:lang w:val="de-DE"/>
        </w:rPr>
        <w:t>u</w:t>
      </w:r>
      <w:r w:rsidR="00F13FDA" w:rsidRPr="002D396F">
        <w:rPr>
          <w:i/>
          <w:iCs/>
          <w:color w:val="548DD4" w:themeColor="text2" w:themeTint="99"/>
          <w:lang w:val="de-DE"/>
        </w:rPr>
        <w:t xml:space="preserve">nd MP2 </w:t>
      </w:r>
      <w:r w:rsidR="00311D02" w:rsidRPr="002D396F">
        <w:rPr>
          <w:i/>
          <w:iCs/>
          <w:color w:val="548DD4" w:themeColor="text2" w:themeTint="99"/>
          <w:lang w:val="de-DE"/>
        </w:rPr>
        <w:t xml:space="preserve">nur für die Eintragung </w:t>
      </w:r>
      <w:r w:rsidR="00527A52" w:rsidRPr="002D396F">
        <w:rPr>
          <w:i/>
          <w:iCs/>
          <w:color w:val="548DD4" w:themeColor="text2" w:themeTint="99"/>
          <w:lang w:val="de-DE"/>
        </w:rPr>
        <w:t xml:space="preserve">zur </w:t>
      </w:r>
      <w:r w:rsidR="00311D02" w:rsidRPr="002D396F">
        <w:rPr>
          <w:i/>
          <w:iCs/>
          <w:color w:val="548DD4" w:themeColor="text2" w:themeTint="99"/>
          <w:lang w:val="de-DE"/>
        </w:rPr>
        <w:t>Beförderung in tiefgekühlt verflüssigtem Stickstoff</w:t>
      </w:r>
      <w:r w:rsidR="00F13FDA" w:rsidRPr="002D396F">
        <w:rPr>
          <w:i/>
          <w:iCs/>
          <w:color w:val="548DD4" w:themeColor="text2" w:themeTint="99"/>
          <w:lang w:val="de-DE"/>
        </w:rPr>
        <w:t xml:space="preserve">. </w:t>
      </w:r>
    </w:p>
    <w:p w14:paraId="79BA148D" w14:textId="1148E086" w:rsidR="00F13FDA" w:rsidRPr="002D396F" w:rsidRDefault="00F13FDA" w:rsidP="00CB3958">
      <w:pPr>
        <w:pStyle w:val="SingleTxtG"/>
        <w:tabs>
          <w:tab w:val="left" w:pos="1134"/>
        </w:tabs>
        <w:ind w:left="567" w:right="946"/>
        <w:rPr>
          <w:i/>
          <w:iCs/>
          <w:color w:val="548DD4" w:themeColor="text2" w:themeTint="99"/>
          <w:lang w:val="de-DE"/>
        </w:rPr>
      </w:pPr>
      <w:r w:rsidRPr="002D396F">
        <w:rPr>
          <w:i/>
          <w:iCs/>
          <w:color w:val="548DD4" w:themeColor="text2" w:themeTint="99"/>
          <w:lang w:val="de-DE"/>
        </w:rPr>
        <w:t>33.</w:t>
      </w:r>
      <w:r w:rsidRPr="002D396F">
        <w:rPr>
          <w:i/>
          <w:iCs/>
          <w:color w:val="548DD4" w:themeColor="text2" w:themeTint="99"/>
          <w:lang w:val="de-DE"/>
        </w:rPr>
        <w:tab/>
      </w:r>
      <w:r w:rsidR="00784AA0" w:rsidRPr="002D396F">
        <w:rPr>
          <w:i/>
          <w:iCs/>
          <w:color w:val="548DD4" w:themeColor="text2" w:themeTint="99"/>
          <w:lang w:val="de-DE"/>
        </w:rPr>
        <w:t xml:space="preserve">Die Arbeitsgruppe bittet die Gemeinsame Tagung, eine Entscheidung über die am besten geeignete Option zu treffen und zu überlegen, ob bei den UN-Nummern </w:t>
      </w:r>
      <w:r w:rsidRPr="002D396F">
        <w:rPr>
          <w:i/>
          <w:iCs/>
          <w:color w:val="548DD4" w:themeColor="text2" w:themeTint="99"/>
          <w:lang w:val="de-DE"/>
        </w:rPr>
        <w:t xml:space="preserve">2814, 2900 </w:t>
      </w:r>
      <w:r w:rsidR="00784AA0" w:rsidRPr="002D396F">
        <w:rPr>
          <w:i/>
          <w:iCs/>
          <w:color w:val="548DD4" w:themeColor="text2" w:themeTint="99"/>
          <w:lang w:val="de-DE"/>
        </w:rPr>
        <w:t>u</w:t>
      </w:r>
      <w:r w:rsidRPr="002D396F">
        <w:rPr>
          <w:i/>
          <w:iCs/>
          <w:color w:val="548DD4" w:themeColor="text2" w:themeTint="99"/>
          <w:lang w:val="de-DE"/>
        </w:rPr>
        <w:t>nd 3291</w:t>
      </w:r>
      <w:r w:rsidR="00784AA0" w:rsidRPr="002D396F">
        <w:rPr>
          <w:i/>
          <w:iCs/>
          <w:color w:val="548DD4" w:themeColor="text2" w:themeTint="99"/>
          <w:lang w:val="de-DE"/>
        </w:rPr>
        <w:t xml:space="preserve"> ähnlich verfahren werden sollte</w:t>
      </w:r>
      <w:r w:rsidRPr="002D396F">
        <w:rPr>
          <w:i/>
          <w:iCs/>
          <w:color w:val="548DD4" w:themeColor="text2" w:themeTint="99"/>
          <w:lang w:val="de-DE"/>
        </w:rPr>
        <w:t>.</w:t>
      </w:r>
    </w:p>
    <w:p w14:paraId="72B35C35" w14:textId="44D92808" w:rsidR="003A1330" w:rsidRPr="002D396F" w:rsidRDefault="00722243" w:rsidP="003A1330">
      <w:pPr>
        <w:pStyle w:val="SingleTxtG"/>
        <w:ind w:left="2259" w:hanging="1125"/>
        <w:rPr>
          <w:lang w:val="de-DE"/>
        </w:rPr>
      </w:pPr>
      <w:bookmarkStart w:id="19" w:name="_Hlk15563005"/>
      <w:r w:rsidRPr="002D396F">
        <w:rPr>
          <w:lang w:val="de-DE"/>
        </w:rPr>
        <w:t>Bei den UN</w:t>
      </w:r>
      <w:r w:rsidR="009924C5" w:rsidRPr="002D396F">
        <w:rPr>
          <w:lang w:val="de-DE"/>
        </w:rPr>
        <w:t>-Nrn</w:t>
      </w:r>
      <w:bookmarkEnd w:id="19"/>
      <w:r w:rsidR="003A1330" w:rsidRPr="002D396F">
        <w:rPr>
          <w:lang w:val="de-DE"/>
        </w:rPr>
        <w:t xml:space="preserve">. 0340, 0341, 0342 </w:t>
      </w:r>
      <w:r w:rsidR="00217CF8" w:rsidRPr="002D396F">
        <w:rPr>
          <w:lang w:val="de-DE"/>
        </w:rPr>
        <w:t>und</w:t>
      </w:r>
      <w:r w:rsidR="003A1330" w:rsidRPr="002D396F">
        <w:rPr>
          <w:lang w:val="de-DE"/>
        </w:rPr>
        <w:t xml:space="preserve"> 0343 </w:t>
      </w:r>
      <w:r w:rsidR="009924C5" w:rsidRPr="002D396F">
        <w:rPr>
          <w:lang w:val="de-DE"/>
        </w:rPr>
        <w:t>„</w:t>
      </w:r>
      <w:r w:rsidR="003A1330" w:rsidRPr="002D396F">
        <w:rPr>
          <w:lang w:val="de-DE"/>
        </w:rPr>
        <w:t>393</w:t>
      </w:r>
      <w:r w:rsidR="009924C5" w:rsidRPr="002D396F">
        <w:rPr>
          <w:lang w:val="de-DE"/>
        </w:rPr>
        <w:t>“ in Spalte</w:t>
      </w:r>
      <w:r w:rsidR="003A1330" w:rsidRPr="002D396F">
        <w:rPr>
          <w:lang w:val="de-DE"/>
        </w:rPr>
        <w:t xml:space="preserve"> (6)</w:t>
      </w:r>
      <w:r w:rsidR="009924C5" w:rsidRPr="002D396F">
        <w:rPr>
          <w:lang w:val="de-DE"/>
        </w:rPr>
        <w:t xml:space="preserve"> einfügen</w:t>
      </w:r>
      <w:r w:rsidR="003A1330" w:rsidRPr="002D396F">
        <w:rPr>
          <w:lang w:val="de-DE"/>
        </w:rPr>
        <w:t>.</w:t>
      </w:r>
    </w:p>
    <w:p w14:paraId="65E5482D" w14:textId="3B459564" w:rsidR="003A1330" w:rsidRPr="002D396F" w:rsidRDefault="009924C5" w:rsidP="00217CF8">
      <w:pPr>
        <w:pStyle w:val="SingleTxtG"/>
        <w:rPr>
          <w:lang w:val="de-DE"/>
        </w:rPr>
      </w:pPr>
      <w:r w:rsidRPr="002D396F">
        <w:rPr>
          <w:lang w:val="de-DE"/>
        </w:rPr>
        <w:t>Bei den UN-Nrn.</w:t>
      </w:r>
      <w:r w:rsidRPr="002D396F" w:rsidDel="009924C5">
        <w:rPr>
          <w:lang w:val="de-DE"/>
        </w:rPr>
        <w:t xml:space="preserve"> </w:t>
      </w:r>
      <w:r w:rsidR="003A1330" w:rsidRPr="002D396F">
        <w:rPr>
          <w:lang w:val="de-DE"/>
        </w:rPr>
        <w:t xml:space="preserve">1002, 1006, 1013, 1046, 1056, 1058, 1065, 1066, 1080, 1952, 1956, 2036, 3070, 3163, 3297, 3298 </w:t>
      </w:r>
      <w:r w:rsidRPr="002D396F">
        <w:rPr>
          <w:lang w:val="de-DE"/>
        </w:rPr>
        <w:t xml:space="preserve">und </w:t>
      </w:r>
      <w:r w:rsidR="003A1330" w:rsidRPr="002D396F">
        <w:rPr>
          <w:lang w:val="de-DE"/>
        </w:rPr>
        <w:t xml:space="preserve">3299 in </w:t>
      </w:r>
      <w:r w:rsidRPr="002D396F">
        <w:rPr>
          <w:lang w:val="de-DE"/>
        </w:rPr>
        <w:t xml:space="preserve">Spalte </w:t>
      </w:r>
      <w:r w:rsidR="003A1330" w:rsidRPr="002D396F">
        <w:rPr>
          <w:lang w:val="de-DE"/>
        </w:rPr>
        <w:t xml:space="preserve">(6) </w:t>
      </w:r>
      <w:r w:rsidR="005C6D45" w:rsidRPr="002D396F">
        <w:rPr>
          <w:lang w:val="de-DE"/>
        </w:rPr>
        <w:t>„</w:t>
      </w:r>
      <w:r w:rsidR="003A1330" w:rsidRPr="002D396F">
        <w:rPr>
          <w:lang w:val="de-DE"/>
        </w:rPr>
        <w:t>660</w:t>
      </w:r>
      <w:r w:rsidR="005C6D45" w:rsidRPr="002D396F">
        <w:rPr>
          <w:lang w:val="de-DE"/>
        </w:rPr>
        <w:t>“</w:t>
      </w:r>
      <w:r w:rsidRPr="002D396F">
        <w:rPr>
          <w:lang w:val="de-DE"/>
        </w:rPr>
        <w:t xml:space="preserve"> ändern in: „</w:t>
      </w:r>
      <w:r w:rsidR="003A1330" w:rsidRPr="002D396F">
        <w:rPr>
          <w:lang w:val="de-DE"/>
        </w:rPr>
        <w:t>392</w:t>
      </w:r>
      <w:r w:rsidRPr="002D396F">
        <w:rPr>
          <w:lang w:val="de-DE"/>
        </w:rPr>
        <w:t>“</w:t>
      </w:r>
      <w:r w:rsidR="003A1330" w:rsidRPr="002D396F">
        <w:rPr>
          <w:lang w:val="de-DE"/>
        </w:rPr>
        <w:t xml:space="preserve">. </w:t>
      </w:r>
    </w:p>
    <w:p w14:paraId="280EC7FB" w14:textId="26AAB801" w:rsidR="003A1330" w:rsidRPr="002D396F" w:rsidRDefault="003A1330" w:rsidP="00217CF8">
      <w:pPr>
        <w:pStyle w:val="SingleTxtG"/>
        <w:rPr>
          <w:lang w:val="de-DE"/>
        </w:rPr>
      </w:pPr>
      <w:r w:rsidRPr="002D396F">
        <w:rPr>
          <w:b/>
          <w:bCs/>
          <w:lang w:val="de-DE"/>
        </w:rPr>
        <w:t xml:space="preserve">(ADN:) </w:t>
      </w:r>
      <w:r w:rsidR="005C6D45" w:rsidRPr="002D396F">
        <w:rPr>
          <w:lang w:val="de-DE"/>
        </w:rPr>
        <w:t xml:space="preserve">Bei der UN-Nr. </w:t>
      </w:r>
      <w:r w:rsidRPr="002D396F">
        <w:rPr>
          <w:lang w:val="de-DE"/>
        </w:rPr>
        <w:t>2037 (</w:t>
      </w:r>
      <w:r w:rsidR="005C6D45" w:rsidRPr="002D396F">
        <w:rPr>
          <w:lang w:val="de-DE"/>
        </w:rPr>
        <w:t>alle Eintragungen</w:t>
      </w:r>
      <w:r w:rsidRPr="002D396F">
        <w:rPr>
          <w:lang w:val="de-DE"/>
        </w:rPr>
        <w:t>)</w:t>
      </w:r>
      <w:r w:rsidR="00217CF8" w:rsidRPr="002D396F">
        <w:rPr>
          <w:lang w:val="de-DE"/>
        </w:rPr>
        <w:t xml:space="preserve"> </w:t>
      </w:r>
      <w:r w:rsidR="00CC4A0E">
        <w:rPr>
          <w:lang w:val="de-DE"/>
        </w:rPr>
        <w:t>in</w:t>
      </w:r>
      <w:r w:rsidR="005C6D45" w:rsidRPr="002D396F">
        <w:rPr>
          <w:lang w:val="de-DE"/>
        </w:rPr>
        <w:t xml:space="preserve"> Spalte</w:t>
      </w:r>
      <w:r w:rsidRPr="002D396F">
        <w:rPr>
          <w:lang w:val="de-DE"/>
        </w:rPr>
        <w:t xml:space="preserve"> (6) </w:t>
      </w:r>
      <w:r w:rsidR="005C6D45" w:rsidRPr="002D396F">
        <w:rPr>
          <w:lang w:val="de-DE"/>
        </w:rPr>
        <w:t>einfügen: „</w:t>
      </w:r>
      <w:r w:rsidRPr="002D396F">
        <w:rPr>
          <w:lang w:val="de-DE"/>
        </w:rPr>
        <w:t>327</w:t>
      </w:r>
      <w:r w:rsidR="005C6D45" w:rsidRPr="002D396F">
        <w:rPr>
          <w:lang w:val="de-DE"/>
        </w:rPr>
        <w:t>“</w:t>
      </w:r>
      <w:r w:rsidRPr="002D396F">
        <w:rPr>
          <w:lang w:val="de-DE"/>
        </w:rPr>
        <w:t>.</w:t>
      </w:r>
    </w:p>
    <w:p w14:paraId="5A1AB5A8" w14:textId="216956F6" w:rsidR="003A1330" w:rsidRPr="002D396F" w:rsidRDefault="005C6D45" w:rsidP="003A1330">
      <w:pPr>
        <w:pStyle w:val="SingleTxtG"/>
        <w:ind w:left="2259" w:hanging="1125"/>
        <w:rPr>
          <w:lang w:val="de-DE"/>
        </w:rPr>
      </w:pPr>
      <w:bookmarkStart w:id="20" w:name="_Hlk15564148"/>
      <w:r w:rsidRPr="002D396F">
        <w:rPr>
          <w:lang w:val="de-DE"/>
        </w:rPr>
        <w:t xml:space="preserve">Bei der UN-Nr. </w:t>
      </w:r>
      <w:bookmarkEnd w:id="20"/>
      <w:r w:rsidR="003A1330" w:rsidRPr="002D396F">
        <w:rPr>
          <w:lang w:val="de-DE"/>
        </w:rPr>
        <w:t xml:space="preserve">2383 </w:t>
      </w:r>
      <w:r w:rsidRPr="002D396F">
        <w:rPr>
          <w:lang w:val="de-DE"/>
        </w:rPr>
        <w:t>in Spalte</w:t>
      </w:r>
      <w:r w:rsidR="003A1330" w:rsidRPr="002D396F">
        <w:rPr>
          <w:lang w:val="de-DE"/>
        </w:rPr>
        <w:t xml:space="preserve"> (6) </w:t>
      </w:r>
      <w:r w:rsidRPr="002D396F">
        <w:rPr>
          <w:lang w:val="de-DE"/>
        </w:rPr>
        <w:t>streichen: „</w:t>
      </w:r>
      <w:r w:rsidR="003A1330" w:rsidRPr="002D396F">
        <w:rPr>
          <w:lang w:val="de-DE"/>
        </w:rPr>
        <w:t>386</w:t>
      </w:r>
      <w:r w:rsidRPr="002D396F">
        <w:rPr>
          <w:lang w:val="de-DE"/>
        </w:rPr>
        <w:t>“</w:t>
      </w:r>
      <w:r w:rsidR="003A1330" w:rsidRPr="002D396F">
        <w:rPr>
          <w:lang w:val="de-DE"/>
        </w:rPr>
        <w:t>.</w:t>
      </w:r>
    </w:p>
    <w:p w14:paraId="4DB7E731" w14:textId="26E35315" w:rsidR="003A1330" w:rsidRPr="002D396F" w:rsidRDefault="005C6D45" w:rsidP="00CC4A0E">
      <w:pPr>
        <w:pStyle w:val="SingleTxtG"/>
        <w:ind w:firstLine="9"/>
        <w:rPr>
          <w:lang w:val="de-DE"/>
        </w:rPr>
      </w:pPr>
      <w:r w:rsidRPr="002D396F">
        <w:rPr>
          <w:lang w:val="de-DE"/>
        </w:rPr>
        <w:t xml:space="preserve">Bei der UN-Nr. </w:t>
      </w:r>
      <w:r w:rsidR="003A1330" w:rsidRPr="002D396F">
        <w:rPr>
          <w:lang w:val="de-DE"/>
        </w:rPr>
        <w:t xml:space="preserve">2522, </w:t>
      </w:r>
      <w:r w:rsidRPr="002D396F">
        <w:rPr>
          <w:lang w:val="de-DE"/>
        </w:rPr>
        <w:t>in Spalte</w:t>
      </w:r>
      <w:r w:rsidR="003A1330" w:rsidRPr="002D396F">
        <w:rPr>
          <w:lang w:val="de-DE"/>
        </w:rPr>
        <w:t xml:space="preserve"> (2), </w:t>
      </w:r>
      <w:r w:rsidRPr="002D396F">
        <w:rPr>
          <w:lang w:val="de-DE"/>
        </w:rPr>
        <w:t xml:space="preserve">am Ende hinzufügen </w:t>
      </w:r>
      <w:r w:rsidR="00CC4A0E">
        <w:rPr>
          <w:lang w:val="de-DE"/>
        </w:rPr>
        <w:t>„</w:t>
      </w:r>
      <w:r w:rsidR="003A1330" w:rsidRPr="002D396F">
        <w:rPr>
          <w:lang w:val="de-DE"/>
        </w:rPr>
        <w:t>, STABILI</w:t>
      </w:r>
      <w:r w:rsidRPr="002D396F">
        <w:rPr>
          <w:lang w:val="de-DE"/>
        </w:rPr>
        <w:t>SIERT</w:t>
      </w:r>
      <w:r w:rsidR="00CC4A0E">
        <w:rPr>
          <w:lang w:val="de-DE"/>
        </w:rPr>
        <w:t>“</w:t>
      </w:r>
      <w:r w:rsidRPr="002D396F">
        <w:rPr>
          <w:lang w:val="de-DE"/>
        </w:rPr>
        <w:t xml:space="preserve"> und </w:t>
      </w:r>
      <w:r w:rsidR="00217CF8" w:rsidRPr="002D396F">
        <w:rPr>
          <w:lang w:val="de-DE"/>
        </w:rPr>
        <w:t xml:space="preserve">in Spalte (6) </w:t>
      </w:r>
      <w:r w:rsidRPr="002D396F">
        <w:rPr>
          <w:lang w:val="de-DE"/>
        </w:rPr>
        <w:t>einfügen</w:t>
      </w:r>
      <w:r w:rsidR="00217CF8" w:rsidRPr="002D396F">
        <w:rPr>
          <w:lang w:val="de-DE"/>
        </w:rPr>
        <w:t>:</w:t>
      </w:r>
      <w:r w:rsidRPr="002D396F">
        <w:rPr>
          <w:lang w:val="de-DE"/>
        </w:rPr>
        <w:t xml:space="preserve"> „</w:t>
      </w:r>
      <w:r w:rsidR="003A1330" w:rsidRPr="002D396F">
        <w:rPr>
          <w:lang w:val="de-DE"/>
        </w:rPr>
        <w:t>386</w:t>
      </w:r>
      <w:r w:rsidRPr="002D396F">
        <w:rPr>
          <w:lang w:val="de-DE"/>
        </w:rPr>
        <w:t>“</w:t>
      </w:r>
      <w:r w:rsidR="003A1330" w:rsidRPr="002D396F">
        <w:rPr>
          <w:lang w:val="de-DE"/>
        </w:rPr>
        <w:t>.</w:t>
      </w:r>
    </w:p>
    <w:p w14:paraId="232D11A1" w14:textId="2168291E" w:rsidR="003A1330" w:rsidRPr="002D396F" w:rsidRDefault="005C6D45" w:rsidP="003A1330">
      <w:pPr>
        <w:pStyle w:val="SingleTxtG"/>
        <w:ind w:left="2259" w:hanging="1125"/>
        <w:rPr>
          <w:lang w:val="de-DE"/>
        </w:rPr>
      </w:pPr>
      <w:r w:rsidRPr="002D396F">
        <w:rPr>
          <w:lang w:val="de-DE"/>
        </w:rPr>
        <w:t>Bei de</w:t>
      </w:r>
      <w:r w:rsidR="00217CF8" w:rsidRPr="002D396F">
        <w:rPr>
          <w:lang w:val="de-DE"/>
        </w:rPr>
        <w:t>n</w:t>
      </w:r>
      <w:r w:rsidRPr="002D396F">
        <w:rPr>
          <w:lang w:val="de-DE"/>
        </w:rPr>
        <w:t xml:space="preserve"> UN-Nrn</w:t>
      </w:r>
      <w:r w:rsidR="003A1330" w:rsidRPr="002D396F">
        <w:rPr>
          <w:lang w:val="de-DE"/>
        </w:rPr>
        <w:t xml:space="preserve">. 2555, 2556, 2557 </w:t>
      </w:r>
      <w:r w:rsidRPr="002D396F">
        <w:rPr>
          <w:lang w:val="de-DE"/>
        </w:rPr>
        <w:t>und</w:t>
      </w:r>
      <w:r w:rsidR="003A1330" w:rsidRPr="002D396F">
        <w:rPr>
          <w:lang w:val="de-DE"/>
        </w:rPr>
        <w:t xml:space="preserve"> 3380</w:t>
      </w:r>
      <w:r w:rsidR="00217CF8" w:rsidRPr="002D396F">
        <w:rPr>
          <w:lang w:val="de-DE"/>
        </w:rPr>
        <w:t xml:space="preserve"> in Spalte (6)</w:t>
      </w:r>
      <w:r w:rsidR="003A1330" w:rsidRPr="002D396F">
        <w:rPr>
          <w:lang w:val="de-DE"/>
        </w:rPr>
        <w:t xml:space="preserve"> </w:t>
      </w:r>
      <w:r w:rsidRPr="002D396F">
        <w:rPr>
          <w:lang w:val="de-DE"/>
        </w:rPr>
        <w:t>einfügen</w:t>
      </w:r>
      <w:r w:rsidR="00217CF8" w:rsidRPr="002D396F">
        <w:rPr>
          <w:lang w:val="de-DE"/>
        </w:rPr>
        <w:t>:</w:t>
      </w:r>
      <w:r w:rsidRPr="002D396F">
        <w:rPr>
          <w:lang w:val="de-DE"/>
        </w:rPr>
        <w:t xml:space="preserve"> „</w:t>
      </w:r>
      <w:r w:rsidR="003A1330" w:rsidRPr="002D396F">
        <w:rPr>
          <w:lang w:val="de-DE"/>
        </w:rPr>
        <w:t>394</w:t>
      </w:r>
      <w:r w:rsidRPr="002D396F">
        <w:rPr>
          <w:lang w:val="de-DE"/>
        </w:rPr>
        <w:t>“</w:t>
      </w:r>
      <w:r w:rsidR="003A1330" w:rsidRPr="002D396F">
        <w:rPr>
          <w:lang w:val="de-DE"/>
        </w:rPr>
        <w:t>.</w:t>
      </w:r>
    </w:p>
    <w:p w14:paraId="130A0444" w14:textId="1C07E748" w:rsidR="003A1330" w:rsidRPr="002D396F" w:rsidRDefault="005C6D45" w:rsidP="003A1330">
      <w:pPr>
        <w:pStyle w:val="SingleTxtG"/>
        <w:ind w:left="2259" w:hanging="1125"/>
        <w:rPr>
          <w:lang w:val="de-DE"/>
        </w:rPr>
      </w:pPr>
      <w:r w:rsidRPr="002D396F">
        <w:rPr>
          <w:lang w:val="de-DE"/>
        </w:rPr>
        <w:t>Bei de</w:t>
      </w:r>
      <w:r w:rsidR="00217CF8" w:rsidRPr="002D396F">
        <w:rPr>
          <w:lang w:val="de-DE"/>
        </w:rPr>
        <w:t>n</w:t>
      </w:r>
      <w:r w:rsidRPr="002D396F">
        <w:rPr>
          <w:lang w:val="de-DE"/>
        </w:rPr>
        <w:t xml:space="preserve"> UN-Nrn. </w:t>
      </w:r>
      <w:r w:rsidR="003A1330" w:rsidRPr="002D396F">
        <w:rPr>
          <w:lang w:val="de-DE"/>
        </w:rPr>
        <w:t xml:space="preserve">2794, 2795, 2800 </w:t>
      </w:r>
      <w:r w:rsidRPr="002D396F">
        <w:rPr>
          <w:lang w:val="de-DE"/>
        </w:rPr>
        <w:t>und</w:t>
      </w:r>
      <w:r w:rsidR="003A1330" w:rsidRPr="002D396F">
        <w:rPr>
          <w:lang w:val="de-DE"/>
        </w:rPr>
        <w:t xml:space="preserve"> 3028</w:t>
      </w:r>
      <w:r w:rsidR="00217CF8" w:rsidRPr="002D396F">
        <w:rPr>
          <w:lang w:val="de-DE"/>
        </w:rPr>
        <w:t xml:space="preserve"> in Spalte (8)</w:t>
      </w:r>
      <w:r w:rsidR="003A1330" w:rsidRPr="002D396F">
        <w:rPr>
          <w:lang w:val="de-DE"/>
        </w:rPr>
        <w:t xml:space="preserve"> </w:t>
      </w:r>
      <w:r w:rsidRPr="002D396F">
        <w:rPr>
          <w:lang w:val="de-DE"/>
        </w:rPr>
        <w:t>streichen</w:t>
      </w:r>
      <w:r w:rsidR="00217CF8" w:rsidRPr="002D396F">
        <w:rPr>
          <w:lang w:val="de-DE"/>
        </w:rPr>
        <w:t>:</w:t>
      </w:r>
      <w:r w:rsidR="003A1330" w:rsidRPr="002D396F">
        <w:rPr>
          <w:lang w:val="de-DE"/>
        </w:rPr>
        <w:t xml:space="preserve"> </w:t>
      </w:r>
      <w:r w:rsidRPr="002D396F">
        <w:rPr>
          <w:lang w:val="de-DE"/>
        </w:rPr>
        <w:t>„</w:t>
      </w:r>
      <w:r w:rsidR="003A1330" w:rsidRPr="002D396F">
        <w:rPr>
          <w:lang w:val="de-DE"/>
        </w:rPr>
        <w:t>P801a</w:t>
      </w:r>
      <w:r w:rsidRPr="002D396F">
        <w:rPr>
          <w:lang w:val="de-DE"/>
        </w:rPr>
        <w:t>“</w:t>
      </w:r>
      <w:r w:rsidR="003A1330" w:rsidRPr="002D396F">
        <w:rPr>
          <w:lang w:val="de-DE"/>
        </w:rPr>
        <w:t>.</w:t>
      </w:r>
    </w:p>
    <w:p w14:paraId="02524FB7" w14:textId="1C677C0C" w:rsidR="003A1330" w:rsidRPr="002D396F" w:rsidRDefault="005C6D45" w:rsidP="003A1330">
      <w:pPr>
        <w:pStyle w:val="SingleTxtG"/>
        <w:ind w:left="2259" w:hanging="1125"/>
        <w:rPr>
          <w:lang w:val="de-DE"/>
        </w:rPr>
      </w:pPr>
      <w:r w:rsidRPr="002D396F">
        <w:rPr>
          <w:lang w:val="de-DE"/>
        </w:rPr>
        <w:t>Bei de</w:t>
      </w:r>
      <w:r w:rsidR="00217CF8" w:rsidRPr="002D396F">
        <w:rPr>
          <w:lang w:val="de-DE"/>
        </w:rPr>
        <w:t>n</w:t>
      </w:r>
      <w:r w:rsidRPr="002D396F">
        <w:rPr>
          <w:lang w:val="de-DE"/>
        </w:rPr>
        <w:t xml:space="preserve"> UN-Nrn. </w:t>
      </w:r>
      <w:r w:rsidR="003A1330" w:rsidRPr="002D396F">
        <w:rPr>
          <w:lang w:val="de-DE"/>
        </w:rPr>
        <w:t>2800</w:t>
      </w:r>
      <w:r w:rsidR="00217CF8" w:rsidRPr="002D396F">
        <w:rPr>
          <w:lang w:val="de-DE"/>
        </w:rPr>
        <w:t xml:space="preserve"> in Spalte (8) </w:t>
      </w:r>
      <w:r w:rsidRPr="002D396F">
        <w:rPr>
          <w:lang w:val="de-DE"/>
        </w:rPr>
        <w:t>einfügen</w:t>
      </w:r>
      <w:r w:rsidR="00217CF8" w:rsidRPr="002D396F">
        <w:rPr>
          <w:lang w:val="de-DE"/>
        </w:rPr>
        <w:t>:</w:t>
      </w:r>
      <w:r w:rsidR="003A1330" w:rsidRPr="002D396F">
        <w:rPr>
          <w:lang w:val="de-DE"/>
        </w:rPr>
        <w:t xml:space="preserve"> </w:t>
      </w:r>
      <w:r w:rsidRPr="002D396F">
        <w:rPr>
          <w:lang w:val="de-DE"/>
        </w:rPr>
        <w:t>„</w:t>
      </w:r>
      <w:r w:rsidR="003A1330" w:rsidRPr="002D396F">
        <w:rPr>
          <w:lang w:val="de-DE"/>
        </w:rPr>
        <w:t>P801</w:t>
      </w:r>
      <w:r w:rsidRPr="002D396F">
        <w:rPr>
          <w:lang w:val="de-DE"/>
        </w:rPr>
        <w:t>“</w:t>
      </w:r>
      <w:r w:rsidR="003A1330" w:rsidRPr="002D396F">
        <w:rPr>
          <w:lang w:val="de-DE"/>
        </w:rPr>
        <w:t>.</w:t>
      </w:r>
    </w:p>
    <w:p w14:paraId="2AC8DD00" w14:textId="2D12B344" w:rsidR="003A1330" w:rsidRPr="002D396F" w:rsidRDefault="005C6D45" w:rsidP="003A1330">
      <w:pPr>
        <w:pStyle w:val="SingleTxtG"/>
        <w:ind w:left="2259" w:hanging="1125"/>
        <w:rPr>
          <w:lang w:val="de-DE"/>
        </w:rPr>
      </w:pPr>
      <w:r w:rsidRPr="002D396F">
        <w:rPr>
          <w:lang w:val="de-DE"/>
        </w:rPr>
        <w:t>Bei de</w:t>
      </w:r>
      <w:r w:rsidR="00217CF8" w:rsidRPr="002D396F">
        <w:rPr>
          <w:lang w:val="de-DE"/>
        </w:rPr>
        <w:t>n</w:t>
      </w:r>
      <w:r w:rsidRPr="002D396F">
        <w:rPr>
          <w:lang w:val="de-DE"/>
        </w:rPr>
        <w:t xml:space="preserve"> UN-Nrn. </w:t>
      </w:r>
      <w:r w:rsidR="003A1330" w:rsidRPr="002D396F">
        <w:rPr>
          <w:lang w:val="de-DE"/>
        </w:rPr>
        <w:t xml:space="preserve">3091 </w:t>
      </w:r>
      <w:r w:rsidRPr="002D396F">
        <w:rPr>
          <w:lang w:val="de-DE"/>
        </w:rPr>
        <w:t>und</w:t>
      </w:r>
      <w:r w:rsidR="003A1330" w:rsidRPr="002D396F">
        <w:rPr>
          <w:lang w:val="de-DE"/>
        </w:rPr>
        <w:t xml:space="preserve"> 3481</w:t>
      </w:r>
      <w:r w:rsidR="00217CF8" w:rsidRPr="002D396F">
        <w:rPr>
          <w:lang w:val="de-DE"/>
        </w:rPr>
        <w:t xml:space="preserve"> in Spalte (6)</w:t>
      </w:r>
      <w:r w:rsidR="003A1330" w:rsidRPr="002D396F">
        <w:rPr>
          <w:lang w:val="de-DE"/>
        </w:rPr>
        <w:t xml:space="preserve"> </w:t>
      </w:r>
      <w:r w:rsidRPr="002D396F">
        <w:rPr>
          <w:lang w:val="de-DE"/>
        </w:rPr>
        <w:t>einfügen</w:t>
      </w:r>
      <w:r w:rsidR="00217CF8" w:rsidRPr="002D396F">
        <w:rPr>
          <w:lang w:val="de-DE"/>
        </w:rPr>
        <w:t>:</w:t>
      </w:r>
      <w:r w:rsidRPr="002D396F">
        <w:rPr>
          <w:lang w:val="de-DE"/>
        </w:rPr>
        <w:t xml:space="preserve"> „</w:t>
      </w:r>
      <w:r w:rsidR="003A1330" w:rsidRPr="002D396F">
        <w:rPr>
          <w:lang w:val="de-DE"/>
        </w:rPr>
        <w:t>390</w:t>
      </w:r>
      <w:r w:rsidRPr="002D396F">
        <w:rPr>
          <w:lang w:val="de-DE"/>
        </w:rPr>
        <w:t xml:space="preserve">“ </w:t>
      </w:r>
    </w:p>
    <w:p w14:paraId="76D30158" w14:textId="2F8E19D6" w:rsidR="003A1330" w:rsidRPr="002D396F" w:rsidRDefault="00217CF8" w:rsidP="003A1330">
      <w:pPr>
        <w:pStyle w:val="SingleTxtG"/>
        <w:ind w:left="2259" w:hanging="1125"/>
        <w:rPr>
          <w:lang w:val="de-DE"/>
        </w:rPr>
      </w:pPr>
      <w:bookmarkStart w:id="21" w:name="_Hlk15564210"/>
      <w:r w:rsidRPr="002D396F">
        <w:rPr>
          <w:lang w:val="de-DE"/>
        </w:rPr>
        <w:t xml:space="preserve">Bei der UN-Nr. </w:t>
      </w:r>
      <w:bookmarkEnd w:id="21"/>
      <w:r w:rsidR="003A1330" w:rsidRPr="002D396F">
        <w:rPr>
          <w:lang w:val="de-DE"/>
        </w:rPr>
        <w:t>3291</w:t>
      </w:r>
      <w:r w:rsidRPr="002D396F">
        <w:rPr>
          <w:lang w:val="de-DE"/>
        </w:rPr>
        <w:t xml:space="preserve"> in Spalte </w:t>
      </w:r>
      <w:r w:rsidR="003A1330" w:rsidRPr="002D396F">
        <w:rPr>
          <w:lang w:val="de-DE"/>
        </w:rPr>
        <w:t xml:space="preserve">(4) </w:t>
      </w:r>
      <w:r w:rsidRPr="002D396F">
        <w:rPr>
          <w:lang w:val="de-DE"/>
        </w:rPr>
        <w:t xml:space="preserve">streichen: </w:t>
      </w:r>
      <w:r w:rsidR="00880818" w:rsidRPr="002D396F">
        <w:rPr>
          <w:lang w:val="de-DE"/>
        </w:rPr>
        <w:t>„</w:t>
      </w:r>
      <w:r w:rsidR="003A1330" w:rsidRPr="002D396F">
        <w:rPr>
          <w:lang w:val="de-DE"/>
        </w:rPr>
        <w:t>II</w:t>
      </w:r>
      <w:r w:rsidR="00880818" w:rsidRPr="002D396F">
        <w:rPr>
          <w:lang w:val="de-DE"/>
        </w:rPr>
        <w:t>“</w:t>
      </w:r>
      <w:r w:rsidR="003A1330" w:rsidRPr="002D396F">
        <w:rPr>
          <w:lang w:val="de-DE"/>
        </w:rPr>
        <w:t>. (</w:t>
      </w:r>
      <w:r w:rsidRPr="002D396F">
        <w:rPr>
          <w:lang w:val="de-DE"/>
        </w:rPr>
        <w:t>zweimal</w:t>
      </w:r>
      <w:r w:rsidR="003A1330" w:rsidRPr="002D396F">
        <w:rPr>
          <w:lang w:val="de-DE"/>
        </w:rPr>
        <w:t>)</w:t>
      </w:r>
    </w:p>
    <w:p w14:paraId="17E79497" w14:textId="2FB568D4" w:rsidR="003A1330" w:rsidRPr="002D396F" w:rsidRDefault="00880818" w:rsidP="00880818">
      <w:pPr>
        <w:pStyle w:val="SingleTxtG"/>
        <w:rPr>
          <w:lang w:val="de-DE"/>
        </w:rPr>
      </w:pPr>
      <w:bookmarkStart w:id="22" w:name="_Hlk11158395"/>
      <w:r w:rsidRPr="002D396F">
        <w:rPr>
          <w:lang w:val="de-DE"/>
        </w:rPr>
        <w:t xml:space="preserve">Bei der UN-Nr. </w:t>
      </w:r>
      <w:r w:rsidR="003A1330" w:rsidRPr="002D396F">
        <w:rPr>
          <w:lang w:val="de-DE"/>
        </w:rPr>
        <w:t>3325</w:t>
      </w:r>
      <w:r w:rsidRPr="002D396F">
        <w:rPr>
          <w:lang w:val="de-DE"/>
        </w:rPr>
        <w:t>: [Die Änderung in der englischen Fassung hat keine Auswirkungen auf den deutschen Text.]</w:t>
      </w:r>
    </w:p>
    <w:bookmarkEnd w:id="22"/>
    <w:p w14:paraId="2A3C3601" w14:textId="5DA2FD78" w:rsidR="003A1330" w:rsidRPr="002D396F" w:rsidRDefault="00880818" w:rsidP="00880818">
      <w:pPr>
        <w:pStyle w:val="SingleTxtG"/>
        <w:rPr>
          <w:lang w:val="de-DE"/>
        </w:rPr>
      </w:pPr>
      <w:r w:rsidRPr="002D396F">
        <w:rPr>
          <w:lang w:val="de-DE"/>
        </w:rPr>
        <w:t xml:space="preserve">Bei der UN-Nr. </w:t>
      </w:r>
      <w:r w:rsidR="003A1330" w:rsidRPr="002D396F">
        <w:rPr>
          <w:lang w:val="de-DE"/>
        </w:rPr>
        <w:t xml:space="preserve">3363, </w:t>
      </w:r>
      <w:r w:rsidRPr="002D396F">
        <w:rPr>
          <w:lang w:val="de-DE"/>
        </w:rPr>
        <w:t>in Spalte</w:t>
      </w:r>
      <w:r w:rsidR="003A1330" w:rsidRPr="002D396F">
        <w:rPr>
          <w:lang w:val="de-DE"/>
        </w:rPr>
        <w:t xml:space="preserve"> (2)</w:t>
      </w:r>
      <w:r w:rsidRPr="002D396F">
        <w:rPr>
          <w:lang w:val="de-DE"/>
        </w:rPr>
        <w:t xml:space="preserve"> Am Anfang hinzufügen: „GEFÄHRLICHE GÜTER IN GEGENSTÄNDEN oder“.</w:t>
      </w:r>
    </w:p>
    <w:p w14:paraId="62F09356" w14:textId="354B3962" w:rsidR="003A1330" w:rsidRPr="002D396F" w:rsidRDefault="003A1330" w:rsidP="003A1330">
      <w:pPr>
        <w:pStyle w:val="H1G"/>
        <w:rPr>
          <w:lang w:val="de-DE"/>
        </w:rPr>
      </w:pPr>
      <w:r w:rsidRPr="002D396F">
        <w:rPr>
          <w:lang w:val="de-DE"/>
        </w:rPr>
        <w:lastRenderedPageBreak/>
        <w:tab/>
      </w:r>
      <w:r w:rsidRPr="002D396F">
        <w:rPr>
          <w:lang w:val="de-DE"/>
        </w:rPr>
        <w:tab/>
      </w:r>
      <w:r w:rsidR="00E91B89" w:rsidRPr="002D396F">
        <w:rPr>
          <w:lang w:val="de-DE"/>
        </w:rPr>
        <w:t>Kapitel</w:t>
      </w:r>
      <w:r w:rsidRPr="002D396F">
        <w:rPr>
          <w:lang w:val="de-DE"/>
        </w:rPr>
        <w:t xml:space="preserve"> 3.2, </w:t>
      </w:r>
      <w:r w:rsidR="003D5772" w:rsidRPr="002D396F">
        <w:rPr>
          <w:lang w:val="de-DE"/>
        </w:rPr>
        <w:t>T</w:t>
      </w:r>
      <w:r w:rsidRPr="002D396F">
        <w:rPr>
          <w:lang w:val="de-DE"/>
        </w:rPr>
        <w:t>ab</w:t>
      </w:r>
      <w:r w:rsidR="00E91B89" w:rsidRPr="002D396F">
        <w:rPr>
          <w:lang w:val="de-DE"/>
        </w:rPr>
        <w:t>elle</w:t>
      </w:r>
      <w:r w:rsidRPr="002D396F">
        <w:rPr>
          <w:lang w:val="de-DE"/>
        </w:rPr>
        <w:t xml:space="preserve"> B</w:t>
      </w:r>
    </w:p>
    <w:p w14:paraId="6DF3CE58" w14:textId="77777777" w:rsidR="000636E5" w:rsidRPr="002D396F" w:rsidRDefault="000636E5" w:rsidP="000636E5">
      <w:pPr>
        <w:widowControl w:val="0"/>
        <w:suppressAutoHyphens w:val="0"/>
        <w:autoSpaceDE w:val="0"/>
        <w:autoSpaceDN w:val="0"/>
        <w:spacing w:line="240" w:lineRule="auto"/>
        <w:ind w:left="1134"/>
        <w:rPr>
          <w:lang w:val="de-DE"/>
        </w:rPr>
      </w:pPr>
      <w:r w:rsidRPr="002D396F">
        <w:rPr>
          <w:lang w:val="de-DE"/>
        </w:rPr>
        <w:t>Folgende neue Eintragungen einfügen:</w:t>
      </w:r>
    </w:p>
    <w:p w14:paraId="3D3FF6E3" w14:textId="6AC58E43" w:rsidR="000636E5" w:rsidRPr="002D396F" w:rsidRDefault="00CC4A0E" w:rsidP="000636E5">
      <w:pPr>
        <w:widowControl w:val="0"/>
        <w:suppressAutoHyphens w:val="0"/>
        <w:autoSpaceDE w:val="0"/>
        <w:autoSpaceDN w:val="0"/>
        <w:spacing w:before="2" w:after="1" w:line="240" w:lineRule="auto"/>
        <w:rPr>
          <w:rFonts w:ascii="Arial" w:eastAsia="Arial" w:hAnsi="Arial" w:cs="Arial"/>
          <w:sz w:val="22"/>
          <w:szCs w:val="22"/>
          <w:lang w:val="de-DE" w:eastAsia="de-DE" w:bidi="de-DE"/>
        </w:rPr>
      </w:pPr>
      <w:r>
        <w:rPr>
          <w:rFonts w:ascii="Arial" w:eastAsia="Arial" w:hAnsi="Arial" w:cs="Arial"/>
          <w:sz w:val="22"/>
          <w:szCs w:val="22"/>
          <w:lang w:val="de-DE" w:eastAsia="de-DE" w:bidi="de-DE"/>
        </w:rPr>
        <w:t>„</w:t>
      </w:r>
    </w:p>
    <w:tbl>
      <w:tblPr>
        <w:tblStyle w:val="TableNormal4"/>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4"/>
        <w:gridCol w:w="1329"/>
      </w:tblGrid>
      <w:tr w:rsidR="00381DB4" w:rsidRPr="002D396F" w14:paraId="706872F7" w14:textId="77777777" w:rsidTr="00381DB4">
        <w:trPr>
          <w:trHeight w:val="760"/>
        </w:trPr>
        <w:tc>
          <w:tcPr>
            <w:tcW w:w="5494" w:type="dxa"/>
          </w:tcPr>
          <w:p w14:paraId="59EF321D" w14:textId="77777777" w:rsidR="00381DB4" w:rsidRPr="002D396F" w:rsidRDefault="00381DB4" w:rsidP="000636E5">
            <w:pPr>
              <w:suppressAutoHyphens w:val="0"/>
              <w:spacing w:line="248" w:lineRule="exact"/>
              <w:ind w:left="107"/>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Benennung und Beschreibung des Gutes</w:t>
            </w:r>
          </w:p>
        </w:tc>
        <w:tc>
          <w:tcPr>
            <w:tcW w:w="1329" w:type="dxa"/>
          </w:tcPr>
          <w:p w14:paraId="00FA3AFD" w14:textId="2E1D4C33" w:rsidR="00381DB4" w:rsidRPr="002D396F" w:rsidRDefault="00381DB4" w:rsidP="00381DB4">
            <w:pPr>
              <w:suppressAutoHyphens w:val="0"/>
              <w:spacing w:line="248" w:lineRule="exact"/>
              <w:ind w:left="107"/>
              <w:rPr>
                <w:rFonts w:ascii="Times New Roman" w:eastAsia="Arial" w:hAnsi="Times New Roman"/>
                <w:b/>
                <w:sz w:val="20"/>
                <w:szCs w:val="20"/>
                <w:lang w:val="de-DE" w:eastAsia="de-DE" w:bidi="de-DE"/>
              </w:rPr>
            </w:pPr>
            <w:r w:rsidRPr="002D396F">
              <w:rPr>
                <w:rFonts w:ascii="Times New Roman" w:eastAsia="Arial" w:hAnsi="Times New Roman"/>
                <w:b/>
                <w:sz w:val="20"/>
                <w:szCs w:val="20"/>
                <w:lang w:val="de-DE" w:eastAsia="de-DE" w:bidi="de-DE"/>
              </w:rPr>
              <w:t>Stoffnummer/UN-Nummer</w:t>
            </w:r>
          </w:p>
        </w:tc>
      </w:tr>
      <w:tr w:rsidR="00381DB4" w:rsidRPr="002D396F" w14:paraId="139B11FA" w14:textId="77777777" w:rsidTr="00381DB4">
        <w:trPr>
          <w:trHeight w:val="251"/>
        </w:trPr>
        <w:tc>
          <w:tcPr>
            <w:tcW w:w="5494" w:type="dxa"/>
          </w:tcPr>
          <w:p w14:paraId="720F628A" w14:textId="77777777" w:rsidR="00381DB4" w:rsidRPr="002D396F" w:rsidRDefault="00381DB4" w:rsidP="000636E5">
            <w:pPr>
              <w:suppressAutoHyphens w:val="0"/>
              <w:spacing w:line="232"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GEFÄHRLICHE GÜTER IN GEGENSTÄNDEN</w:t>
            </w:r>
          </w:p>
        </w:tc>
        <w:tc>
          <w:tcPr>
            <w:tcW w:w="1329" w:type="dxa"/>
          </w:tcPr>
          <w:p w14:paraId="53444F3A" w14:textId="77777777" w:rsidR="00381DB4" w:rsidRPr="002D396F" w:rsidRDefault="00381DB4" w:rsidP="000636E5">
            <w:pPr>
              <w:suppressAutoHyphens w:val="0"/>
              <w:spacing w:line="232"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3363</w:t>
            </w:r>
          </w:p>
        </w:tc>
      </w:tr>
      <w:tr w:rsidR="00381DB4" w:rsidRPr="002D396F" w14:paraId="1629A643" w14:textId="77777777" w:rsidTr="00381DB4">
        <w:trPr>
          <w:trHeight w:val="505"/>
        </w:trPr>
        <w:tc>
          <w:tcPr>
            <w:tcW w:w="5494" w:type="dxa"/>
          </w:tcPr>
          <w:p w14:paraId="3F0D6CCD" w14:textId="2CED947F" w:rsidR="00381DB4" w:rsidRPr="002D396F" w:rsidRDefault="00381DB4" w:rsidP="000636E5">
            <w:pPr>
              <w:suppressAutoHyphens w:val="0"/>
              <w:spacing w:line="254" w:lineRule="exact"/>
              <w:ind w:left="107" w:right="626"/>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MEDIZINISCHE ABFÄLLE, KATEGORIE A, GEFÄHRLICH FÜR MENSCHEN, fest</w:t>
            </w:r>
          </w:p>
        </w:tc>
        <w:tc>
          <w:tcPr>
            <w:tcW w:w="1329" w:type="dxa"/>
          </w:tcPr>
          <w:p w14:paraId="0113CB2B" w14:textId="77777777" w:rsidR="00381DB4" w:rsidRPr="002D396F" w:rsidRDefault="00381DB4" w:rsidP="000636E5">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3549</w:t>
            </w:r>
          </w:p>
        </w:tc>
      </w:tr>
      <w:tr w:rsidR="00381DB4" w:rsidRPr="002D396F" w14:paraId="043A5DB7" w14:textId="77777777" w:rsidTr="00381DB4">
        <w:trPr>
          <w:trHeight w:val="504"/>
        </w:trPr>
        <w:tc>
          <w:tcPr>
            <w:tcW w:w="5494" w:type="dxa"/>
          </w:tcPr>
          <w:p w14:paraId="566FD80C" w14:textId="212E531C" w:rsidR="00381DB4" w:rsidRPr="002D396F" w:rsidRDefault="00381DB4" w:rsidP="00C94462">
            <w:pPr>
              <w:suppressAutoHyphens w:val="0"/>
              <w:spacing w:line="248"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MEDIZINISCHE ABFÄLLE, KATEGORIE A, nur GEFÄHRLICH FÜR TIERE, fest</w:t>
            </w:r>
          </w:p>
        </w:tc>
        <w:tc>
          <w:tcPr>
            <w:tcW w:w="1329" w:type="dxa"/>
          </w:tcPr>
          <w:p w14:paraId="1BC03701" w14:textId="77777777" w:rsidR="00381DB4" w:rsidRPr="002D396F" w:rsidRDefault="00381DB4" w:rsidP="000636E5">
            <w:pPr>
              <w:suppressAutoHyphens w:val="0"/>
              <w:spacing w:line="248"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3549</w:t>
            </w:r>
          </w:p>
        </w:tc>
      </w:tr>
      <w:tr w:rsidR="00381DB4" w:rsidRPr="002D396F" w14:paraId="77809CCE" w14:textId="77777777" w:rsidTr="00381DB4">
        <w:trPr>
          <w:trHeight w:val="506"/>
        </w:trPr>
        <w:tc>
          <w:tcPr>
            <w:tcW w:w="5494" w:type="dxa"/>
          </w:tcPr>
          <w:p w14:paraId="3A47E041" w14:textId="236B05C2" w:rsidR="00381DB4" w:rsidRPr="002D396F" w:rsidRDefault="00381DB4" w:rsidP="00C94462">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SPRENGKAPSELN, ELEKTRONISCH, programmierbar</w:t>
            </w:r>
          </w:p>
        </w:tc>
        <w:tc>
          <w:tcPr>
            <w:tcW w:w="1329" w:type="dxa"/>
          </w:tcPr>
          <w:p w14:paraId="7272DE59" w14:textId="77777777" w:rsidR="00381DB4" w:rsidRPr="002D396F" w:rsidRDefault="00381DB4" w:rsidP="000636E5">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0511</w:t>
            </w:r>
          </w:p>
        </w:tc>
      </w:tr>
      <w:tr w:rsidR="00381DB4" w:rsidRPr="002D396F" w14:paraId="4539F959" w14:textId="77777777" w:rsidTr="00381DB4">
        <w:trPr>
          <w:trHeight w:val="505"/>
        </w:trPr>
        <w:tc>
          <w:tcPr>
            <w:tcW w:w="5494" w:type="dxa"/>
          </w:tcPr>
          <w:p w14:paraId="29D6FE04" w14:textId="3CA999E7" w:rsidR="00381DB4" w:rsidRPr="002D396F" w:rsidRDefault="00381DB4" w:rsidP="00C94462">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SPRENGKAPSELN, ELEKTRONISCH, programmierbar</w:t>
            </w:r>
          </w:p>
        </w:tc>
        <w:tc>
          <w:tcPr>
            <w:tcW w:w="1329" w:type="dxa"/>
          </w:tcPr>
          <w:p w14:paraId="37DBB612" w14:textId="77777777" w:rsidR="00381DB4" w:rsidRPr="002D396F" w:rsidRDefault="00381DB4" w:rsidP="000636E5">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0512</w:t>
            </w:r>
          </w:p>
        </w:tc>
      </w:tr>
      <w:tr w:rsidR="00381DB4" w:rsidRPr="002D396F" w14:paraId="589C3A21" w14:textId="77777777" w:rsidTr="00381DB4">
        <w:trPr>
          <w:trHeight w:val="506"/>
        </w:trPr>
        <w:tc>
          <w:tcPr>
            <w:tcW w:w="5494" w:type="dxa"/>
          </w:tcPr>
          <w:p w14:paraId="4618CEC2" w14:textId="05ABDA97" w:rsidR="00381DB4" w:rsidRPr="002D396F" w:rsidRDefault="00381DB4" w:rsidP="00C94462">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SPRENGKAPSELN, ELEKTRONISCH, programmierbar</w:t>
            </w:r>
          </w:p>
        </w:tc>
        <w:tc>
          <w:tcPr>
            <w:tcW w:w="1329" w:type="dxa"/>
          </w:tcPr>
          <w:p w14:paraId="40C0C65D" w14:textId="77777777" w:rsidR="00381DB4" w:rsidRPr="002D396F" w:rsidRDefault="00381DB4" w:rsidP="000636E5">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0513</w:t>
            </w:r>
          </w:p>
        </w:tc>
      </w:tr>
    </w:tbl>
    <w:p w14:paraId="6A4C2571" w14:textId="7C18E4F4" w:rsidR="00FC06C9" w:rsidRDefault="00CC4A0E">
      <w:pPr>
        <w:suppressAutoHyphens w:val="0"/>
        <w:spacing w:line="240" w:lineRule="auto"/>
        <w:rPr>
          <w:rFonts w:eastAsia="Arial"/>
          <w:lang w:val="de-DE" w:eastAsia="de-DE" w:bidi="de-DE"/>
        </w:rPr>
      </w:pPr>
      <w:r>
        <w:rPr>
          <w:rFonts w:eastAsia="Arial"/>
          <w:lang w:val="de-DE" w:eastAsia="de-DE" w:bidi="de-DE"/>
        </w:rPr>
        <w:t>„.</w:t>
      </w:r>
    </w:p>
    <w:p w14:paraId="3661FC9A" w14:textId="37379497" w:rsidR="000636E5" w:rsidRPr="002D396F" w:rsidRDefault="000636E5" w:rsidP="003A1330">
      <w:pPr>
        <w:pStyle w:val="SingleTxtG"/>
        <w:ind w:left="2259" w:hanging="1125"/>
      </w:pPr>
      <w:r w:rsidRPr="002D396F">
        <w:rPr>
          <w:rFonts w:eastAsia="Arial"/>
          <w:lang w:val="de-DE" w:eastAsia="de-DE" w:bidi="de-DE"/>
        </w:rPr>
        <w:t>Folgende Änderungen vornehmen:</w:t>
      </w:r>
    </w:p>
    <w:tbl>
      <w:tblPr>
        <w:tblStyle w:val="TableNormal5"/>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849"/>
        <w:gridCol w:w="3794"/>
      </w:tblGrid>
      <w:tr w:rsidR="000636E5" w:rsidRPr="0005778A" w14:paraId="69C30C5C" w14:textId="77777777" w:rsidTr="00867952">
        <w:trPr>
          <w:trHeight w:val="760"/>
        </w:trPr>
        <w:tc>
          <w:tcPr>
            <w:tcW w:w="3686" w:type="dxa"/>
          </w:tcPr>
          <w:p w14:paraId="31479B3A" w14:textId="3BD46E7E" w:rsidR="000636E5" w:rsidRPr="002D396F" w:rsidRDefault="000636E5" w:rsidP="000636E5">
            <w:pPr>
              <w:suppressAutoHyphens w:val="0"/>
              <w:spacing w:line="242" w:lineRule="auto"/>
              <w:ind w:left="107" w:right="4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2-DIMETHYLAMINOETHYLMETHACRYLAT</w:t>
            </w:r>
          </w:p>
        </w:tc>
        <w:tc>
          <w:tcPr>
            <w:tcW w:w="849" w:type="dxa"/>
          </w:tcPr>
          <w:p w14:paraId="231AC7EE" w14:textId="77777777" w:rsidR="000636E5" w:rsidRPr="002D396F" w:rsidRDefault="000636E5" w:rsidP="000636E5">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2522</w:t>
            </w:r>
          </w:p>
        </w:tc>
        <w:tc>
          <w:tcPr>
            <w:tcW w:w="3794" w:type="dxa"/>
          </w:tcPr>
          <w:p w14:paraId="6F71547C" w14:textId="65E43C87" w:rsidR="000636E5" w:rsidRPr="002D396F" w:rsidRDefault="000636E5" w:rsidP="00E5610F">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Am Ende der Benennung in Spalte</w:t>
            </w:r>
            <w:r w:rsidR="00FC06C9">
              <w:rPr>
                <w:rFonts w:ascii="Times New Roman" w:eastAsia="Arial" w:hAnsi="Times New Roman"/>
                <w:sz w:val="20"/>
                <w:szCs w:val="20"/>
                <w:lang w:val="de-DE" w:eastAsia="de-DE" w:bidi="de-DE"/>
              </w:rPr>
              <w:t xml:space="preserve"> </w:t>
            </w:r>
            <w:r w:rsidRPr="002D396F">
              <w:rPr>
                <w:rFonts w:ascii="Times New Roman" w:eastAsia="Arial" w:hAnsi="Times New Roman"/>
                <w:sz w:val="20"/>
                <w:szCs w:val="20"/>
                <w:lang w:val="de-DE" w:eastAsia="de-DE" w:bidi="de-DE"/>
              </w:rPr>
              <w:t>(2) hinzufügen:</w:t>
            </w:r>
            <w:r w:rsidR="00E5610F">
              <w:rPr>
                <w:rFonts w:ascii="Times New Roman" w:eastAsia="Arial" w:hAnsi="Times New Roman"/>
                <w:sz w:val="20"/>
                <w:szCs w:val="20"/>
                <w:lang w:val="de-DE" w:eastAsia="de-DE" w:bidi="de-DE"/>
              </w:rPr>
              <w:t xml:space="preserve"> </w:t>
            </w:r>
            <w:r w:rsidRPr="002D396F">
              <w:rPr>
                <w:rFonts w:ascii="Times New Roman" w:eastAsia="Arial" w:hAnsi="Times New Roman"/>
                <w:sz w:val="20"/>
                <w:szCs w:val="20"/>
                <w:lang w:val="de-DE" w:eastAsia="de-DE" w:bidi="de-DE"/>
              </w:rPr>
              <w:t>„, STABILISIERT“.</w:t>
            </w:r>
          </w:p>
        </w:tc>
      </w:tr>
      <w:tr w:rsidR="000636E5" w:rsidRPr="0005778A" w14:paraId="3FB2483E" w14:textId="77777777" w:rsidTr="00867952">
        <w:trPr>
          <w:trHeight w:val="758"/>
        </w:trPr>
        <w:tc>
          <w:tcPr>
            <w:tcW w:w="3686" w:type="dxa"/>
          </w:tcPr>
          <w:p w14:paraId="691B5ACC" w14:textId="3E783003" w:rsidR="000636E5" w:rsidRPr="002D396F" w:rsidRDefault="000636E5" w:rsidP="00E5610F">
            <w:pPr>
              <w:suppressAutoHyphens w:val="0"/>
              <w:spacing w:line="240" w:lineRule="auto"/>
              <w:ind w:left="107" w:right="199"/>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RADIOAKTIVE STOFFE MIT GERINGER SPEZIFISCHER AKTIVITÄT (LSA-III), SPALTBAR</w:t>
            </w:r>
          </w:p>
        </w:tc>
        <w:tc>
          <w:tcPr>
            <w:tcW w:w="849" w:type="dxa"/>
          </w:tcPr>
          <w:p w14:paraId="59774103" w14:textId="77777777" w:rsidR="000636E5" w:rsidRPr="002D396F" w:rsidRDefault="000636E5" w:rsidP="000636E5">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3325</w:t>
            </w:r>
          </w:p>
        </w:tc>
        <w:tc>
          <w:tcPr>
            <w:tcW w:w="3794" w:type="dxa"/>
          </w:tcPr>
          <w:p w14:paraId="357E0C80" w14:textId="3B5198AB" w:rsidR="000636E5" w:rsidRPr="002D396F" w:rsidRDefault="000636E5" w:rsidP="00FC06C9">
            <w:pPr>
              <w:suppressAutoHyphens w:val="0"/>
              <w:spacing w:line="240" w:lineRule="auto"/>
              <w:ind w:left="108" w:right="415"/>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[Die Änderung in der englischen Fassung hat keine Auswirkungen</w:t>
            </w:r>
            <w:r w:rsidR="00FC06C9">
              <w:rPr>
                <w:rFonts w:ascii="Times New Roman" w:eastAsia="Arial" w:hAnsi="Times New Roman"/>
                <w:sz w:val="20"/>
                <w:szCs w:val="20"/>
                <w:lang w:val="de-DE" w:eastAsia="de-DE" w:bidi="de-DE"/>
              </w:rPr>
              <w:t xml:space="preserve"> </w:t>
            </w:r>
            <w:r w:rsidRPr="002D396F">
              <w:rPr>
                <w:rFonts w:ascii="Times New Roman" w:eastAsia="Arial" w:hAnsi="Times New Roman"/>
                <w:sz w:val="20"/>
                <w:szCs w:val="20"/>
                <w:lang w:val="de-DE" w:eastAsia="de-DE" w:bidi="de-DE"/>
              </w:rPr>
              <w:t>auf den deutschen Text.]</w:t>
            </w:r>
          </w:p>
        </w:tc>
      </w:tr>
      <w:tr w:rsidR="000636E5" w:rsidRPr="0005778A" w14:paraId="7F930AD1" w14:textId="77777777" w:rsidTr="00867952">
        <w:trPr>
          <w:trHeight w:val="757"/>
        </w:trPr>
        <w:tc>
          <w:tcPr>
            <w:tcW w:w="3686" w:type="dxa"/>
          </w:tcPr>
          <w:p w14:paraId="13BD7330" w14:textId="7EA23912" w:rsidR="000636E5" w:rsidRPr="002D396F" w:rsidRDefault="000636E5" w:rsidP="00E5610F">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TRINITROCHLORBENZEN, ANGEFEUCHTET mit mindestens 10 Masse-% Wasser</w:t>
            </w:r>
          </w:p>
        </w:tc>
        <w:tc>
          <w:tcPr>
            <w:tcW w:w="849" w:type="dxa"/>
          </w:tcPr>
          <w:p w14:paraId="65F8AD43" w14:textId="77777777" w:rsidR="000636E5" w:rsidRPr="002D396F" w:rsidRDefault="000636E5" w:rsidP="000636E5">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3365</w:t>
            </w:r>
          </w:p>
        </w:tc>
        <w:tc>
          <w:tcPr>
            <w:tcW w:w="3794" w:type="dxa"/>
          </w:tcPr>
          <w:p w14:paraId="1388BBA3" w14:textId="2C17CB7B" w:rsidR="000636E5" w:rsidRPr="002D396F" w:rsidRDefault="000636E5" w:rsidP="00FC06C9">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[Die Änderung in der englischen</w:t>
            </w:r>
            <w:r w:rsidR="00FC06C9">
              <w:rPr>
                <w:rFonts w:ascii="Times New Roman" w:eastAsia="Arial" w:hAnsi="Times New Roman"/>
                <w:sz w:val="20"/>
                <w:szCs w:val="20"/>
                <w:lang w:val="de-DE" w:eastAsia="de-DE" w:bidi="de-DE"/>
              </w:rPr>
              <w:t xml:space="preserve"> </w:t>
            </w:r>
            <w:r w:rsidRPr="002D396F">
              <w:rPr>
                <w:rFonts w:ascii="Times New Roman" w:eastAsia="Arial" w:hAnsi="Times New Roman"/>
                <w:sz w:val="20"/>
                <w:szCs w:val="20"/>
                <w:lang w:val="de-DE" w:eastAsia="de-DE" w:bidi="de-DE"/>
              </w:rPr>
              <w:t>Fassung hat keine Auswirkungen auf den deutschen Text.]</w:t>
            </w:r>
          </w:p>
        </w:tc>
      </w:tr>
      <w:tr w:rsidR="000636E5" w:rsidRPr="0005778A" w14:paraId="34AACB27" w14:textId="77777777" w:rsidTr="00867952">
        <w:trPr>
          <w:trHeight w:val="758"/>
        </w:trPr>
        <w:tc>
          <w:tcPr>
            <w:tcW w:w="3686" w:type="dxa"/>
          </w:tcPr>
          <w:p w14:paraId="3D0FA907" w14:textId="7D15D1D5" w:rsidR="000636E5" w:rsidRPr="002D396F" w:rsidRDefault="000636E5" w:rsidP="00E5610F">
            <w:pPr>
              <w:suppressAutoHyphens w:val="0"/>
              <w:spacing w:line="250" w:lineRule="exact"/>
              <w:ind w:left="107"/>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TRINITROPHENOL, ANGEFEUCHTET mit mindestens 10 Masse-% Wasser</w:t>
            </w:r>
          </w:p>
        </w:tc>
        <w:tc>
          <w:tcPr>
            <w:tcW w:w="849" w:type="dxa"/>
          </w:tcPr>
          <w:p w14:paraId="1CD454C0" w14:textId="77777777" w:rsidR="000636E5" w:rsidRPr="002D396F" w:rsidRDefault="000636E5" w:rsidP="000636E5">
            <w:pPr>
              <w:suppressAutoHyphens w:val="0"/>
              <w:spacing w:line="250" w:lineRule="exact"/>
              <w:ind w:left="108"/>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3364</w:t>
            </w:r>
          </w:p>
        </w:tc>
        <w:tc>
          <w:tcPr>
            <w:tcW w:w="3794" w:type="dxa"/>
          </w:tcPr>
          <w:p w14:paraId="18C4101C" w14:textId="77777777" w:rsidR="000636E5" w:rsidRPr="002D396F" w:rsidRDefault="000636E5" w:rsidP="000636E5">
            <w:pPr>
              <w:suppressAutoHyphens w:val="0"/>
              <w:spacing w:before="2" w:line="252" w:lineRule="exact"/>
              <w:ind w:left="108" w:right="415"/>
              <w:rPr>
                <w:rFonts w:ascii="Times New Roman" w:eastAsia="Arial" w:hAnsi="Times New Roman"/>
                <w:sz w:val="20"/>
                <w:szCs w:val="20"/>
                <w:lang w:val="de-DE" w:eastAsia="de-DE" w:bidi="de-DE"/>
              </w:rPr>
            </w:pPr>
            <w:r w:rsidRPr="002D396F">
              <w:rPr>
                <w:rFonts w:ascii="Times New Roman" w:eastAsia="Arial" w:hAnsi="Times New Roman"/>
                <w:sz w:val="20"/>
                <w:szCs w:val="20"/>
                <w:lang w:val="de-DE" w:eastAsia="de-DE" w:bidi="de-DE"/>
              </w:rPr>
              <w:t>[Die Änderung in der englischen Fassung hat keine Auswirkungen auf den deutschen Text.]</w:t>
            </w:r>
          </w:p>
        </w:tc>
      </w:tr>
    </w:tbl>
    <w:p w14:paraId="0759390B" w14:textId="4BB3AAEF" w:rsidR="003A1330" w:rsidRPr="002D396F" w:rsidRDefault="003A1330" w:rsidP="003A1330">
      <w:pPr>
        <w:pStyle w:val="H1G"/>
        <w:rPr>
          <w:lang w:val="de-DE"/>
        </w:rPr>
      </w:pPr>
      <w:r w:rsidRPr="002D396F">
        <w:rPr>
          <w:lang w:val="de-DE"/>
        </w:rPr>
        <w:tab/>
      </w:r>
      <w:r w:rsidRPr="002D396F">
        <w:rPr>
          <w:lang w:val="de-DE"/>
        </w:rPr>
        <w:tab/>
      </w:r>
      <w:r w:rsidR="003F68D1" w:rsidRPr="002D396F">
        <w:rPr>
          <w:lang w:val="de-DE"/>
        </w:rPr>
        <w:t>Kapitel</w:t>
      </w:r>
      <w:r w:rsidRPr="002D396F">
        <w:rPr>
          <w:lang w:val="de-DE"/>
        </w:rPr>
        <w:t xml:space="preserve"> 3.3</w:t>
      </w:r>
    </w:p>
    <w:p w14:paraId="16647D80" w14:textId="7258B836" w:rsidR="003F68D1" w:rsidRPr="002D396F" w:rsidRDefault="001A2355" w:rsidP="003A1330">
      <w:pPr>
        <w:pStyle w:val="SingleTxtG"/>
        <w:ind w:left="2259" w:hanging="1125"/>
        <w:rPr>
          <w:lang w:val="de-DE"/>
        </w:rPr>
      </w:pPr>
      <w:bookmarkStart w:id="23" w:name="_Hlk11158442"/>
      <w:r w:rsidRPr="002D396F">
        <w:rPr>
          <w:lang w:val="de-DE"/>
        </w:rPr>
        <w:t>SV</w:t>
      </w:r>
      <w:r w:rsidR="003A1330" w:rsidRPr="002D396F">
        <w:rPr>
          <w:lang w:val="de-DE"/>
        </w:rPr>
        <w:t xml:space="preserve"> 188</w:t>
      </w:r>
      <w:r w:rsidR="003A1330" w:rsidRPr="002D396F">
        <w:rPr>
          <w:lang w:val="de-DE"/>
        </w:rPr>
        <w:tab/>
      </w:r>
      <w:r w:rsidR="003F68D1" w:rsidRPr="002D396F">
        <w:rPr>
          <w:lang w:val="de-DE"/>
        </w:rPr>
        <w:t>In den Absätzen g) und h) „die Batterien“ ändern in: „die Zellen oder Batterien“.</w:t>
      </w:r>
    </w:p>
    <w:p w14:paraId="3E34CC88" w14:textId="037FB1AB" w:rsidR="003A1330" w:rsidRPr="002D396F" w:rsidRDefault="003A1330" w:rsidP="003A1330">
      <w:pPr>
        <w:pStyle w:val="SingleTxtG"/>
        <w:rPr>
          <w:i/>
          <w:iCs/>
          <w:lang w:val="de-DE"/>
        </w:rPr>
      </w:pPr>
      <w:r w:rsidRPr="002D396F">
        <w:rPr>
          <w:i/>
          <w:iCs/>
          <w:lang w:val="de-DE"/>
        </w:rPr>
        <w:t>(</w:t>
      </w:r>
      <w:r w:rsidR="00560A59" w:rsidRPr="002D396F">
        <w:rPr>
          <w:i/>
          <w:iCs/>
          <w:lang w:val="de-DE"/>
        </w:rPr>
        <w:t>Korrektur der 20. revidierten Fassung der Modellvorschriften</w:t>
      </w:r>
      <w:r w:rsidRPr="002D396F">
        <w:rPr>
          <w:i/>
          <w:iCs/>
          <w:lang w:val="de-DE"/>
        </w:rPr>
        <w:t>)</w:t>
      </w:r>
    </w:p>
    <w:bookmarkEnd w:id="23"/>
    <w:p w14:paraId="618D6F50" w14:textId="77777777" w:rsidR="001A2355" w:rsidRPr="002D396F" w:rsidRDefault="001A2355" w:rsidP="001A2355">
      <w:pPr>
        <w:pStyle w:val="SingleTxtG"/>
        <w:ind w:left="2259" w:hanging="1125"/>
        <w:rPr>
          <w:lang w:val="de-DE"/>
        </w:rPr>
      </w:pPr>
      <w:r w:rsidRPr="002D396F">
        <w:rPr>
          <w:lang w:val="de-DE"/>
        </w:rPr>
        <w:t>SV</w:t>
      </w:r>
      <w:r w:rsidR="003A1330" w:rsidRPr="002D396F">
        <w:rPr>
          <w:lang w:val="de-DE"/>
        </w:rPr>
        <w:t xml:space="preserve"> 237</w:t>
      </w:r>
      <w:r w:rsidR="003A1330" w:rsidRPr="002D396F">
        <w:rPr>
          <w:lang w:val="de-DE"/>
        </w:rPr>
        <w:tab/>
      </w:r>
      <w:r w:rsidRPr="002D396F">
        <w:rPr>
          <w:lang w:val="de-DE"/>
        </w:rPr>
        <w:t>Im zweiten Unterabsatz „Handbuch Prüfungen und Kriterien Teil III Unterabschnitt 33.2.1“ ändern in: „Handbuch Prüfungen und Kriterien Teil III Unterabschnitt 33.2“.</w:t>
      </w:r>
    </w:p>
    <w:p w14:paraId="473D1498" w14:textId="281570F7" w:rsidR="00580C51" w:rsidRPr="002D396F" w:rsidRDefault="003A1330" w:rsidP="003A1330">
      <w:pPr>
        <w:pStyle w:val="SingleTxtG"/>
        <w:ind w:left="2259" w:hanging="1125"/>
        <w:rPr>
          <w:lang w:val="de-DE"/>
        </w:rPr>
      </w:pPr>
      <w:r w:rsidRPr="002D396F">
        <w:rPr>
          <w:lang w:val="de-DE"/>
        </w:rPr>
        <w:t>S</w:t>
      </w:r>
      <w:r w:rsidR="00580C51" w:rsidRPr="002D396F">
        <w:rPr>
          <w:lang w:val="de-DE"/>
        </w:rPr>
        <w:t>V</w:t>
      </w:r>
      <w:r w:rsidRPr="002D396F">
        <w:rPr>
          <w:lang w:val="de-DE"/>
        </w:rPr>
        <w:t xml:space="preserve"> 241</w:t>
      </w:r>
      <w:r w:rsidRPr="002D396F">
        <w:rPr>
          <w:lang w:val="de-DE"/>
        </w:rPr>
        <w:tab/>
      </w:r>
      <w:r w:rsidR="00580C51" w:rsidRPr="002D396F">
        <w:rPr>
          <w:lang w:val="de-DE"/>
        </w:rPr>
        <w:t>„des Handbuchs Prüfungen und Kriterien Teil III Unterabschnitt 33.2.1.4“ ändern in: „des Handbuchs Prüfungen und Kriterien Teil III Unterabschnitt 33.2.4“.</w:t>
      </w:r>
    </w:p>
    <w:p w14:paraId="45C8973D" w14:textId="621457A7" w:rsidR="00580C51" w:rsidRPr="002D396F" w:rsidRDefault="003A1330" w:rsidP="00580C51">
      <w:pPr>
        <w:pStyle w:val="SingleTxtG"/>
        <w:ind w:left="2259" w:hanging="1125"/>
        <w:rPr>
          <w:lang w:val="de-DE"/>
        </w:rPr>
      </w:pPr>
      <w:r w:rsidRPr="002D396F">
        <w:rPr>
          <w:lang w:val="de-DE"/>
        </w:rPr>
        <w:t>S</w:t>
      </w:r>
      <w:r w:rsidR="001926D4">
        <w:rPr>
          <w:lang w:val="de-DE"/>
        </w:rPr>
        <w:t>V</w:t>
      </w:r>
      <w:r w:rsidRPr="002D396F">
        <w:rPr>
          <w:lang w:val="de-DE"/>
        </w:rPr>
        <w:t xml:space="preserve"> 301</w:t>
      </w:r>
      <w:r w:rsidRPr="002D396F">
        <w:rPr>
          <w:lang w:val="de-DE"/>
        </w:rPr>
        <w:tab/>
      </w:r>
      <w:r w:rsidR="00580C51" w:rsidRPr="002D396F">
        <w:rPr>
          <w:lang w:val="de-DE"/>
        </w:rPr>
        <w:t>Der erste Satz erhält folgenden Wortlaut: „Diese Eintragung gilt nur für Gegenstände, wie Maschinen, Geräte oder Einrichtungen, die gefährliche Güter als Rückstände oder als Bestandteil der Gegenstände enthalten.“</w:t>
      </w:r>
      <w:r w:rsidR="00CC4A0E">
        <w:rPr>
          <w:lang w:val="de-DE"/>
        </w:rPr>
        <w:t>.</w:t>
      </w:r>
    </w:p>
    <w:p w14:paraId="1ED6CBBA" w14:textId="0FECAB41" w:rsidR="00580C51" w:rsidRPr="002D396F" w:rsidRDefault="00580C51" w:rsidP="00580C51">
      <w:pPr>
        <w:pStyle w:val="SingleTxtG"/>
        <w:ind w:left="2259" w:firstLine="9"/>
        <w:rPr>
          <w:lang w:val="de-DE"/>
        </w:rPr>
      </w:pPr>
      <w:r w:rsidRPr="002D396F">
        <w:rPr>
          <w:lang w:val="de-DE"/>
        </w:rPr>
        <w:t>Im zweiten Satz „Maschinen oder Geräte“ ändern in: „Gegenstände“.</w:t>
      </w:r>
    </w:p>
    <w:p w14:paraId="4496B449" w14:textId="2BD3598C" w:rsidR="00580C51" w:rsidRPr="002D396F" w:rsidRDefault="00580C51" w:rsidP="00580C51">
      <w:pPr>
        <w:pStyle w:val="SingleTxtG"/>
        <w:ind w:left="2259" w:firstLine="9"/>
        <w:rPr>
          <w:lang w:val="de-DE"/>
        </w:rPr>
      </w:pPr>
      <w:r w:rsidRPr="002D396F">
        <w:rPr>
          <w:lang w:val="de-DE"/>
        </w:rPr>
        <w:t>Im dritten Satz „Maschinen und Geräte“ ändern in: „Gegenstände“.</w:t>
      </w:r>
    </w:p>
    <w:p w14:paraId="6603394C" w14:textId="4C2C38AE" w:rsidR="00580C51" w:rsidRPr="002D396F" w:rsidRDefault="00580C51" w:rsidP="00580C51">
      <w:pPr>
        <w:pStyle w:val="SingleTxtG"/>
        <w:ind w:left="2259" w:firstLine="9"/>
        <w:rPr>
          <w:lang w:val="de-DE"/>
        </w:rPr>
      </w:pPr>
      <w:r w:rsidRPr="002D396F">
        <w:rPr>
          <w:lang w:val="de-DE"/>
        </w:rPr>
        <w:lastRenderedPageBreak/>
        <w:t>Im vierten Satz „in der Maschine oder im Gerät“ ändern in: „im Gegenstand“.</w:t>
      </w:r>
    </w:p>
    <w:p w14:paraId="191525C1" w14:textId="187A23D0" w:rsidR="00580C51" w:rsidRPr="002D396F" w:rsidRDefault="00580C51" w:rsidP="00580C51">
      <w:pPr>
        <w:pStyle w:val="SingleTxtG"/>
        <w:ind w:left="2259" w:firstLine="9"/>
        <w:rPr>
          <w:lang w:val="de-DE"/>
        </w:rPr>
      </w:pPr>
      <w:r w:rsidRPr="002D396F">
        <w:rPr>
          <w:lang w:val="de-DE"/>
        </w:rPr>
        <w:t>Im fünften Satz „die Maschine oder das Gerät“ ändern in: „der Gegenstand“.</w:t>
      </w:r>
    </w:p>
    <w:p w14:paraId="143A206C" w14:textId="3D4072B3" w:rsidR="00580C51" w:rsidRPr="002D396F" w:rsidRDefault="003A1330" w:rsidP="00580C51">
      <w:pPr>
        <w:pStyle w:val="SingleTxtG"/>
        <w:ind w:left="2259" w:hanging="1125"/>
        <w:rPr>
          <w:lang w:val="de-DE"/>
        </w:rPr>
      </w:pPr>
      <w:r w:rsidRPr="002D396F">
        <w:rPr>
          <w:lang w:val="de-DE"/>
        </w:rPr>
        <w:t>S</w:t>
      </w:r>
      <w:r w:rsidR="00580C51" w:rsidRPr="002D396F">
        <w:rPr>
          <w:lang w:val="de-DE"/>
        </w:rPr>
        <w:t>V</w:t>
      </w:r>
      <w:r w:rsidRPr="002D396F">
        <w:rPr>
          <w:lang w:val="de-DE"/>
        </w:rPr>
        <w:t xml:space="preserve"> 309</w:t>
      </w:r>
      <w:r w:rsidRPr="002D396F">
        <w:rPr>
          <w:lang w:val="de-DE"/>
        </w:rPr>
        <w:tab/>
      </w:r>
      <w:r w:rsidR="00580C51" w:rsidRPr="002D396F">
        <w:rPr>
          <w:lang w:val="de-DE"/>
        </w:rPr>
        <w:t xml:space="preserve">Im letzten Unterabsatz „die Prüfungen 8 a), b) und c) der Prüfreihe 8 des Handbuchs Prüfungen und Kriterien Teil I Abschnitt 18 bestehen“ ändern in: „die Kriterien für die </w:t>
      </w:r>
      <w:r w:rsidR="00823C3C">
        <w:rPr>
          <w:lang w:val="de-DE"/>
        </w:rPr>
        <w:t>Klassifizierung</w:t>
      </w:r>
      <w:r w:rsidR="00823C3C" w:rsidRPr="002D396F">
        <w:rPr>
          <w:lang w:val="de-DE"/>
        </w:rPr>
        <w:t xml:space="preserve"> </w:t>
      </w:r>
      <w:r w:rsidR="00580C51" w:rsidRPr="002D396F">
        <w:rPr>
          <w:lang w:val="de-DE"/>
        </w:rPr>
        <w:t>als Ammoniumnitrat-Emulsion, Ammoniumnitrat-Suspension oder Ammoniumnitrat-Gel</w:t>
      </w:r>
      <w:r w:rsidR="00823C3C">
        <w:rPr>
          <w:lang w:val="de-DE"/>
        </w:rPr>
        <w:t xml:space="preserve"> (ANE)</w:t>
      </w:r>
      <w:r w:rsidR="00580C51" w:rsidRPr="002D396F">
        <w:rPr>
          <w:lang w:val="de-DE"/>
        </w:rPr>
        <w:t>, Zwischenprodukt für die Herstellung von Sprengstoffen</w:t>
      </w:r>
      <w:r w:rsidR="00823C3C">
        <w:rPr>
          <w:lang w:val="de-DE"/>
        </w:rPr>
        <w:t>,</w:t>
      </w:r>
      <w:r w:rsidR="00580C51" w:rsidRPr="002D396F">
        <w:rPr>
          <w:lang w:val="de-DE"/>
        </w:rPr>
        <w:t xml:space="preserve"> der Prüfreihe 8 des Handbuchs Prüfungen und Kriterien Teil I Abschnitt 18 erfüllen“.</w:t>
      </w:r>
    </w:p>
    <w:p w14:paraId="628C4FF6" w14:textId="58C82C23" w:rsidR="001956E9" w:rsidRPr="002D396F" w:rsidRDefault="003A1330" w:rsidP="001956E9">
      <w:pPr>
        <w:pStyle w:val="SingleTxtG"/>
        <w:ind w:left="2259" w:hanging="1125"/>
        <w:rPr>
          <w:lang w:val="de-DE"/>
        </w:rPr>
      </w:pPr>
      <w:r w:rsidRPr="002D396F">
        <w:rPr>
          <w:lang w:val="de-DE"/>
        </w:rPr>
        <w:t>S</w:t>
      </w:r>
      <w:r w:rsidR="001956E9" w:rsidRPr="002D396F">
        <w:rPr>
          <w:lang w:val="de-DE"/>
        </w:rPr>
        <w:t>V</w:t>
      </w:r>
      <w:r w:rsidRPr="002D396F">
        <w:rPr>
          <w:lang w:val="de-DE"/>
        </w:rPr>
        <w:t xml:space="preserve"> 327</w:t>
      </w:r>
      <w:r w:rsidRPr="002D396F">
        <w:rPr>
          <w:lang w:val="de-DE"/>
        </w:rPr>
        <w:tab/>
      </w:r>
      <w:r w:rsidR="001956E9" w:rsidRPr="002D396F">
        <w:rPr>
          <w:lang w:val="de-DE"/>
        </w:rPr>
        <w:t>Im ersten Satz nach „Abfall-Druckgaspackungen“ einfügen: „und Abfall-Gaspatronen“.</w:t>
      </w:r>
    </w:p>
    <w:p w14:paraId="3BE46F4D" w14:textId="6EA3247F" w:rsidR="001956E9" w:rsidRPr="002D396F" w:rsidRDefault="001956E9" w:rsidP="001956E9">
      <w:pPr>
        <w:pStyle w:val="SingleTxtG"/>
        <w:ind w:left="2259"/>
        <w:rPr>
          <w:lang w:val="de-DE"/>
        </w:rPr>
      </w:pPr>
      <w:r w:rsidRPr="002D396F">
        <w:rPr>
          <w:lang w:val="de-DE"/>
        </w:rPr>
        <w:t>Im ersten Satz „unter dieser Eintragung“ ändern in: „unter der UN-Nummer 1950 bzw. 2037“.</w:t>
      </w:r>
    </w:p>
    <w:p w14:paraId="0FD4320E" w14:textId="35011D5D" w:rsidR="001956E9" w:rsidRPr="002D396F" w:rsidRDefault="001956E9" w:rsidP="001956E9">
      <w:pPr>
        <w:pStyle w:val="SingleTxtG"/>
        <w:ind w:left="2259"/>
        <w:rPr>
          <w:lang w:val="de-DE"/>
        </w:rPr>
      </w:pPr>
      <w:r w:rsidRPr="002D396F">
        <w:rPr>
          <w:lang w:val="de-DE"/>
        </w:rPr>
        <w:t>Nach dem dritten Satz folgenden Satz einfügen:</w:t>
      </w:r>
    </w:p>
    <w:p w14:paraId="08638C10" w14:textId="653A4CAE" w:rsidR="001956E9" w:rsidRPr="002D396F" w:rsidRDefault="001956E9" w:rsidP="001956E9">
      <w:pPr>
        <w:pStyle w:val="SingleTxtG"/>
        <w:ind w:left="2259"/>
        <w:rPr>
          <w:lang w:val="de-DE"/>
        </w:rPr>
      </w:pPr>
      <w:r w:rsidRPr="002D396F">
        <w:rPr>
          <w:lang w:val="de-DE"/>
        </w:rPr>
        <w:t xml:space="preserve">„Abfall-Gaspatronen mit Ausnahme von undichten oder stark verformten müssen gemäß Verpackungsanweisung P 003 und </w:t>
      </w:r>
      <w:r w:rsidR="00823C3C">
        <w:rPr>
          <w:lang w:val="de-DE"/>
        </w:rPr>
        <w:t xml:space="preserve">den </w:t>
      </w:r>
      <w:r w:rsidRPr="002D396F">
        <w:rPr>
          <w:lang w:val="de-DE"/>
        </w:rPr>
        <w:t>Sondervorschriften für die Verpackung PP 17 und PP 96 (ADN: des ADR) oder Verpackungsanweisung LP 200 und Sondervorschrift für die Verpackung L 2 (ADN: des ADR) verpackt sein.</w:t>
      </w:r>
      <w:r w:rsidR="00764925" w:rsidRPr="002D396F">
        <w:rPr>
          <w:lang w:val="de-DE"/>
        </w:rPr>
        <w:t>“</w:t>
      </w:r>
      <w:r w:rsidR="00CC4A0E">
        <w:rPr>
          <w:lang w:val="de-DE"/>
        </w:rPr>
        <w:t>.</w:t>
      </w:r>
    </w:p>
    <w:p w14:paraId="226B31E2" w14:textId="689C860B" w:rsidR="001956E9" w:rsidRPr="002D396F" w:rsidRDefault="001956E9" w:rsidP="00764925">
      <w:pPr>
        <w:pStyle w:val="SingleTxtG"/>
        <w:ind w:left="2259"/>
        <w:rPr>
          <w:lang w:val="de-DE"/>
        </w:rPr>
      </w:pPr>
      <w:r w:rsidRPr="002D396F">
        <w:rPr>
          <w:lang w:val="de-DE"/>
        </w:rPr>
        <w:t xml:space="preserve">Im fünften Satz (bisheriger vierter Satz) </w:t>
      </w:r>
      <w:r w:rsidR="00764925" w:rsidRPr="002D396F">
        <w:rPr>
          <w:lang w:val="de-DE"/>
        </w:rPr>
        <w:t>„</w:t>
      </w:r>
      <w:r w:rsidRPr="002D396F">
        <w:rPr>
          <w:lang w:val="de-DE"/>
        </w:rPr>
        <w:t>Abfall-Druckgaspackungen müssen in Bergungsverpackungen</w:t>
      </w:r>
      <w:r w:rsidR="00764925" w:rsidRPr="002D396F">
        <w:rPr>
          <w:lang w:val="de-DE"/>
        </w:rPr>
        <w:t>“</w:t>
      </w:r>
      <w:r w:rsidRPr="002D396F">
        <w:rPr>
          <w:lang w:val="de-DE"/>
        </w:rPr>
        <w:t xml:space="preserve"> ändern in:</w:t>
      </w:r>
      <w:r w:rsidR="00764925" w:rsidRPr="002D396F">
        <w:rPr>
          <w:lang w:val="de-DE"/>
        </w:rPr>
        <w:t xml:space="preserve"> „</w:t>
      </w:r>
      <w:r w:rsidRPr="002D396F">
        <w:rPr>
          <w:lang w:val="de-DE"/>
        </w:rPr>
        <w:t>Abfall-Druckgaspackungen und Abfall-Gaspatronen müssen in Bergungsdruckgefäßen oder Bergungsverpackungen</w:t>
      </w:r>
      <w:r w:rsidR="00764925" w:rsidRPr="002D396F">
        <w:rPr>
          <w:lang w:val="de-DE"/>
        </w:rPr>
        <w:t>“</w:t>
      </w:r>
      <w:r w:rsidRPr="002D396F">
        <w:rPr>
          <w:lang w:val="de-DE"/>
        </w:rPr>
        <w:t>.</w:t>
      </w:r>
    </w:p>
    <w:p w14:paraId="1D8B1E33" w14:textId="0A325AEF" w:rsidR="001956E9" w:rsidRPr="002D396F" w:rsidRDefault="001956E9" w:rsidP="00764925">
      <w:pPr>
        <w:pStyle w:val="SingleTxtG"/>
        <w:ind w:left="2259"/>
        <w:rPr>
          <w:lang w:val="de-DE"/>
        </w:rPr>
      </w:pPr>
      <w:r w:rsidRPr="002D396F">
        <w:rPr>
          <w:lang w:val="de-DE"/>
        </w:rPr>
        <w:t xml:space="preserve">In der Bem. nach </w:t>
      </w:r>
      <w:r w:rsidR="00764925" w:rsidRPr="002D396F">
        <w:rPr>
          <w:lang w:val="de-DE"/>
        </w:rPr>
        <w:t>„</w:t>
      </w:r>
      <w:r w:rsidRPr="002D396F">
        <w:rPr>
          <w:lang w:val="de-DE"/>
        </w:rPr>
        <w:t>Abfall-Druckgaspackungen</w:t>
      </w:r>
      <w:r w:rsidR="00764925" w:rsidRPr="002D396F">
        <w:rPr>
          <w:lang w:val="de-DE"/>
        </w:rPr>
        <w:t>“</w:t>
      </w:r>
      <w:r w:rsidRPr="002D396F">
        <w:rPr>
          <w:lang w:val="de-DE"/>
        </w:rPr>
        <w:t xml:space="preserve"> einfügen: </w:t>
      </w:r>
      <w:r w:rsidR="00764925" w:rsidRPr="002D396F">
        <w:rPr>
          <w:lang w:val="de-DE"/>
        </w:rPr>
        <w:t>„</w:t>
      </w:r>
      <w:r w:rsidRPr="002D396F">
        <w:rPr>
          <w:lang w:val="de-DE"/>
        </w:rPr>
        <w:t>und Abfall-Gaspatronen</w:t>
      </w:r>
      <w:r w:rsidR="00764925" w:rsidRPr="002D396F">
        <w:rPr>
          <w:lang w:val="de-DE"/>
        </w:rPr>
        <w:t>“</w:t>
      </w:r>
      <w:r w:rsidRPr="002D396F">
        <w:rPr>
          <w:lang w:val="de-DE"/>
        </w:rPr>
        <w:t>.</w:t>
      </w:r>
    </w:p>
    <w:p w14:paraId="7D123CF3" w14:textId="77777777" w:rsidR="001956E9" w:rsidRPr="002D396F" w:rsidRDefault="001956E9" w:rsidP="00764925">
      <w:pPr>
        <w:pStyle w:val="SingleTxtG"/>
        <w:ind w:left="2259"/>
        <w:rPr>
          <w:lang w:val="de-DE"/>
        </w:rPr>
      </w:pPr>
      <w:r w:rsidRPr="002D396F">
        <w:rPr>
          <w:lang w:val="de-DE"/>
        </w:rPr>
        <w:t>Am Ende einen Unterabsatz mit folgendem Wortlaut hinzufügen:</w:t>
      </w:r>
    </w:p>
    <w:p w14:paraId="272D0837" w14:textId="6C7D09FA" w:rsidR="001956E9" w:rsidRPr="002D396F" w:rsidRDefault="00764925" w:rsidP="00764925">
      <w:pPr>
        <w:pStyle w:val="SingleTxtG"/>
        <w:ind w:left="2259"/>
        <w:rPr>
          <w:lang w:val="de-DE"/>
        </w:rPr>
      </w:pPr>
      <w:r w:rsidRPr="002D396F">
        <w:rPr>
          <w:lang w:val="de-DE"/>
        </w:rPr>
        <w:t>„</w:t>
      </w:r>
      <w:r w:rsidR="001956E9" w:rsidRPr="002D396F">
        <w:rPr>
          <w:lang w:val="de-DE"/>
        </w:rPr>
        <w:t>Abfall-Gaspatronen, die mit nicht entzündbaren</w:t>
      </w:r>
      <w:r w:rsidR="00823C3C">
        <w:rPr>
          <w:lang w:val="de-DE"/>
        </w:rPr>
        <w:t>,</w:t>
      </w:r>
      <w:r w:rsidR="001956E9" w:rsidRPr="002D396F">
        <w:rPr>
          <w:lang w:val="de-DE"/>
        </w:rPr>
        <w:t xml:space="preserve"> nicht giftigen Gasen der Klasse 2 Gruppe A oder O befüllt waren und durchstochen wurden, unterliegen nicht dem RID/ADR/ADN.</w:t>
      </w:r>
      <w:r w:rsidRPr="002D396F">
        <w:rPr>
          <w:lang w:val="de-DE"/>
        </w:rPr>
        <w:t>“</w:t>
      </w:r>
      <w:r w:rsidR="00CC4A0E">
        <w:rPr>
          <w:lang w:val="de-DE"/>
        </w:rPr>
        <w:t>.</w:t>
      </w:r>
    </w:p>
    <w:p w14:paraId="745A7ACE" w14:textId="554DB208" w:rsidR="003A1330" w:rsidRPr="002D396F" w:rsidRDefault="003A1330" w:rsidP="003A1330">
      <w:pPr>
        <w:pStyle w:val="SingleTxtG"/>
        <w:ind w:left="2259" w:hanging="1125"/>
        <w:rPr>
          <w:lang w:val="de-DE"/>
        </w:rPr>
      </w:pPr>
      <w:r w:rsidRPr="002D396F">
        <w:rPr>
          <w:b/>
          <w:bCs/>
          <w:lang w:val="de-DE"/>
        </w:rPr>
        <w:t>(ADR/ADN:)</w:t>
      </w:r>
      <w:r w:rsidRPr="002D396F">
        <w:rPr>
          <w:lang w:val="de-DE"/>
        </w:rPr>
        <w:t xml:space="preserve"> S</w:t>
      </w:r>
      <w:r w:rsidR="00764925" w:rsidRPr="002D396F">
        <w:rPr>
          <w:lang w:val="de-DE"/>
        </w:rPr>
        <w:t>V</w:t>
      </w:r>
      <w:r w:rsidRPr="002D396F">
        <w:rPr>
          <w:lang w:val="de-DE"/>
        </w:rPr>
        <w:t xml:space="preserve"> 356</w:t>
      </w:r>
    </w:p>
    <w:p w14:paraId="09F7B32B" w14:textId="77777777" w:rsidR="00C4441E" w:rsidRPr="002D396F" w:rsidRDefault="003A1330" w:rsidP="00C4441E">
      <w:pPr>
        <w:pStyle w:val="SingleTxtG"/>
        <w:ind w:left="2259" w:hanging="1125"/>
        <w:rPr>
          <w:lang w:val="de-DE"/>
        </w:rPr>
      </w:pPr>
      <w:r w:rsidRPr="002D396F">
        <w:rPr>
          <w:lang w:val="de-DE"/>
        </w:rPr>
        <w:tab/>
      </w:r>
      <w:r w:rsidR="00C4441E" w:rsidRPr="002D396F">
        <w:rPr>
          <w:lang w:val="de-DE"/>
        </w:rPr>
        <w:t>Nach „Schiffen“ einfügen: „, Maschinen, Motoren“.</w:t>
      </w:r>
    </w:p>
    <w:p w14:paraId="51E8B703" w14:textId="77777777" w:rsidR="00C4441E" w:rsidRPr="002D396F" w:rsidRDefault="003A1330" w:rsidP="00C4441E">
      <w:pPr>
        <w:pStyle w:val="SingleTxtG"/>
        <w:ind w:left="2259" w:hanging="1125"/>
        <w:rPr>
          <w:lang w:val="de-DE"/>
        </w:rPr>
      </w:pPr>
      <w:r w:rsidRPr="002D396F">
        <w:rPr>
          <w:lang w:val="de-DE"/>
        </w:rPr>
        <w:t>S</w:t>
      </w:r>
      <w:r w:rsidR="00C4441E" w:rsidRPr="002D396F">
        <w:rPr>
          <w:lang w:val="de-DE"/>
        </w:rPr>
        <w:t>V</w:t>
      </w:r>
      <w:r w:rsidRPr="002D396F">
        <w:rPr>
          <w:lang w:val="de-DE"/>
        </w:rPr>
        <w:t xml:space="preserve"> 360 </w:t>
      </w:r>
      <w:r w:rsidRPr="002D396F">
        <w:rPr>
          <w:lang w:val="de-DE"/>
        </w:rPr>
        <w:tab/>
      </w:r>
      <w:r w:rsidR="00C4441E" w:rsidRPr="002D396F">
        <w:rPr>
          <w:lang w:val="de-DE"/>
        </w:rPr>
        <w:t>Am Ende folgenden Satz hinzufügen:</w:t>
      </w:r>
    </w:p>
    <w:p w14:paraId="04031515" w14:textId="13F4AA91" w:rsidR="00C4441E" w:rsidRPr="002D396F" w:rsidRDefault="00C4441E" w:rsidP="00C4441E">
      <w:pPr>
        <w:pStyle w:val="SingleTxtG"/>
        <w:ind w:left="2259"/>
        <w:rPr>
          <w:lang w:val="de-DE"/>
        </w:rPr>
      </w:pPr>
      <w:r w:rsidRPr="002D396F">
        <w:rPr>
          <w:lang w:val="de-DE"/>
        </w:rPr>
        <w:t xml:space="preserve">„Lithiumbatterien, die in </w:t>
      </w:r>
      <w:r w:rsidR="00823C3C">
        <w:rPr>
          <w:lang w:val="de-DE"/>
        </w:rPr>
        <w:t xml:space="preserve">einer </w:t>
      </w:r>
      <w:r w:rsidRPr="002D396F">
        <w:rPr>
          <w:lang w:val="de-DE"/>
        </w:rPr>
        <w:t>Güterbeförderungseinheit eingebaut sind und die nur dafür ausgelegt sind, Energie außerhalb der Güterbeförderungseinheit bereitzustellen, müssen der Eintragung [UN 3536 LITHIUMBATTERIEN, IN GÜTERBEFÖRDERUNGSEINHEITEN EINGEBAUT, Lithium-Ionen-Batterien oder Lithium-Metall-Batterien] zugeordnet werden.“</w:t>
      </w:r>
      <w:r w:rsidR="00CC4A0E">
        <w:rPr>
          <w:lang w:val="de-DE"/>
        </w:rPr>
        <w:t>.</w:t>
      </w:r>
    </w:p>
    <w:p w14:paraId="0255965A" w14:textId="2345CA4E" w:rsidR="000D2856" w:rsidRPr="002D396F" w:rsidRDefault="003A1330" w:rsidP="000D2856">
      <w:pPr>
        <w:pStyle w:val="SingleTxtG"/>
        <w:ind w:left="2259" w:hanging="1125"/>
        <w:rPr>
          <w:lang w:val="de-DE"/>
        </w:rPr>
      </w:pPr>
      <w:r w:rsidRPr="002D396F">
        <w:rPr>
          <w:lang w:val="de-DE"/>
        </w:rPr>
        <w:t>S</w:t>
      </w:r>
      <w:r w:rsidR="000D2856" w:rsidRPr="002D396F">
        <w:rPr>
          <w:lang w:val="de-DE"/>
        </w:rPr>
        <w:t>V</w:t>
      </w:r>
      <w:r w:rsidRPr="002D396F">
        <w:rPr>
          <w:lang w:val="de-DE"/>
        </w:rPr>
        <w:t xml:space="preserve"> 370</w:t>
      </w:r>
      <w:r w:rsidRPr="002D396F">
        <w:rPr>
          <w:lang w:val="de-DE"/>
        </w:rPr>
        <w:tab/>
      </w:r>
      <w:r w:rsidR="000D2856" w:rsidRPr="002D396F">
        <w:rPr>
          <w:lang w:val="de-DE"/>
        </w:rPr>
        <w:t>Der Einleitungssatz erhält folgenden Wortlaut: „Diese Eintragung gilt nur für Ammoniumnitrat, das eines der folgenden Kriterien erfüllt:“</w:t>
      </w:r>
      <w:r w:rsidR="00CC4A0E">
        <w:rPr>
          <w:lang w:val="de-DE"/>
        </w:rPr>
        <w:t>.</w:t>
      </w:r>
    </w:p>
    <w:p w14:paraId="1D636264" w14:textId="0994FF99" w:rsidR="000D2856" w:rsidRPr="002D396F" w:rsidRDefault="000D2856" w:rsidP="000D2856">
      <w:pPr>
        <w:pStyle w:val="SingleTxtG"/>
        <w:ind w:left="2259" w:firstLine="9"/>
        <w:rPr>
          <w:lang w:val="de-DE"/>
        </w:rPr>
      </w:pPr>
      <w:r w:rsidRPr="002D396F">
        <w:rPr>
          <w:lang w:val="de-DE"/>
        </w:rPr>
        <w:t>Am Ende des ersten Spiegelstrichs „und“ ändern in: „oder“.</w:t>
      </w:r>
    </w:p>
    <w:p w14:paraId="411EB2D6" w14:textId="77777777" w:rsidR="00F519C1" w:rsidRDefault="00F519C1">
      <w:pPr>
        <w:suppressAutoHyphens w:val="0"/>
        <w:spacing w:line="240" w:lineRule="auto"/>
        <w:rPr>
          <w:lang w:val="de-DE"/>
        </w:rPr>
      </w:pPr>
      <w:r>
        <w:rPr>
          <w:lang w:val="de-DE"/>
        </w:rPr>
        <w:br w:type="page"/>
      </w:r>
    </w:p>
    <w:p w14:paraId="21960A00" w14:textId="66D62A39" w:rsidR="000D2856" w:rsidRPr="002D396F" w:rsidRDefault="000D2856" w:rsidP="000D2856">
      <w:pPr>
        <w:pStyle w:val="SingleTxtG"/>
        <w:ind w:left="2259" w:firstLine="9"/>
        <w:rPr>
          <w:lang w:val="de-DE"/>
        </w:rPr>
      </w:pPr>
      <w:r w:rsidRPr="002D396F">
        <w:rPr>
          <w:lang w:val="de-DE"/>
        </w:rPr>
        <w:lastRenderedPageBreak/>
        <w:t>Nach den beiden Spiegelstrichen folgenden neuen Unterabsatz hinzufügen:</w:t>
      </w:r>
    </w:p>
    <w:p w14:paraId="692970AD" w14:textId="476EC8CF" w:rsidR="000D2856" w:rsidRPr="002D396F" w:rsidRDefault="000D2856" w:rsidP="000D2856">
      <w:pPr>
        <w:pStyle w:val="SingleTxtG"/>
        <w:ind w:left="2259" w:firstLine="9"/>
        <w:rPr>
          <w:lang w:val="de-DE"/>
        </w:rPr>
      </w:pPr>
      <w:r w:rsidRPr="002D396F">
        <w:rPr>
          <w:lang w:val="de-DE"/>
        </w:rPr>
        <w:t>„Diese Eintragung darf nicht für Ammoniumnitrat verwendet werden, für das in Kapitel 3.2 Tabelle A bereits eine offizielle Benennung für die Beförderung vorhanden ist, einschließlich Ammoniumnitrat in einem Gemisch mit Heizöl (ANFO) oder einer der handelsüblichen Sorten von Ammoniumnitrat.“</w:t>
      </w:r>
      <w:r w:rsidR="00CC4A0E">
        <w:rPr>
          <w:lang w:val="de-DE"/>
        </w:rPr>
        <w:t>.</w:t>
      </w:r>
    </w:p>
    <w:p w14:paraId="630653F3" w14:textId="77777777" w:rsidR="00823C3C" w:rsidRPr="0005778A" w:rsidRDefault="003A1330" w:rsidP="00823C3C">
      <w:pPr>
        <w:tabs>
          <w:tab w:val="left" w:pos="1418"/>
        </w:tabs>
        <w:rPr>
          <w:rFonts w:eastAsia="Calibri" w:cs="Arial"/>
          <w:szCs w:val="22"/>
          <w:lang w:val="de-DE"/>
        </w:rPr>
      </w:pPr>
      <w:r w:rsidRPr="002D396F">
        <w:rPr>
          <w:lang w:val="de-DE"/>
        </w:rPr>
        <w:tab/>
      </w:r>
    </w:p>
    <w:p w14:paraId="04CF70D1" w14:textId="77777777" w:rsidR="00823C3C" w:rsidRPr="0005778A" w:rsidRDefault="00823C3C" w:rsidP="00823C3C">
      <w:pPr>
        <w:tabs>
          <w:tab w:val="left" w:pos="1418"/>
        </w:tabs>
        <w:ind w:left="1418"/>
        <w:rPr>
          <w:rFonts w:eastAsia="Calibri" w:cs="Arial"/>
          <w:szCs w:val="22"/>
          <w:lang w:val="de-DE"/>
        </w:rPr>
      </w:pPr>
      <w:r w:rsidRPr="0005778A">
        <w:rPr>
          <w:rFonts w:eastAsia="Calibri" w:cs="Arial"/>
          <w:szCs w:val="22"/>
          <w:lang w:val="de-DE"/>
        </w:rPr>
        <w:t>Der erste Spiegelstrich wird zu a), der zweite Spiegelstrich zu b).</w:t>
      </w:r>
    </w:p>
    <w:p w14:paraId="2D9D3838" w14:textId="6988B130" w:rsidR="003A1330" w:rsidRPr="002D396F" w:rsidRDefault="003A1330" w:rsidP="003A1330">
      <w:pPr>
        <w:pStyle w:val="SingleTxtG"/>
        <w:ind w:left="2259" w:hanging="1125"/>
        <w:rPr>
          <w:lang w:val="de-DE"/>
        </w:rPr>
      </w:pPr>
    </w:p>
    <w:p w14:paraId="7E2E5375" w14:textId="38807E42" w:rsidR="000D2856" w:rsidRPr="002D396F" w:rsidRDefault="003A1330" w:rsidP="000D2856">
      <w:pPr>
        <w:pStyle w:val="SingleTxtG"/>
        <w:ind w:left="2259" w:hanging="1125"/>
        <w:rPr>
          <w:lang w:val="de-DE"/>
        </w:rPr>
      </w:pPr>
      <w:r w:rsidRPr="002D396F">
        <w:rPr>
          <w:lang w:val="de-DE"/>
        </w:rPr>
        <w:t>S</w:t>
      </w:r>
      <w:r w:rsidR="000D2856" w:rsidRPr="002D396F">
        <w:rPr>
          <w:lang w:val="de-DE"/>
        </w:rPr>
        <w:t>V</w:t>
      </w:r>
      <w:r w:rsidRPr="002D396F">
        <w:rPr>
          <w:lang w:val="de-DE"/>
        </w:rPr>
        <w:t xml:space="preserve"> 376 </w:t>
      </w:r>
      <w:r w:rsidRPr="002D396F">
        <w:rPr>
          <w:lang w:val="de-DE"/>
        </w:rPr>
        <w:tab/>
      </w:r>
      <w:r w:rsidR="000D2856" w:rsidRPr="002D396F">
        <w:rPr>
          <w:lang w:val="de-DE"/>
        </w:rPr>
        <w:t>Die Bem. erhält folgenden Wortlaut:</w:t>
      </w:r>
    </w:p>
    <w:p w14:paraId="311DF89B" w14:textId="3C027460" w:rsidR="000D2856" w:rsidRPr="002D396F" w:rsidRDefault="000D2856" w:rsidP="000D2856">
      <w:pPr>
        <w:pStyle w:val="SingleTxtG"/>
        <w:ind w:left="2259" w:firstLine="9"/>
        <w:rPr>
          <w:lang w:val="de-DE"/>
        </w:rPr>
      </w:pPr>
      <w:r w:rsidRPr="002D396F">
        <w:rPr>
          <w:lang w:val="de-DE"/>
        </w:rPr>
        <w:t>„</w:t>
      </w:r>
      <w:r w:rsidRPr="002D396F">
        <w:rPr>
          <w:b/>
          <w:bCs/>
          <w:lang w:val="de-DE"/>
        </w:rPr>
        <w:t>Bem.</w:t>
      </w:r>
      <w:r w:rsidRPr="002D396F">
        <w:rPr>
          <w:lang w:val="de-DE"/>
        </w:rPr>
        <w:t xml:space="preserve"> Bei der Beurteilung, ob eine Zelle oder Batterie beschädigt oder defekt ist, muss eine Einschätzung oder </w:t>
      </w:r>
      <w:r w:rsidR="00823C3C">
        <w:rPr>
          <w:lang w:val="de-DE"/>
        </w:rPr>
        <w:t>Bewertung</w:t>
      </w:r>
      <w:r w:rsidR="00823C3C" w:rsidRPr="002D396F">
        <w:rPr>
          <w:lang w:val="de-DE"/>
        </w:rPr>
        <w:t xml:space="preserve"> </w:t>
      </w:r>
      <w:r w:rsidRPr="002D396F">
        <w:rPr>
          <w:lang w:val="de-DE"/>
        </w:rPr>
        <w:t>auf der Grundlage von Sicherheitskriterien des Zellen-, Batterie- oder Produktherstellers oder eines technischen Sachverständigen mit Kenntnis der Sicherheitsmerkmale der Zelle oder</w:t>
      </w:r>
    </w:p>
    <w:p w14:paraId="06AC4EAF" w14:textId="45375CF8" w:rsidR="000D2856" w:rsidRPr="002D396F" w:rsidRDefault="000D2856" w:rsidP="000D2856">
      <w:pPr>
        <w:pStyle w:val="SingleTxtG"/>
        <w:ind w:left="2259" w:firstLine="9"/>
        <w:rPr>
          <w:lang w:val="de-DE"/>
        </w:rPr>
      </w:pPr>
      <w:r w:rsidRPr="002D396F">
        <w:rPr>
          <w:lang w:val="de-DE"/>
        </w:rPr>
        <w:t xml:space="preserve">der Batterie durchgeführt werden. Eine Einschätzung oder </w:t>
      </w:r>
      <w:r w:rsidR="00823C3C">
        <w:rPr>
          <w:lang w:val="de-DE"/>
        </w:rPr>
        <w:t>Bewertung</w:t>
      </w:r>
      <w:r w:rsidR="00823C3C" w:rsidRPr="002D396F">
        <w:rPr>
          <w:lang w:val="de-DE"/>
        </w:rPr>
        <w:t xml:space="preserve"> </w:t>
      </w:r>
      <w:r w:rsidRPr="002D396F">
        <w:rPr>
          <w:lang w:val="de-DE"/>
        </w:rPr>
        <w:t>kann unter anderem die folgenden Kriterien umfassen:</w:t>
      </w:r>
    </w:p>
    <w:p w14:paraId="65626E55" w14:textId="77F6649E" w:rsidR="000D2856" w:rsidRPr="002D396F" w:rsidRDefault="000D2856" w:rsidP="00C94462">
      <w:pPr>
        <w:pStyle w:val="SingleTxtG"/>
        <w:ind w:left="2694" w:hanging="426"/>
        <w:rPr>
          <w:lang w:val="de-DE"/>
        </w:rPr>
      </w:pPr>
      <w:r w:rsidRPr="002D396F">
        <w:rPr>
          <w:lang w:val="de-DE"/>
        </w:rPr>
        <w:t>a)</w:t>
      </w:r>
      <w:r w:rsidRPr="002D396F">
        <w:rPr>
          <w:lang w:val="de-DE"/>
        </w:rPr>
        <w:tab/>
        <w:t xml:space="preserve">akute Gefahr, wie Gas, </w:t>
      </w:r>
      <w:r w:rsidR="00823C3C">
        <w:rPr>
          <w:lang w:val="de-DE"/>
        </w:rPr>
        <w:t>Brand</w:t>
      </w:r>
      <w:r w:rsidR="00823C3C" w:rsidRPr="002D396F">
        <w:rPr>
          <w:lang w:val="de-DE"/>
        </w:rPr>
        <w:t xml:space="preserve"> </w:t>
      </w:r>
      <w:r w:rsidRPr="002D396F">
        <w:rPr>
          <w:lang w:val="de-DE"/>
        </w:rPr>
        <w:t xml:space="preserve">oder Austreten </w:t>
      </w:r>
      <w:proofErr w:type="gramStart"/>
      <w:r w:rsidRPr="002D396F">
        <w:rPr>
          <w:lang w:val="de-DE"/>
        </w:rPr>
        <w:t>von Elektrolyt</w:t>
      </w:r>
      <w:proofErr w:type="gramEnd"/>
      <w:r w:rsidRPr="002D396F">
        <w:rPr>
          <w:lang w:val="de-DE"/>
        </w:rPr>
        <w:t>;</w:t>
      </w:r>
    </w:p>
    <w:p w14:paraId="18025756" w14:textId="427EE906" w:rsidR="000D2856" w:rsidRPr="002D396F" w:rsidRDefault="000D2856" w:rsidP="00C94462">
      <w:pPr>
        <w:pStyle w:val="SingleTxtG"/>
        <w:ind w:left="2694" w:hanging="426"/>
        <w:rPr>
          <w:lang w:val="de-DE"/>
        </w:rPr>
      </w:pPr>
      <w:r w:rsidRPr="002D396F">
        <w:rPr>
          <w:lang w:val="de-DE"/>
        </w:rPr>
        <w:t>b)</w:t>
      </w:r>
      <w:r w:rsidRPr="002D396F">
        <w:rPr>
          <w:lang w:val="de-DE"/>
        </w:rPr>
        <w:tab/>
      </w:r>
      <w:r w:rsidR="00823C3C">
        <w:rPr>
          <w:lang w:val="de-DE"/>
        </w:rPr>
        <w:t>Nutzung</w:t>
      </w:r>
      <w:r w:rsidR="00823C3C" w:rsidRPr="002D396F">
        <w:rPr>
          <w:lang w:val="de-DE"/>
        </w:rPr>
        <w:t xml:space="preserve"> </w:t>
      </w:r>
      <w:r w:rsidRPr="002D396F">
        <w:rPr>
          <w:lang w:val="de-DE"/>
        </w:rPr>
        <w:t>oder Fehlnutzung der Zelle oder der Batterie;</w:t>
      </w:r>
    </w:p>
    <w:p w14:paraId="3EDCF997" w14:textId="58DF6AD4" w:rsidR="000D2856" w:rsidRPr="002D396F" w:rsidRDefault="000D2856" w:rsidP="00C94462">
      <w:pPr>
        <w:pStyle w:val="SingleTxtG"/>
        <w:ind w:left="2694" w:hanging="426"/>
        <w:rPr>
          <w:lang w:val="de-DE"/>
        </w:rPr>
      </w:pPr>
      <w:r w:rsidRPr="002D396F">
        <w:rPr>
          <w:lang w:val="de-DE"/>
        </w:rPr>
        <w:t>c)</w:t>
      </w:r>
      <w:r w:rsidRPr="002D396F">
        <w:rPr>
          <w:lang w:val="de-DE"/>
        </w:rPr>
        <w:tab/>
        <w:t>Anzeichen von physischen Schäden, wie Verformung des Zellen- oder Batteriegehäuses oder Farben am Gehäuse;</w:t>
      </w:r>
    </w:p>
    <w:p w14:paraId="0224E9B6" w14:textId="396CB486" w:rsidR="000D2856" w:rsidRPr="002D396F" w:rsidRDefault="000D2856" w:rsidP="00C94462">
      <w:pPr>
        <w:pStyle w:val="SingleTxtG"/>
        <w:ind w:left="2694" w:hanging="426"/>
        <w:rPr>
          <w:lang w:val="de-DE"/>
        </w:rPr>
      </w:pPr>
      <w:r w:rsidRPr="002D396F">
        <w:rPr>
          <w:lang w:val="de-DE"/>
        </w:rPr>
        <w:t>d)</w:t>
      </w:r>
      <w:r w:rsidRPr="002D396F">
        <w:rPr>
          <w:lang w:val="de-DE"/>
        </w:rPr>
        <w:tab/>
      </w:r>
      <w:r w:rsidR="00823C3C">
        <w:rPr>
          <w:lang w:val="de-DE"/>
        </w:rPr>
        <w:t>äußerer</w:t>
      </w:r>
      <w:r w:rsidR="00823C3C" w:rsidRPr="002D396F">
        <w:rPr>
          <w:lang w:val="de-DE"/>
        </w:rPr>
        <w:t xml:space="preserve"> </w:t>
      </w:r>
      <w:r w:rsidRPr="002D396F">
        <w:rPr>
          <w:lang w:val="de-DE"/>
        </w:rPr>
        <w:t xml:space="preserve">und </w:t>
      </w:r>
      <w:r w:rsidR="00823C3C">
        <w:rPr>
          <w:lang w:val="de-DE"/>
        </w:rPr>
        <w:t>innerer</w:t>
      </w:r>
      <w:r w:rsidR="00823C3C" w:rsidRPr="002D396F">
        <w:rPr>
          <w:lang w:val="de-DE"/>
        </w:rPr>
        <w:t xml:space="preserve"> </w:t>
      </w:r>
      <w:r w:rsidRPr="002D396F">
        <w:rPr>
          <w:lang w:val="de-DE"/>
        </w:rPr>
        <w:t>Schutz gegen Kurzschluss, wie Spannungs- oder Isolationsmaßnahmen;</w:t>
      </w:r>
    </w:p>
    <w:p w14:paraId="2B9C760B" w14:textId="77777777" w:rsidR="000D2856" w:rsidRPr="002D396F" w:rsidRDefault="000D2856" w:rsidP="00C94462">
      <w:pPr>
        <w:pStyle w:val="SingleTxtG"/>
        <w:ind w:left="2694" w:hanging="426"/>
        <w:rPr>
          <w:lang w:val="de-DE"/>
        </w:rPr>
      </w:pPr>
      <w:r w:rsidRPr="002D396F">
        <w:rPr>
          <w:lang w:val="de-DE"/>
        </w:rPr>
        <w:t>e)</w:t>
      </w:r>
      <w:r w:rsidRPr="002D396F">
        <w:rPr>
          <w:lang w:val="de-DE"/>
        </w:rPr>
        <w:tab/>
        <w:t>Zustand der Sicherheitsmerkmale der Zelle oder der Batterie oder</w:t>
      </w:r>
    </w:p>
    <w:p w14:paraId="6684CC33" w14:textId="1A563AFE" w:rsidR="000D2856" w:rsidRPr="002D396F" w:rsidRDefault="000D2856" w:rsidP="00C94462">
      <w:pPr>
        <w:pStyle w:val="SingleTxtG"/>
        <w:ind w:left="2694" w:hanging="426"/>
        <w:rPr>
          <w:lang w:val="de-DE"/>
        </w:rPr>
      </w:pPr>
      <w:r w:rsidRPr="002D396F">
        <w:rPr>
          <w:lang w:val="de-DE"/>
        </w:rPr>
        <w:t>f)</w:t>
      </w:r>
      <w:r w:rsidRPr="002D396F">
        <w:rPr>
          <w:lang w:val="de-DE"/>
        </w:rPr>
        <w:tab/>
        <w:t xml:space="preserve">Beschädigung der </w:t>
      </w:r>
      <w:r w:rsidR="00823C3C">
        <w:rPr>
          <w:lang w:val="de-DE"/>
        </w:rPr>
        <w:t>inneren</w:t>
      </w:r>
      <w:r w:rsidR="00823C3C" w:rsidRPr="002D396F">
        <w:rPr>
          <w:lang w:val="de-DE"/>
        </w:rPr>
        <w:t xml:space="preserve"> </w:t>
      </w:r>
      <w:r w:rsidRPr="002D396F">
        <w:rPr>
          <w:lang w:val="de-DE"/>
        </w:rPr>
        <w:t>Sicherheitskomponenten, wie das Batteriemanagementsystem.“</w:t>
      </w:r>
      <w:r w:rsidR="00CC4A0E">
        <w:rPr>
          <w:lang w:val="de-DE"/>
        </w:rPr>
        <w:t>.</w:t>
      </w:r>
    </w:p>
    <w:p w14:paraId="1FBDF877" w14:textId="3E3850A1" w:rsidR="002E6600" w:rsidRPr="002D396F" w:rsidRDefault="003A1330" w:rsidP="003A1330">
      <w:pPr>
        <w:pStyle w:val="SingleTxtG"/>
        <w:ind w:left="2259" w:hanging="1125"/>
        <w:rPr>
          <w:bCs/>
          <w:lang w:val="de-DE"/>
        </w:rPr>
      </w:pPr>
      <w:r w:rsidRPr="002D396F">
        <w:rPr>
          <w:bCs/>
          <w:lang w:val="de-DE"/>
        </w:rPr>
        <w:t>S</w:t>
      </w:r>
      <w:r w:rsidR="002E6600" w:rsidRPr="002D396F">
        <w:rPr>
          <w:bCs/>
          <w:lang w:val="de-DE"/>
        </w:rPr>
        <w:t>V</w:t>
      </w:r>
      <w:r w:rsidRPr="002D396F">
        <w:rPr>
          <w:bCs/>
          <w:lang w:val="de-DE"/>
        </w:rPr>
        <w:t xml:space="preserve"> 379</w:t>
      </w:r>
      <w:r w:rsidR="002E6600" w:rsidRPr="002D396F">
        <w:rPr>
          <w:bCs/>
          <w:lang w:val="de-DE"/>
        </w:rPr>
        <w:tab/>
        <w:t>In Absatz d) (i) „ISO 11114-1:2012“ ändern in: „ISO 11114-1:2012 + A1:2017“.</w:t>
      </w:r>
    </w:p>
    <w:p w14:paraId="6162B195" w14:textId="77777777" w:rsidR="00DD042D" w:rsidRPr="002D396F" w:rsidRDefault="003A1330" w:rsidP="00DD042D">
      <w:pPr>
        <w:pStyle w:val="SingleTxtG"/>
        <w:ind w:left="2259" w:hanging="1125"/>
        <w:rPr>
          <w:bCs/>
          <w:lang w:val="de-DE"/>
        </w:rPr>
      </w:pPr>
      <w:r w:rsidRPr="002D396F">
        <w:rPr>
          <w:bCs/>
          <w:lang w:val="de-DE"/>
        </w:rPr>
        <w:t>S</w:t>
      </w:r>
      <w:r w:rsidR="00DD042D" w:rsidRPr="002D396F">
        <w:rPr>
          <w:bCs/>
          <w:lang w:val="de-DE"/>
        </w:rPr>
        <w:t>V</w:t>
      </w:r>
      <w:r w:rsidRPr="002D396F">
        <w:rPr>
          <w:bCs/>
          <w:lang w:val="de-DE"/>
        </w:rPr>
        <w:t xml:space="preserve"> 388</w:t>
      </w:r>
      <w:r w:rsidRPr="002D396F">
        <w:rPr>
          <w:bCs/>
          <w:lang w:val="de-DE"/>
        </w:rPr>
        <w:tab/>
      </w:r>
      <w:r w:rsidR="00DD042D" w:rsidRPr="002D396F">
        <w:rPr>
          <w:bCs/>
          <w:lang w:val="de-DE"/>
        </w:rPr>
        <w:t>Am Ende des siebten Unterabsatzes folgenden Satz hinzufügen:</w:t>
      </w:r>
    </w:p>
    <w:p w14:paraId="05603BF9" w14:textId="7921F298" w:rsidR="00DD042D" w:rsidRPr="002D396F" w:rsidRDefault="00DD042D" w:rsidP="00DD042D">
      <w:pPr>
        <w:pStyle w:val="SingleTxtG"/>
        <w:ind w:left="2259"/>
        <w:rPr>
          <w:bCs/>
          <w:lang w:val="de-DE"/>
        </w:rPr>
      </w:pPr>
      <w:r w:rsidRPr="002D396F">
        <w:rPr>
          <w:bCs/>
          <w:lang w:val="de-DE"/>
        </w:rPr>
        <w:t xml:space="preserve">„Lithium-Ionen-Batterien oder Lithium-Metall-Batterien, die in </w:t>
      </w:r>
      <w:r w:rsidR="00823C3C">
        <w:rPr>
          <w:bCs/>
          <w:lang w:val="de-DE"/>
        </w:rPr>
        <w:t xml:space="preserve">einer </w:t>
      </w:r>
      <w:r w:rsidRPr="002D396F">
        <w:rPr>
          <w:bCs/>
          <w:lang w:val="de-DE"/>
        </w:rPr>
        <w:t>Güterbeförderungseinheit eingebaut sind und die nur dafür ausgelegt sind, Energie außerhalb der Güterbeförderungseinheit bereitzustellen, müssen der Eintragung UN 3536 [LITHIUMBATTERIEN, IN GÜTERBEFÖRDERUNGSEINHEITEN EINGEBAUT, Lithium-Ionen-Batterien oder Lithium-Metall-Batterien] zugeordnet werden.“</w:t>
      </w:r>
      <w:r w:rsidR="00CC4A0E">
        <w:rPr>
          <w:bCs/>
          <w:lang w:val="de-DE"/>
        </w:rPr>
        <w:t>.</w:t>
      </w:r>
    </w:p>
    <w:p w14:paraId="1CD2554F" w14:textId="5EE2F22F" w:rsidR="003A1330" w:rsidRPr="002D396F" w:rsidRDefault="003A1330" w:rsidP="00150D3B">
      <w:pPr>
        <w:pStyle w:val="SingleTxtG"/>
        <w:ind w:left="2259" w:hanging="1125"/>
        <w:rPr>
          <w:lang w:val="de-DE"/>
        </w:rPr>
      </w:pPr>
      <w:r w:rsidRPr="002D396F">
        <w:rPr>
          <w:lang w:val="de-DE"/>
        </w:rPr>
        <w:t>S</w:t>
      </w:r>
      <w:r w:rsidR="00150D3B" w:rsidRPr="002D396F">
        <w:rPr>
          <w:lang w:val="de-DE"/>
        </w:rPr>
        <w:t>V</w:t>
      </w:r>
      <w:r w:rsidRPr="002D396F">
        <w:rPr>
          <w:lang w:val="de-DE"/>
        </w:rPr>
        <w:t xml:space="preserve"> 660</w:t>
      </w:r>
      <w:r w:rsidRPr="002D396F">
        <w:rPr>
          <w:lang w:val="de-DE"/>
        </w:rPr>
        <w:tab/>
      </w:r>
      <w:r w:rsidR="00150D3B" w:rsidRPr="002D396F">
        <w:rPr>
          <w:lang w:val="de-DE"/>
        </w:rPr>
        <w:t>erhält folgenden Wortlaut: „660</w:t>
      </w:r>
      <w:r w:rsidR="00150D3B" w:rsidRPr="002D396F">
        <w:rPr>
          <w:lang w:val="de-DE"/>
        </w:rPr>
        <w:tab/>
        <w:t>(gestrichen)</w:t>
      </w:r>
      <w:r w:rsidR="005725FF" w:rsidRPr="002D396F">
        <w:rPr>
          <w:lang w:val="de-DE"/>
        </w:rPr>
        <w:t>“</w:t>
      </w:r>
      <w:r w:rsidR="00150D3B" w:rsidRPr="002D396F">
        <w:rPr>
          <w:lang w:val="de-DE"/>
        </w:rPr>
        <w:t>.</w:t>
      </w:r>
    </w:p>
    <w:p w14:paraId="214924CA" w14:textId="5658C3F3" w:rsidR="00150D3B" w:rsidRPr="002D396F" w:rsidRDefault="00150D3B" w:rsidP="00150D3B">
      <w:pPr>
        <w:pStyle w:val="SingleTxtG"/>
        <w:ind w:left="2259" w:hanging="1125"/>
        <w:rPr>
          <w:lang w:val="de-DE"/>
        </w:rPr>
      </w:pPr>
      <w:r w:rsidRPr="002D396F">
        <w:rPr>
          <w:lang w:val="de-DE"/>
        </w:rPr>
        <w:t>Folgende neue Sondervorschriften einfügen:</w:t>
      </w:r>
    </w:p>
    <w:p w14:paraId="5BD1409B" w14:textId="6CA9E416" w:rsidR="00150D3B" w:rsidRPr="002D396F" w:rsidRDefault="00B03AE8" w:rsidP="00150D3B">
      <w:pPr>
        <w:pStyle w:val="SingleTxtG"/>
        <w:ind w:left="2259" w:hanging="1125"/>
        <w:rPr>
          <w:lang w:val="de-DE"/>
        </w:rPr>
      </w:pPr>
      <w:r w:rsidRPr="002D396F">
        <w:rPr>
          <w:lang w:val="de-DE"/>
        </w:rPr>
        <w:t>„</w:t>
      </w:r>
      <w:r w:rsidR="00150D3B" w:rsidRPr="002D396F">
        <w:rPr>
          <w:lang w:val="de-DE"/>
        </w:rPr>
        <w:t>390</w:t>
      </w:r>
      <w:r w:rsidR="00150D3B" w:rsidRPr="002D396F">
        <w:rPr>
          <w:lang w:val="de-DE"/>
        </w:rPr>
        <w:tab/>
        <w:t>Wenn ein Versandstück eine Kombination aus Lithiumbatterien in Ausrüstungen und Lithiumbatterien, die mit Ausrüstungen verpackt sind, enthält, gelten folgende Vorschriften für Zwecke der Kennzeichnung des Versandstücks und der Dokumentation:</w:t>
      </w:r>
    </w:p>
    <w:p w14:paraId="36A3097F" w14:textId="77777777" w:rsidR="00901905" w:rsidRDefault="00901905">
      <w:pPr>
        <w:suppressAutoHyphens w:val="0"/>
        <w:spacing w:line="240" w:lineRule="auto"/>
        <w:rPr>
          <w:lang w:val="de-DE"/>
        </w:rPr>
      </w:pPr>
      <w:r>
        <w:rPr>
          <w:lang w:val="de-DE"/>
        </w:rPr>
        <w:br w:type="page"/>
      </w:r>
    </w:p>
    <w:p w14:paraId="2737F5E4" w14:textId="07B7F0F1" w:rsidR="00150D3B" w:rsidRPr="002D396F" w:rsidRDefault="00150D3B" w:rsidP="00150D3B">
      <w:pPr>
        <w:pStyle w:val="SingleTxtG"/>
        <w:ind w:left="2259" w:hanging="1125"/>
        <w:rPr>
          <w:lang w:val="de-DE"/>
        </w:rPr>
      </w:pPr>
      <w:r w:rsidRPr="002D396F">
        <w:rPr>
          <w:lang w:val="de-DE"/>
        </w:rPr>
        <w:lastRenderedPageBreak/>
        <w:t>a)</w:t>
      </w:r>
      <w:r w:rsidRPr="002D396F">
        <w:rPr>
          <w:lang w:val="de-DE"/>
        </w:rPr>
        <w:tab/>
        <w:t xml:space="preserve">Das Versandstück muss mit </w:t>
      </w:r>
      <w:r w:rsidR="00B03AE8" w:rsidRPr="002D396F">
        <w:rPr>
          <w:lang w:val="de-DE"/>
        </w:rPr>
        <w:t>„</w:t>
      </w:r>
      <w:r w:rsidRPr="002D396F">
        <w:rPr>
          <w:lang w:val="de-DE"/>
        </w:rPr>
        <w:t>UN 3091</w:t>
      </w:r>
      <w:r w:rsidR="00B03AE8" w:rsidRPr="002D396F">
        <w:rPr>
          <w:lang w:val="de-DE"/>
        </w:rPr>
        <w:t>“</w:t>
      </w:r>
      <w:r w:rsidRPr="002D396F">
        <w:rPr>
          <w:lang w:val="de-DE"/>
        </w:rPr>
        <w:t xml:space="preserve"> bzw. </w:t>
      </w:r>
      <w:r w:rsidR="00B03AE8" w:rsidRPr="002D396F">
        <w:rPr>
          <w:lang w:val="de-DE"/>
        </w:rPr>
        <w:t>„</w:t>
      </w:r>
      <w:r w:rsidRPr="002D396F">
        <w:rPr>
          <w:lang w:val="de-DE"/>
        </w:rPr>
        <w:t>UN 3481</w:t>
      </w:r>
      <w:r w:rsidR="00B03AE8" w:rsidRPr="002D396F">
        <w:rPr>
          <w:lang w:val="de-DE"/>
        </w:rPr>
        <w:t>“</w:t>
      </w:r>
      <w:r w:rsidRPr="002D396F">
        <w:rPr>
          <w:lang w:val="de-DE"/>
        </w:rPr>
        <w:t xml:space="preserve"> gekennzeichnet sein. Wenn ein Versandstück sowohl Lithium-</w:t>
      </w:r>
      <w:r w:rsidR="00823C3C">
        <w:rPr>
          <w:lang w:val="de-DE"/>
        </w:rPr>
        <w:t>Ionen</w:t>
      </w:r>
      <w:r w:rsidRPr="002D396F">
        <w:rPr>
          <w:lang w:val="de-DE"/>
        </w:rPr>
        <w:t>-Batterien als auch Lithium-</w:t>
      </w:r>
      <w:r w:rsidR="00823C3C">
        <w:rPr>
          <w:lang w:val="de-DE"/>
        </w:rPr>
        <w:t>Metall</w:t>
      </w:r>
      <w:r w:rsidRPr="002D396F">
        <w:rPr>
          <w:lang w:val="de-DE"/>
        </w:rPr>
        <w:t>-Batterien enthält, die mit Ausrüstungen verpackt und in Ausrüstungen enthalten sind, muss das Versandstück so gekennzeichnet sein, wie es für beide Batterietypen vorgeschrieben ist. Knopfzellen-Batterien, die in Ausrüstungen (einschließlich Platinen) eingebaut sind, müssen jedoch nicht berücksichtigt werden.</w:t>
      </w:r>
    </w:p>
    <w:p w14:paraId="58112BEB" w14:textId="62BC29B5" w:rsidR="00150D3B" w:rsidRPr="002D396F" w:rsidRDefault="00150D3B" w:rsidP="00150D3B">
      <w:pPr>
        <w:pStyle w:val="SingleTxtG"/>
        <w:ind w:left="2259" w:hanging="1125"/>
        <w:rPr>
          <w:lang w:val="de-DE"/>
        </w:rPr>
      </w:pPr>
      <w:r w:rsidRPr="002D396F">
        <w:rPr>
          <w:lang w:val="de-DE"/>
        </w:rPr>
        <w:t>b)</w:t>
      </w:r>
      <w:r w:rsidRPr="002D396F">
        <w:rPr>
          <w:lang w:val="de-DE"/>
        </w:rPr>
        <w:tab/>
        <w:t xml:space="preserve">Im Beförderungspapier muss </w:t>
      </w:r>
      <w:r w:rsidR="00B03AE8" w:rsidRPr="002D396F">
        <w:rPr>
          <w:lang w:val="de-DE"/>
        </w:rPr>
        <w:t>„</w:t>
      </w:r>
      <w:r w:rsidRPr="002D396F">
        <w:rPr>
          <w:lang w:val="de-DE"/>
        </w:rPr>
        <w:t>UN 3091 LITHIUM-METALL-BATTERIEN, MIT AUSRÜSTUNGEN VERPACKT</w:t>
      </w:r>
      <w:r w:rsidR="00B03AE8" w:rsidRPr="002D396F">
        <w:rPr>
          <w:lang w:val="de-DE"/>
        </w:rPr>
        <w:t>“</w:t>
      </w:r>
      <w:r w:rsidRPr="002D396F">
        <w:rPr>
          <w:lang w:val="de-DE"/>
        </w:rPr>
        <w:t xml:space="preserve"> bzw. </w:t>
      </w:r>
      <w:r w:rsidR="00B03AE8" w:rsidRPr="002D396F">
        <w:rPr>
          <w:lang w:val="de-DE"/>
        </w:rPr>
        <w:t>„</w:t>
      </w:r>
      <w:r w:rsidRPr="002D396F">
        <w:rPr>
          <w:lang w:val="de-DE"/>
        </w:rPr>
        <w:t>UN 3481 LITHIUM-IONEN-BATTERIEN, MIT AUSRÜSTUNGEN VERPACKT</w:t>
      </w:r>
      <w:r w:rsidR="00B03AE8" w:rsidRPr="002D396F">
        <w:rPr>
          <w:lang w:val="de-DE"/>
        </w:rPr>
        <w:t>“</w:t>
      </w:r>
      <w:r w:rsidRPr="002D396F">
        <w:rPr>
          <w:lang w:val="de-DE"/>
        </w:rPr>
        <w:t xml:space="preserve"> angegeben werden. Wenn das Versandstück sowohl Lithium-Metall-Batterien als auch Lithium-Ionen-Batterien enthält, die mit Ausrüstungen verpackt und in Ausrüstungen enthalten sind, muss im Beförderungspapier sowohl </w:t>
      </w:r>
      <w:r w:rsidR="00B03AE8" w:rsidRPr="002D396F">
        <w:rPr>
          <w:lang w:val="de-DE"/>
        </w:rPr>
        <w:t>„</w:t>
      </w:r>
      <w:r w:rsidRPr="002D396F">
        <w:rPr>
          <w:lang w:val="de-DE"/>
        </w:rPr>
        <w:t>UN 3091 LITHIUM-METALL-BATTERIEN, MIT AUSRÜSTUNGEN VERPACKT</w:t>
      </w:r>
      <w:r w:rsidR="00B03AE8" w:rsidRPr="002D396F">
        <w:rPr>
          <w:lang w:val="de-DE"/>
        </w:rPr>
        <w:t>“</w:t>
      </w:r>
      <w:r w:rsidRPr="002D396F">
        <w:rPr>
          <w:lang w:val="de-DE"/>
        </w:rPr>
        <w:t xml:space="preserve"> als auch </w:t>
      </w:r>
      <w:r w:rsidR="00B03AE8" w:rsidRPr="002D396F">
        <w:rPr>
          <w:lang w:val="de-DE"/>
        </w:rPr>
        <w:t>„</w:t>
      </w:r>
      <w:r w:rsidRPr="002D396F">
        <w:rPr>
          <w:lang w:val="de-DE"/>
        </w:rPr>
        <w:t>UN 3481 LITHIUM-IONEN-BATTERIEN, MIT AUSRÜSTUNGEN VERPACKT</w:t>
      </w:r>
      <w:r w:rsidR="005725FF" w:rsidRPr="002D396F">
        <w:rPr>
          <w:lang w:val="de-DE"/>
        </w:rPr>
        <w:t>“</w:t>
      </w:r>
      <w:r w:rsidRPr="002D396F">
        <w:rPr>
          <w:lang w:val="de-DE"/>
        </w:rPr>
        <w:t xml:space="preserve"> angegeben werden.</w:t>
      </w:r>
      <w:r w:rsidR="00B03AE8" w:rsidRPr="002D396F">
        <w:rPr>
          <w:lang w:val="de-DE"/>
        </w:rPr>
        <w:t>“</w:t>
      </w:r>
    </w:p>
    <w:p w14:paraId="06254F77" w14:textId="1ECA807B" w:rsidR="00150D3B" w:rsidRPr="002D396F" w:rsidRDefault="00B03AE8" w:rsidP="00150D3B">
      <w:pPr>
        <w:pStyle w:val="SingleTxtG"/>
        <w:ind w:left="2259" w:hanging="1125"/>
        <w:rPr>
          <w:lang w:val="de-DE"/>
        </w:rPr>
      </w:pPr>
      <w:r w:rsidRPr="002D396F">
        <w:rPr>
          <w:lang w:val="de-DE"/>
        </w:rPr>
        <w:t>„</w:t>
      </w:r>
      <w:r w:rsidR="00150D3B" w:rsidRPr="002D396F">
        <w:rPr>
          <w:lang w:val="de-DE"/>
        </w:rPr>
        <w:t>[393</w:t>
      </w:r>
      <w:r w:rsidR="00150D3B" w:rsidRPr="002D396F">
        <w:rPr>
          <w:lang w:val="de-DE"/>
        </w:rPr>
        <w:tab/>
        <w:t xml:space="preserve">Die Nitrocellulose muss den Kriterien des Bergmann-Junk-Tests oder des </w:t>
      </w:r>
      <w:proofErr w:type="spellStart"/>
      <w:r w:rsidR="00150D3B" w:rsidRPr="002D396F">
        <w:rPr>
          <w:lang w:val="de-DE"/>
        </w:rPr>
        <w:t>Methylviolettpapier</w:t>
      </w:r>
      <w:proofErr w:type="spellEnd"/>
      <w:r w:rsidR="00150D3B" w:rsidRPr="002D396F">
        <w:rPr>
          <w:lang w:val="de-DE"/>
        </w:rPr>
        <w:t>-Tests im Handbuch Prüfungen und Kriterien Anhang 10 entsprechen. Die Prüfungen des Typs 3 c) müssen nicht durchgeführt werden.</w:t>
      </w:r>
      <w:r w:rsidR="009355DD" w:rsidRPr="002D396F">
        <w:rPr>
          <w:lang w:val="de-DE"/>
        </w:rPr>
        <w:t>“</w:t>
      </w:r>
    </w:p>
    <w:p w14:paraId="4C0AAC11" w14:textId="6DAF7A06" w:rsidR="00150D3B" w:rsidRPr="002D396F" w:rsidRDefault="009355DD" w:rsidP="00150D3B">
      <w:pPr>
        <w:pStyle w:val="SingleTxtG"/>
        <w:ind w:left="2259" w:hanging="1125"/>
        <w:rPr>
          <w:lang w:val="de-DE"/>
        </w:rPr>
      </w:pPr>
      <w:r w:rsidRPr="002D396F">
        <w:rPr>
          <w:lang w:val="de-DE"/>
        </w:rPr>
        <w:t>„</w:t>
      </w:r>
      <w:r w:rsidR="00150D3B" w:rsidRPr="002D396F">
        <w:rPr>
          <w:lang w:val="de-DE"/>
        </w:rPr>
        <w:t>394</w:t>
      </w:r>
      <w:r w:rsidR="00150D3B" w:rsidRPr="002D396F">
        <w:rPr>
          <w:lang w:val="de-DE"/>
        </w:rPr>
        <w:tab/>
        <w:t xml:space="preserve">Die Nitrocellulose muss den Kriterien des Bergmann-Junk-Tests oder des </w:t>
      </w:r>
      <w:proofErr w:type="spellStart"/>
      <w:r w:rsidR="00150D3B" w:rsidRPr="002D396F">
        <w:rPr>
          <w:lang w:val="de-DE"/>
        </w:rPr>
        <w:t>Methylviolettpapier</w:t>
      </w:r>
      <w:proofErr w:type="spellEnd"/>
      <w:r w:rsidR="00150D3B" w:rsidRPr="002D396F">
        <w:rPr>
          <w:lang w:val="de-DE"/>
        </w:rPr>
        <w:t>-Tests im Handbuch Prüfungen und Kriterien Anhang 10 entsprechen.]</w:t>
      </w:r>
      <w:r w:rsidR="00CC4A0E">
        <w:rPr>
          <w:lang w:val="de-DE"/>
        </w:rPr>
        <w:t>“</w:t>
      </w:r>
    </w:p>
    <w:p w14:paraId="202C9BE3" w14:textId="36B26D28" w:rsidR="00150D3B" w:rsidRPr="002D396F" w:rsidRDefault="009355DD" w:rsidP="00150D3B">
      <w:pPr>
        <w:pStyle w:val="SingleTxtG"/>
        <w:ind w:left="2259" w:hanging="1125"/>
        <w:rPr>
          <w:lang w:val="de-DE"/>
        </w:rPr>
      </w:pPr>
      <w:r w:rsidRPr="002D396F">
        <w:rPr>
          <w:lang w:val="de-DE"/>
        </w:rPr>
        <w:t>„</w:t>
      </w:r>
      <w:r w:rsidR="00150D3B" w:rsidRPr="002D396F">
        <w:rPr>
          <w:lang w:val="de-DE"/>
        </w:rPr>
        <w:t>395</w:t>
      </w:r>
      <w:r w:rsidR="00150D3B" w:rsidRPr="002D396F">
        <w:rPr>
          <w:lang w:val="de-DE"/>
        </w:rPr>
        <w:tab/>
        <w:t>Diese Eintragung darf nur für feste medizinische Abfälle der Kategorie A verwendet werden, die zur Entsorgung befördert werden.</w:t>
      </w:r>
      <w:r w:rsidR="00B03AE8" w:rsidRPr="002D396F">
        <w:rPr>
          <w:lang w:val="de-DE"/>
        </w:rPr>
        <w:t>“</w:t>
      </w:r>
    </w:p>
    <w:p w14:paraId="311D1F5E" w14:textId="7FE93049" w:rsidR="00B03AE8" w:rsidRPr="002D396F" w:rsidRDefault="00B03AE8" w:rsidP="00150D3B">
      <w:pPr>
        <w:pStyle w:val="SingleTxtG"/>
        <w:ind w:left="2259" w:hanging="1125"/>
        <w:rPr>
          <w:lang w:val="de-DE"/>
        </w:rPr>
      </w:pPr>
      <w:r w:rsidRPr="002D396F">
        <w:rPr>
          <w:lang w:val="de-DE"/>
        </w:rPr>
        <w:t>„</w:t>
      </w:r>
      <w:r w:rsidR="00150D3B" w:rsidRPr="002D396F">
        <w:rPr>
          <w:lang w:val="de-DE"/>
        </w:rPr>
        <w:t>6xx</w:t>
      </w:r>
      <w:r w:rsidR="00150D3B" w:rsidRPr="002D396F">
        <w:rPr>
          <w:lang w:val="de-DE"/>
        </w:rPr>
        <w:tab/>
        <w:t>Tiefgekühlt verflüssigter Stickstoff darf nicht als Kühlmittel für Stoffe unter dieser Eintragung verwendet werden.</w:t>
      </w:r>
      <w:r w:rsidRPr="002D396F">
        <w:rPr>
          <w:lang w:val="de-DE"/>
        </w:rPr>
        <w:t>“</w:t>
      </w:r>
      <w:r w:rsidR="00CC4A0E">
        <w:rPr>
          <w:lang w:val="de-DE"/>
        </w:rPr>
        <w:t>.</w:t>
      </w:r>
    </w:p>
    <w:p w14:paraId="0EE6C68C" w14:textId="10979379" w:rsidR="003A1330" w:rsidRPr="002D396F" w:rsidRDefault="003A1330" w:rsidP="003A1330">
      <w:pPr>
        <w:pStyle w:val="H1G"/>
        <w:rPr>
          <w:lang w:val="de-DE"/>
        </w:rPr>
      </w:pPr>
      <w:r w:rsidRPr="002D396F">
        <w:rPr>
          <w:lang w:val="de-DE"/>
        </w:rPr>
        <w:tab/>
      </w:r>
      <w:r w:rsidRPr="002D396F">
        <w:rPr>
          <w:lang w:val="de-DE"/>
        </w:rPr>
        <w:tab/>
      </w:r>
      <w:r w:rsidR="009355DD" w:rsidRPr="002D396F">
        <w:rPr>
          <w:lang w:val="de-DE"/>
        </w:rPr>
        <w:t>Kapitel</w:t>
      </w:r>
      <w:r w:rsidRPr="002D396F">
        <w:rPr>
          <w:lang w:val="de-DE"/>
        </w:rPr>
        <w:t xml:space="preserve"> 5.1</w:t>
      </w:r>
    </w:p>
    <w:p w14:paraId="465BA1CE" w14:textId="77777777" w:rsidR="003A1330" w:rsidRPr="002D396F" w:rsidRDefault="003A1330" w:rsidP="003A1330">
      <w:pPr>
        <w:pStyle w:val="SingleTxtG"/>
        <w:ind w:left="2268" w:hanging="1134"/>
        <w:rPr>
          <w:lang w:val="de-DE"/>
        </w:rPr>
      </w:pPr>
      <w:r w:rsidRPr="002D396F">
        <w:rPr>
          <w:b/>
          <w:bCs/>
          <w:lang w:val="de-DE"/>
        </w:rPr>
        <w:t xml:space="preserve">(ADN:) </w:t>
      </w:r>
      <w:r w:rsidRPr="002D396F">
        <w:rPr>
          <w:lang w:val="de-DE"/>
        </w:rPr>
        <w:t>5.1.5.1.2</w:t>
      </w:r>
    </w:p>
    <w:p w14:paraId="007B6307" w14:textId="342554BC" w:rsidR="002339FF" w:rsidRPr="002D396F" w:rsidRDefault="003A1330" w:rsidP="002339FF">
      <w:pPr>
        <w:pStyle w:val="SingleTxtG"/>
        <w:ind w:left="2268" w:hanging="1134"/>
        <w:rPr>
          <w:lang w:val="de-DE"/>
        </w:rPr>
      </w:pPr>
      <w:r w:rsidRPr="002D396F">
        <w:rPr>
          <w:lang w:val="de-DE"/>
        </w:rPr>
        <w:tab/>
      </w:r>
      <w:r w:rsidR="002339FF" w:rsidRPr="002D396F">
        <w:rPr>
          <w:lang w:val="de-DE"/>
        </w:rPr>
        <w:t>Am Ende von Absatz d) den Punkt ändern in: „, und“.</w:t>
      </w:r>
    </w:p>
    <w:p w14:paraId="3D135A33" w14:textId="45DBE649" w:rsidR="002339FF" w:rsidRPr="002D396F" w:rsidRDefault="002339FF" w:rsidP="002339FF">
      <w:pPr>
        <w:pStyle w:val="SingleTxtG"/>
        <w:ind w:left="2268"/>
        <w:rPr>
          <w:lang w:val="de-DE"/>
        </w:rPr>
      </w:pPr>
      <w:r w:rsidRPr="002D396F">
        <w:rPr>
          <w:lang w:val="de-DE"/>
        </w:rPr>
        <w:t xml:space="preserve">Folgenden Absatz e) hinzufügen: „e) </w:t>
      </w:r>
      <w:r w:rsidR="00823C3C">
        <w:rPr>
          <w:lang w:val="de-DE"/>
        </w:rPr>
        <w:t>d</w:t>
      </w:r>
      <w:r w:rsidRPr="002D396F">
        <w:rPr>
          <w:lang w:val="de-DE"/>
        </w:rPr>
        <w:t>ie Beförderung von SCO-III-Gegenständen.“</w:t>
      </w:r>
      <w:r w:rsidR="00CC4A0E">
        <w:rPr>
          <w:lang w:val="de-DE"/>
        </w:rPr>
        <w:t>.</w:t>
      </w:r>
    </w:p>
    <w:p w14:paraId="16A2F4EC" w14:textId="20B610A1" w:rsidR="003A1330" w:rsidRPr="002D396F" w:rsidRDefault="003A1330" w:rsidP="003A1330">
      <w:pPr>
        <w:pStyle w:val="SingleTxtG"/>
        <w:ind w:left="2268" w:hanging="1134"/>
        <w:rPr>
          <w:lang w:val="de-DE"/>
        </w:rPr>
      </w:pPr>
      <w:r w:rsidRPr="002D396F">
        <w:rPr>
          <w:lang w:val="de-DE"/>
        </w:rPr>
        <w:t>5.1.5.1.4</w:t>
      </w:r>
      <w:r w:rsidRPr="002D396F">
        <w:rPr>
          <w:lang w:val="de-DE"/>
        </w:rPr>
        <w:tab/>
      </w:r>
      <w:r w:rsidR="002339FF" w:rsidRPr="002D396F">
        <w:rPr>
          <w:lang w:val="de-DE"/>
        </w:rPr>
        <w:t>[Die Änderung zu Absatz b) in der englischen Fassung hat keine Auswirkungen auf den deutschen Text.]</w:t>
      </w:r>
    </w:p>
    <w:p w14:paraId="0836CED5" w14:textId="601CE69D" w:rsidR="002339FF" w:rsidRPr="002D396F" w:rsidRDefault="003A1330" w:rsidP="002339FF">
      <w:pPr>
        <w:pStyle w:val="SingleTxtG"/>
        <w:ind w:left="2268" w:hanging="1134"/>
        <w:rPr>
          <w:lang w:val="de-DE"/>
        </w:rPr>
      </w:pPr>
      <w:r w:rsidRPr="002D396F">
        <w:rPr>
          <w:lang w:val="de-DE"/>
        </w:rPr>
        <w:t>5.1.5.3.1</w:t>
      </w:r>
      <w:r w:rsidRPr="002D396F">
        <w:rPr>
          <w:lang w:val="de-DE"/>
        </w:rPr>
        <w:tab/>
      </w:r>
      <w:r w:rsidR="002339FF" w:rsidRPr="002D396F">
        <w:rPr>
          <w:lang w:val="de-DE"/>
        </w:rPr>
        <w:t>Im Einleitungssatz „SCO-I-Gegenstände“ ändern in: „SCO-I- oder SCO-III-Gegenstände“.</w:t>
      </w:r>
    </w:p>
    <w:p w14:paraId="39A96425" w14:textId="130642DB" w:rsidR="002339FF" w:rsidRPr="002D396F" w:rsidRDefault="002339FF" w:rsidP="002339FF">
      <w:pPr>
        <w:pStyle w:val="SingleTxtG"/>
        <w:ind w:left="2268"/>
        <w:rPr>
          <w:lang w:val="de-DE"/>
        </w:rPr>
      </w:pPr>
      <w:r w:rsidRPr="002D396F">
        <w:rPr>
          <w:lang w:val="de-DE"/>
        </w:rPr>
        <w:t>[Die erste Änderung zu Absatz a) in der englischen Fassung hat keine Auswirkungen auf den deutschen Text.]</w:t>
      </w:r>
    </w:p>
    <w:p w14:paraId="1E35BE35" w14:textId="201E5F8E" w:rsidR="002339FF" w:rsidRPr="002D396F" w:rsidRDefault="002339FF" w:rsidP="002339FF">
      <w:pPr>
        <w:pStyle w:val="SingleTxtG"/>
        <w:ind w:left="2268"/>
        <w:rPr>
          <w:lang w:val="de-DE"/>
        </w:rPr>
      </w:pPr>
      <w:r w:rsidRPr="002D396F">
        <w:rPr>
          <w:lang w:val="de-DE"/>
        </w:rPr>
        <w:t>In Absatz a), im ersten Satz „SCO-I-Gegenständen“ ändern in: „SCO-I- oder SCO-III-Gegenstände“.</w:t>
      </w:r>
    </w:p>
    <w:p w14:paraId="27D3AF9E" w14:textId="66D5376E" w:rsidR="002339FF" w:rsidRPr="002D396F" w:rsidRDefault="002339FF" w:rsidP="002339FF">
      <w:pPr>
        <w:pStyle w:val="SingleTxtG"/>
        <w:ind w:left="2268"/>
        <w:rPr>
          <w:lang w:val="de-DE"/>
        </w:rPr>
      </w:pPr>
      <w:r w:rsidRPr="002D396F">
        <w:rPr>
          <w:lang w:val="de-DE"/>
        </w:rPr>
        <w:t>In Absatz a), im zweiten Satz streichen: „; diese Zahl ist die Transportkennzahl“.</w:t>
      </w:r>
    </w:p>
    <w:p w14:paraId="2ABDF9A0" w14:textId="67FE5F92" w:rsidR="002339FF" w:rsidRPr="002D396F" w:rsidRDefault="002339FF" w:rsidP="002339FF">
      <w:pPr>
        <w:pStyle w:val="SingleTxtG"/>
        <w:ind w:left="2268"/>
        <w:rPr>
          <w:lang w:val="de-DE"/>
        </w:rPr>
      </w:pPr>
      <w:r w:rsidRPr="002D396F">
        <w:rPr>
          <w:lang w:val="de-DE"/>
        </w:rPr>
        <w:t>In Absatz b) „SCO-I-Gegenstände“ ändern in: „SCO-I- und SCO-III-Gegenstände“.</w:t>
      </w:r>
    </w:p>
    <w:p w14:paraId="14A6DB0E" w14:textId="07EF8E9E" w:rsidR="002339FF" w:rsidRPr="002D396F" w:rsidRDefault="002339FF" w:rsidP="002339FF">
      <w:pPr>
        <w:pStyle w:val="SingleTxtG"/>
        <w:ind w:left="2268"/>
        <w:rPr>
          <w:lang w:val="de-DE"/>
        </w:rPr>
      </w:pPr>
      <w:r w:rsidRPr="002D396F">
        <w:rPr>
          <w:lang w:val="de-DE"/>
        </w:rPr>
        <w:t xml:space="preserve">Am Ende von Absatz c) </w:t>
      </w:r>
      <w:r w:rsidR="00615DA9">
        <w:rPr>
          <w:lang w:val="de-DE"/>
        </w:rPr>
        <w:t>vor dem Punkt einfügen</w:t>
      </w:r>
      <w:r w:rsidRPr="002D396F">
        <w:rPr>
          <w:lang w:val="de-DE"/>
        </w:rPr>
        <w:t>: „; die daraus resultierende Zahl ist der TI-Wert“.</w:t>
      </w:r>
    </w:p>
    <w:p w14:paraId="3AA4378D" w14:textId="34D98753" w:rsidR="002339FF" w:rsidRPr="002D396F" w:rsidRDefault="002339FF" w:rsidP="002339FF">
      <w:pPr>
        <w:pStyle w:val="SingleTxtG"/>
        <w:ind w:left="2268"/>
        <w:rPr>
          <w:lang w:val="de-DE"/>
        </w:rPr>
      </w:pPr>
      <w:r w:rsidRPr="002D396F">
        <w:rPr>
          <w:lang w:val="de-DE"/>
        </w:rPr>
        <w:lastRenderedPageBreak/>
        <w:t>In der Überschrift der Tabelle 5.1.5.3.1 „SCO-I-Gegenstände“ ändern in: „SCO-I- und SCO-III-Gegenstände“.</w:t>
      </w:r>
    </w:p>
    <w:p w14:paraId="3B6A82DD" w14:textId="27B00C9A" w:rsidR="00F519C1" w:rsidRDefault="00F519C1">
      <w:pPr>
        <w:suppressAutoHyphens w:val="0"/>
        <w:spacing w:line="240" w:lineRule="auto"/>
        <w:rPr>
          <w:lang w:val="de-DE"/>
        </w:rPr>
      </w:pPr>
    </w:p>
    <w:p w14:paraId="5971C6E8" w14:textId="51BF8552" w:rsidR="001175EF" w:rsidRPr="002D396F" w:rsidRDefault="003A1330" w:rsidP="001175EF">
      <w:pPr>
        <w:pStyle w:val="SingleTxtG"/>
        <w:ind w:left="2268" w:hanging="1134"/>
        <w:rPr>
          <w:lang w:val="de-DE"/>
        </w:rPr>
      </w:pPr>
      <w:r w:rsidRPr="002D396F">
        <w:rPr>
          <w:lang w:val="de-DE"/>
        </w:rPr>
        <w:t>5.1.5.3.2</w:t>
      </w:r>
      <w:r w:rsidRPr="002D396F">
        <w:rPr>
          <w:lang w:val="de-DE"/>
        </w:rPr>
        <w:tab/>
      </w:r>
      <w:r w:rsidR="001175EF" w:rsidRPr="002D396F">
        <w:rPr>
          <w:lang w:val="de-DE"/>
        </w:rPr>
        <w:t>erhält folgenden Wortlaut:</w:t>
      </w:r>
    </w:p>
    <w:p w14:paraId="01A1C3F0" w14:textId="75C4342A" w:rsidR="001175EF" w:rsidRPr="002D396F" w:rsidRDefault="001175EF" w:rsidP="001175EF">
      <w:pPr>
        <w:pStyle w:val="SingleTxtG"/>
        <w:ind w:left="2268"/>
        <w:rPr>
          <w:lang w:val="de-DE"/>
        </w:rPr>
      </w:pPr>
      <w:r w:rsidRPr="002D396F">
        <w:rPr>
          <w:lang w:val="de-DE"/>
        </w:rPr>
        <w:t>„5.1.5.3.2 Die Transportkennzahl für jede starre Umverpackung, jeden Container oder jedes Beförderungsmittel wird durch die Summe der Transportkennzahlen aller enthaltenen Versandstücke bestimmt. Bei einer Beförderung von einem einzigen Absender darf der Absender die Transportkennzahl durch direkte Messung der Dosisleistung bestimmen.</w:t>
      </w:r>
    </w:p>
    <w:p w14:paraId="3BA853A5" w14:textId="0C3EE8DE" w:rsidR="001175EF" w:rsidRPr="002D396F" w:rsidRDefault="001175EF" w:rsidP="001175EF">
      <w:pPr>
        <w:pStyle w:val="SingleTxtG"/>
        <w:ind w:left="2268"/>
        <w:rPr>
          <w:lang w:val="de-DE"/>
        </w:rPr>
      </w:pPr>
      <w:r w:rsidRPr="002D396F">
        <w:rPr>
          <w:lang w:val="de-DE"/>
        </w:rPr>
        <w:t xml:space="preserve">Die Transportkennzahl einer nicht </w:t>
      </w:r>
      <w:r w:rsidR="00615DA9">
        <w:rPr>
          <w:lang w:val="de-DE"/>
        </w:rPr>
        <w:t>starren</w:t>
      </w:r>
      <w:r w:rsidR="00615DA9" w:rsidRPr="002D396F">
        <w:rPr>
          <w:lang w:val="de-DE"/>
        </w:rPr>
        <w:t xml:space="preserve"> </w:t>
      </w:r>
      <w:r w:rsidRPr="002D396F">
        <w:rPr>
          <w:lang w:val="de-DE"/>
        </w:rPr>
        <w:t>Umverpackung darf nur durch die Summe der Transportkennzahlen aller in der Umverpackung enthaltenen Versandstücke bestimmt werden.“</w:t>
      </w:r>
      <w:r w:rsidR="00116C98">
        <w:rPr>
          <w:lang w:val="de-DE"/>
        </w:rPr>
        <w:t>.</w:t>
      </w:r>
    </w:p>
    <w:p w14:paraId="23652DB7" w14:textId="723F8E2B" w:rsidR="003A1330" w:rsidRPr="002D396F" w:rsidRDefault="003A1330" w:rsidP="003A1330">
      <w:pPr>
        <w:pStyle w:val="SingleTxtG"/>
        <w:spacing w:before="120"/>
        <w:ind w:left="2268" w:hanging="1134"/>
        <w:rPr>
          <w:lang w:val="de-DE"/>
        </w:rPr>
      </w:pPr>
      <w:r w:rsidRPr="002D396F">
        <w:rPr>
          <w:lang w:val="de-DE"/>
        </w:rPr>
        <w:t>5.1.5.3.4</w:t>
      </w:r>
      <w:r w:rsidR="00A51869" w:rsidRPr="002D396F">
        <w:rPr>
          <w:lang w:val="de-DE"/>
        </w:rPr>
        <w:tab/>
        <w:t>[Die Änderung zu Absatz a) in der englischen Fassung hat keine Auswirkungen auf den deutschen Text.]</w:t>
      </w:r>
    </w:p>
    <w:p w14:paraId="7B978ADC" w14:textId="4E62470F" w:rsidR="003A1330" w:rsidRPr="002D396F" w:rsidRDefault="003A1330" w:rsidP="003A1330">
      <w:pPr>
        <w:pStyle w:val="SingleTxtG"/>
        <w:ind w:left="2268" w:hanging="1134"/>
        <w:rPr>
          <w:lang w:val="de-DE"/>
        </w:rPr>
      </w:pPr>
      <w:r w:rsidRPr="002D396F">
        <w:rPr>
          <w:lang w:val="de-DE"/>
        </w:rPr>
        <w:t xml:space="preserve">5.1.5.3.4 </w:t>
      </w:r>
      <w:r w:rsidR="00A51869" w:rsidRPr="002D396F">
        <w:rPr>
          <w:lang w:val="de-DE"/>
        </w:rPr>
        <w:tab/>
        <w:t>[Die Änderung zu Absatz b) in der englischen Fassung hat keine Auswirkungen auf den deutschen Text.]</w:t>
      </w:r>
    </w:p>
    <w:p w14:paraId="7FB721C3" w14:textId="0B3DF3D2" w:rsidR="003A1330" w:rsidRPr="002D396F" w:rsidRDefault="003A1330" w:rsidP="003A1330">
      <w:pPr>
        <w:pStyle w:val="SingleTxtG"/>
        <w:spacing w:before="120"/>
        <w:ind w:left="2268" w:hanging="1134"/>
        <w:rPr>
          <w:lang w:val="de-DE"/>
        </w:rPr>
      </w:pPr>
      <w:r w:rsidRPr="002D396F">
        <w:rPr>
          <w:lang w:val="de-DE"/>
        </w:rPr>
        <w:t>5.1.5.3.4</w:t>
      </w:r>
      <w:r w:rsidR="005E6ED0" w:rsidRPr="002D396F">
        <w:rPr>
          <w:lang w:val="de-DE"/>
        </w:rPr>
        <w:tab/>
        <w:t>[Die Änderung zu Absatz c) in der englischen Fassung hat keine Auswirkungen auf den deutschen Text.]</w:t>
      </w:r>
    </w:p>
    <w:p w14:paraId="60F0AD03" w14:textId="6AD19495" w:rsidR="005E6ED0" w:rsidRPr="002D396F" w:rsidRDefault="005E6ED0" w:rsidP="005E6ED0">
      <w:pPr>
        <w:pStyle w:val="SingleTxtG"/>
        <w:spacing w:before="120"/>
        <w:ind w:left="2694" w:hanging="1560"/>
        <w:rPr>
          <w:lang w:val="de-DE"/>
        </w:rPr>
      </w:pPr>
      <w:r w:rsidRPr="002D396F">
        <w:rPr>
          <w:lang w:val="de-DE"/>
        </w:rPr>
        <w:t>Tabelle</w:t>
      </w:r>
      <w:r w:rsidR="003A1330" w:rsidRPr="002D396F">
        <w:rPr>
          <w:lang w:val="de-DE"/>
        </w:rPr>
        <w:t xml:space="preserve"> 5.1.5.3.4</w:t>
      </w:r>
      <w:r w:rsidR="003A1330" w:rsidRPr="002D396F">
        <w:rPr>
          <w:lang w:val="de-DE"/>
        </w:rPr>
        <w:tab/>
      </w:r>
      <w:r w:rsidRPr="002D396F">
        <w:rPr>
          <w:lang w:val="de-DE"/>
        </w:rPr>
        <w:t>[Die Änderung zur Tabelle 5.1.5.3.4 in der englischen Fassung hat keine Auswirkungen auf den deutschen Text.]</w:t>
      </w:r>
    </w:p>
    <w:p w14:paraId="58D2C0CA" w14:textId="75423453" w:rsidR="003A1330" w:rsidRPr="002D396F" w:rsidRDefault="00A057F5" w:rsidP="005E6ED0">
      <w:pPr>
        <w:pStyle w:val="SingleTxtG"/>
        <w:spacing w:before="120"/>
        <w:ind w:left="2268" w:hanging="1134"/>
        <w:rPr>
          <w:b/>
          <w:sz w:val="24"/>
          <w:lang w:val="de-DE"/>
        </w:rPr>
      </w:pPr>
      <w:r w:rsidRPr="002D396F">
        <w:rPr>
          <w:b/>
          <w:sz w:val="24"/>
          <w:lang w:val="de-DE"/>
        </w:rPr>
        <w:t>Kapitel</w:t>
      </w:r>
      <w:r w:rsidR="003A1330" w:rsidRPr="002D396F">
        <w:rPr>
          <w:b/>
          <w:sz w:val="24"/>
          <w:lang w:val="de-DE"/>
        </w:rPr>
        <w:t xml:space="preserve"> 5.2</w:t>
      </w:r>
    </w:p>
    <w:p w14:paraId="3B20AAFA" w14:textId="053DF771" w:rsidR="00A057F5" w:rsidRPr="002D396F" w:rsidRDefault="003A1330" w:rsidP="003A1330">
      <w:pPr>
        <w:pStyle w:val="SingleTxtG"/>
        <w:ind w:left="2268" w:hanging="1134"/>
        <w:rPr>
          <w:lang w:val="de-DE"/>
        </w:rPr>
      </w:pPr>
      <w:r w:rsidRPr="002D396F">
        <w:rPr>
          <w:lang w:val="de-DE"/>
        </w:rPr>
        <w:t>5.2.1.1</w:t>
      </w:r>
      <w:r w:rsidRPr="002D396F">
        <w:rPr>
          <w:lang w:val="de-DE"/>
        </w:rPr>
        <w:tab/>
      </w:r>
      <w:r w:rsidR="00A057F5" w:rsidRPr="002D396F">
        <w:rPr>
          <w:lang w:val="de-DE"/>
        </w:rPr>
        <w:t>[Die Änderung in der englischen hat keine Auswirkungen auf den deutschen Text.]</w:t>
      </w:r>
    </w:p>
    <w:p w14:paraId="055FE15F" w14:textId="014C324F" w:rsidR="00A057F5" w:rsidRPr="002D396F" w:rsidRDefault="003A1330" w:rsidP="00A057F5">
      <w:pPr>
        <w:pStyle w:val="SingleTxtG"/>
        <w:ind w:left="2268" w:hanging="1134"/>
        <w:rPr>
          <w:lang w:val="de-DE"/>
        </w:rPr>
      </w:pPr>
      <w:r w:rsidRPr="002D396F">
        <w:rPr>
          <w:lang w:val="de-DE"/>
        </w:rPr>
        <w:t>5.2.1.7.6</w:t>
      </w:r>
      <w:r w:rsidRPr="002D396F">
        <w:rPr>
          <w:lang w:val="de-DE"/>
        </w:rPr>
        <w:tab/>
      </w:r>
      <w:r w:rsidR="00A057F5" w:rsidRPr="002D396F">
        <w:rPr>
          <w:lang w:val="de-DE"/>
        </w:rPr>
        <w:t>Am Ende folgenden Satz hinzufügen:</w:t>
      </w:r>
    </w:p>
    <w:p w14:paraId="6A0B67BC" w14:textId="1E4F651F" w:rsidR="00A057F5" w:rsidRPr="002D396F" w:rsidRDefault="00A057F5" w:rsidP="00A057F5">
      <w:pPr>
        <w:pStyle w:val="SingleTxtG"/>
        <w:ind w:left="2268"/>
        <w:rPr>
          <w:lang w:val="de-DE"/>
        </w:rPr>
      </w:pPr>
      <w:r w:rsidRPr="002D396F">
        <w:rPr>
          <w:lang w:val="de-DE"/>
        </w:rPr>
        <w:t>„Jedes Kennzeichen auf dem Versandstück, das in Übereinstimmung mit den Vorschriften der Absätze 5.2.1.7.4 a) und b) und 5.2.1.7.5 c) in Bezug auf die Art des Versandstücks angebracht wurde und sich nicht auf die der Sendung zugeordnete UN-Nummer und offizielle Benennung für die Beförderung bezieht, muss entfernt oder abgedeckt werden.“</w:t>
      </w:r>
      <w:r w:rsidR="00116C98">
        <w:rPr>
          <w:lang w:val="de-DE"/>
        </w:rPr>
        <w:t>.</w:t>
      </w:r>
    </w:p>
    <w:p w14:paraId="3EDFD9FC" w14:textId="2865B352" w:rsidR="00C81B82" w:rsidRPr="002D396F" w:rsidRDefault="003A1330" w:rsidP="00C81B82">
      <w:pPr>
        <w:pStyle w:val="SingleTxtG"/>
        <w:ind w:left="2268" w:hanging="1134"/>
        <w:rPr>
          <w:lang w:val="de-DE"/>
        </w:rPr>
      </w:pPr>
      <w:r w:rsidRPr="002D396F">
        <w:rPr>
          <w:lang w:val="de-DE"/>
        </w:rPr>
        <w:t>5.2.1.9.2</w:t>
      </w:r>
      <w:r w:rsidRPr="002D396F">
        <w:rPr>
          <w:lang w:val="de-DE"/>
        </w:rPr>
        <w:tab/>
      </w:r>
      <w:r w:rsidR="00C81B82" w:rsidRPr="002D396F">
        <w:rPr>
          <w:lang w:val="de-DE"/>
        </w:rPr>
        <w:t>In der Abbildung 5.2.1.9.2 „120 mm“ und „110 mm“ jeweils ändern in: „100 mm“.</w:t>
      </w:r>
    </w:p>
    <w:p w14:paraId="2CBA5CE2" w14:textId="77777777" w:rsidR="00C81B82" w:rsidRPr="002D396F" w:rsidRDefault="00C81B82" w:rsidP="00C81B82">
      <w:pPr>
        <w:pStyle w:val="SingleTxtG"/>
        <w:ind w:left="2268"/>
        <w:rPr>
          <w:lang w:val="de-DE"/>
        </w:rPr>
      </w:pPr>
      <w:r w:rsidRPr="002D396F">
        <w:rPr>
          <w:lang w:val="de-DE"/>
        </w:rPr>
        <w:t>Im letzten Unterabsatz folgende Änderungen vornehmen:</w:t>
      </w:r>
    </w:p>
    <w:p w14:paraId="4097BCFC" w14:textId="49D36F2B" w:rsidR="00C81B82" w:rsidRPr="002D396F" w:rsidRDefault="00C81B82" w:rsidP="00C81B82">
      <w:pPr>
        <w:pStyle w:val="SingleTxtG"/>
        <w:ind w:left="2552" w:hanging="284"/>
        <w:rPr>
          <w:lang w:val="de-DE"/>
        </w:rPr>
      </w:pPr>
      <w:r w:rsidRPr="002D396F">
        <w:rPr>
          <w:lang w:val="de-DE"/>
        </w:rPr>
        <w:t>–</w:t>
      </w:r>
      <w:r w:rsidRPr="002D396F">
        <w:rPr>
          <w:lang w:val="de-DE"/>
        </w:rPr>
        <w:tab/>
        <w:t>Im ersten Satz „eines Rechtecks“ ändern in: „eines Rechtecks oder Quadrats“.</w:t>
      </w:r>
    </w:p>
    <w:p w14:paraId="1839E558" w14:textId="71E2CDF9" w:rsidR="00C81B82" w:rsidRPr="002D396F" w:rsidRDefault="00C81B82" w:rsidP="00C81B82">
      <w:pPr>
        <w:pStyle w:val="SingleTxtG"/>
        <w:ind w:left="2552" w:hanging="284"/>
        <w:rPr>
          <w:lang w:val="de-DE"/>
        </w:rPr>
      </w:pPr>
      <w:r w:rsidRPr="002D396F">
        <w:rPr>
          <w:lang w:val="de-DE"/>
        </w:rPr>
        <w:t>–</w:t>
      </w:r>
      <w:r w:rsidRPr="002D396F">
        <w:rPr>
          <w:lang w:val="de-DE"/>
        </w:rPr>
        <w:tab/>
        <w:t>Im zweiten Satz „120 mm in der Breite und 110 mm in der Höhe“ ändern in: „100 mm in der Breite und 100 mm in der Höhe“.</w:t>
      </w:r>
    </w:p>
    <w:p w14:paraId="4D690116" w14:textId="34DE5268" w:rsidR="00C81B82" w:rsidRPr="002D396F" w:rsidRDefault="00C81B82" w:rsidP="00C81B82">
      <w:pPr>
        <w:pStyle w:val="SingleTxtG"/>
        <w:ind w:left="2552" w:hanging="284"/>
        <w:rPr>
          <w:lang w:val="de-DE"/>
        </w:rPr>
      </w:pPr>
      <w:r w:rsidRPr="002D396F">
        <w:rPr>
          <w:lang w:val="de-DE"/>
        </w:rPr>
        <w:t>–</w:t>
      </w:r>
      <w:r w:rsidRPr="002D396F">
        <w:rPr>
          <w:lang w:val="de-DE"/>
        </w:rPr>
        <w:tab/>
        <w:t>Im fünften Satz „dürfen/darf die Abmessungen/Linienbreite auf bis zu 105 mm in der Breite und 74 mm in der Höhe“ ändern in: „dürfen die Abmessungen auf bis zu 100 mm in der Breite und 70 mm in der Höhe“.</w:t>
      </w:r>
    </w:p>
    <w:p w14:paraId="4C267384" w14:textId="0DEAB45F" w:rsidR="00C81B82" w:rsidRPr="002D396F" w:rsidRDefault="003A1330" w:rsidP="00C81B82">
      <w:pPr>
        <w:pStyle w:val="SingleTxtG"/>
        <w:ind w:left="2268" w:hanging="1134"/>
        <w:rPr>
          <w:lang w:val="de-DE"/>
        </w:rPr>
      </w:pPr>
      <w:r w:rsidRPr="002D396F">
        <w:rPr>
          <w:lang w:val="de-DE"/>
        </w:rPr>
        <w:t>5.2.2.1.11.2</w:t>
      </w:r>
      <w:r w:rsidRPr="002D396F">
        <w:rPr>
          <w:lang w:val="de-DE"/>
        </w:rPr>
        <w:tab/>
      </w:r>
      <w:r w:rsidR="00C81B82" w:rsidRPr="002D396F">
        <w:rPr>
          <w:lang w:val="de-DE"/>
        </w:rPr>
        <w:t>In Absatz d) „. (Für Kategorie I-WEISS ist die Eintragung der Transportkennzahl nicht erforderlich.)“ ändern in: „(ausgenommen Kategorie I-WEISS)”.</w:t>
      </w:r>
    </w:p>
    <w:p w14:paraId="7D3092A6" w14:textId="77CD439A" w:rsidR="003A1330" w:rsidRPr="002D396F" w:rsidRDefault="003A1330" w:rsidP="003A1330">
      <w:pPr>
        <w:pStyle w:val="H1G"/>
        <w:rPr>
          <w:lang w:val="de-DE"/>
        </w:rPr>
      </w:pPr>
      <w:r w:rsidRPr="002D396F">
        <w:rPr>
          <w:lang w:val="de-DE"/>
        </w:rPr>
        <w:lastRenderedPageBreak/>
        <w:tab/>
      </w:r>
      <w:r w:rsidR="00561CB3" w:rsidRPr="002D396F">
        <w:rPr>
          <w:lang w:val="de-DE"/>
        </w:rPr>
        <w:tab/>
      </w:r>
      <w:r w:rsidRPr="002D396F">
        <w:rPr>
          <w:lang w:val="de-DE"/>
        </w:rPr>
        <w:t xml:space="preserve">(ADR/ADN:) </w:t>
      </w:r>
      <w:r w:rsidR="004F5E77" w:rsidRPr="002D396F">
        <w:rPr>
          <w:lang w:val="de-DE"/>
        </w:rPr>
        <w:t>Kapitel</w:t>
      </w:r>
      <w:r w:rsidRPr="002D396F">
        <w:rPr>
          <w:lang w:val="de-DE"/>
        </w:rPr>
        <w:t xml:space="preserve"> 5.3</w:t>
      </w:r>
    </w:p>
    <w:p w14:paraId="4B76F17A" w14:textId="16102C9B" w:rsidR="003A1330" w:rsidRPr="002D396F" w:rsidRDefault="003A1330" w:rsidP="003A1330">
      <w:pPr>
        <w:pStyle w:val="SingleTxtG"/>
        <w:ind w:left="2268" w:hanging="1134"/>
        <w:rPr>
          <w:lang w:val="de-DE"/>
        </w:rPr>
      </w:pPr>
      <w:r w:rsidRPr="002D396F">
        <w:rPr>
          <w:lang w:val="de-DE"/>
        </w:rPr>
        <w:t>5.3.1.5.2</w:t>
      </w:r>
      <w:r w:rsidRPr="002D396F">
        <w:rPr>
          <w:lang w:val="de-DE"/>
        </w:rPr>
        <w:tab/>
      </w:r>
      <w:r w:rsidR="002A4BAE" w:rsidRPr="002D396F">
        <w:rPr>
          <w:lang w:val="de-DE"/>
        </w:rPr>
        <w:t>Vor „radioaktive Stoffe der Klasse 7“ einfügen: „unverpackte LSA-I-Stoffe oder SCO-I-Gegenstände oder“.</w:t>
      </w:r>
    </w:p>
    <w:p w14:paraId="1D63ED33" w14:textId="0024C56C" w:rsidR="00373117" w:rsidRPr="002D396F" w:rsidRDefault="00373117" w:rsidP="00373117">
      <w:pPr>
        <w:pStyle w:val="SingleTxtG"/>
        <w:tabs>
          <w:tab w:val="left" w:pos="2268"/>
        </w:tabs>
        <w:ind w:left="2268" w:hanging="1134"/>
        <w:rPr>
          <w:lang w:val="de-DE"/>
        </w:rPr>
      </w:pPr>
      <w:r w:rsidRPr="002D396F">
        <w:rPr>
          <w:lang w:val="de-DE"/>
        </w:rPr>
        <w:t>[5.3.2.1.4</w:t>
      </w:r>
      <w:r w:rsidRPr="002D396F">
        <w:rPr>
          <w:lang w:val="de-DE"/>
        </w:rPr>
        <w:tab/>
        <w:t>Im ersten Satz „in denen unverpackte feste Stoffe oder Gegenstände oder unter ausschließlicher Verwendung zu befördernde verpackte radioaktive Stoffe mit einer einzigen UN-Nummer“ ändern in:</w:t>
      </w:r>
    </w:p>
    <w:p w14:paraId="370CF857" w14:textId="6436C753" w:rsidR="00373117" w:rsidRPr="002D396F" w:rsidRDefault="00373117" w:rsidP="00373117">
      <w:pPr>
        <w:pStyle w:val="SingleTxtG"/>
        <w:tabs>
          <w:tab w:val="left" w:pos="2268"/>
        </w:tabs>
        <w:ind w:left="2268"/>
        <w:rPr>
          <w:lang w:val="de-DE"/>
        </w:rPr>
      </w:pPr>
      <w:r w:rsidRPr="002D396F">
        <w:rPr>
          <w:lang w:val="de-DE"/>
        </w:rPr>
        <w:t>„unverpackte LSA-I-Stoffe, SCO-I oder SCO-III-Gegenstände“.]</w:t>
      </w:r>
    </w:p>
    <w:p w14:paraId="71E71EC6" w14:textId="67E6E40E" w:rsidR="003A1330" w:rsidRPr="002D396F" w:rsidRDefault="003A1330" w:rsidP="003A1330">
      <w:pPr>
        <w:pStyle w:val="H1G"/>
        <w:rPr>
          <w:lang w:val="de-DE"/>
        </w:rPr>
      </w:pPr>
      <w:r w:rsidRPr="002D396F">
        <w:rPr>
          <w:lang w:val="de-DE"/>
        </w:rPr>
        <w:tab/>
      </w:r>
      <w:r w:rsidRPr="002D396F">
        <w:rPr>
          <w:lang w:val="de-DE"/>
        </w:rPr>
        <w:tab/>
      </w:r>
      <w:r w:rsidR="00373117" w:rsidRPr="002D396F">
        <w:rPr>
          <w:lang w:val="de-DE"/>
        </w:rPr>
        <w:t>Kapitel</w:t>
      </w:r>
      <w:r w:rsidRPr="002D396F">
        <w:rPr>
          <w:lang w:val="de-DE"/>
        </w:rPr>
        <w:t xml:space="preserve"> 5.4</w:t>
      </w:r>
    </w:p>
    <w:p w14:paraId="4A9482FF" w14:textId="471FEB44" w:rsidR="003A1330" w:rsidRPr="002D396F" w:rsidRDefault="003A1330" w:rsidP="003A1330">
      <w:pPr>
        <w:pStyle w:val="SingleTxtG"/>
        <w:ind w:left="2268" w:hanging="1134"/>
        <w:rPr>
          <w:lang w:val="de-DE"/>
        </w:rPr>
      </w:pPr>
      <w:r w:rsidRPr="002D396F">
        <w:rPr>
          <w:lang w:val="de-DE"/>
        </w:rPr>
        <w:t>5.4.1.1.1</w:t>
      </w:r>
      <w:r w:rsidRPr="002D396F">
        <w:rPr>
          <w:lang w:val="de-DE"/>
        </w:rPr>
        <w:tab/>
      </w:r>
      <w:r w:rsidR="00FB7D83" w:rsidRPr="002D396F">
        <w:rPr>
          <w:lang w:val="de-DE"/>
        </w:rPr>
        <w:t>[Die Änderung zu Absatz f) in der französischen Fassung hat keine Auswirkungen auf den deutschen Text.]</w:t>
      </w:r>
    </w:p>
    <w:p w14:paraId="6621766F" w14:textId="77777777" w:rsidR="0071553C" w:rsidRPr="002D396F" w:rsidRDefault="003A1330" w:rsidP="0071553C">
      <w:pPr>
        <w:pStyle w:val="SingleTxtG"/>
        <w:ind w:left="2268" w:hanging="1134"/>
        <w:rPr>
          <w:lang w:val="de-DE"/>
        </w:rPr>
      </w:pPr>
      <w:r w:rsidRPr="002D396F">
        <w:rPr>
          <w:lang w:val="de-DE"/>
        </w:rPr>
        <w:t>5.4.1.2.5.1</w:t>
      </w:r>
      <w:r w:rsidRPr="002D396F">
        <w:rPr>
          <w:lang w:val="de-DE"/>
        </w:rPr>
        <w:tab/>
      </w:r>
      <w:r w:rsidR="0071553C" w:rsidRPr="002D396F">
        <w:rPr>
          <w:lang w:val="de-DE"/>
        </w:rPr>
        <w:t>Die Absätze d) und e) erhalten folgenden Wortlaut:</w:t>
      </w:r>
    </w:p>
    <w:p w14:paraId="2CC96B8C" w14:textId="3EAD41D5" w:rsidR="0071553C" w:rsidRPr="002D396F" w:rsidRDefault="0071553C" w:rsidP="005725FF">
      <w:pPr>
        <w:pStyle w:val="SingleTxtG"/>
        <w:ind w:left="2694" w:hanging="426"/>
        <w:rPr>
          <w:lang w:val="de-DE"/>
        </w:rPr>
      </w:pPr>
      <w:r w:rsidRPr="002D396F">
        <w:rPr>
          <w:lang w:val="de-DE"/>
        </w:rPr>
        <w:t>„d)</w:t>
      </w:r>
      <w:r w:rsidR="005725FF" w:rsidRPr="002D396F">
        <w:rPr>
          <w:lang w:val="de-DE"/>
        </w:rPr>
        <w:tab/>
      </w:r>
      <w:r w:rsidRPr="002D396F">
        <w:rPr>
          <w:lang w:val="de-DE"/>
        </w:rPr>
        <w:t>die gemäß Absatz 5.1.5.3.4 zugeordnete Kategorie des Versandstücks, der Umverpackung oder des Containers, d. h. I-WEISS, II-GELB, III-GELB;</w:t>
      </w:r>
    </w:p>
    <w:p w14:paraId="2EA3507C" w14:textId="6287D128" w:rsidR="0071553C" w:rsidRPr="002D396F" w:rsidRDefault="0071553C" w:rsidP="005725FF">
      <w:pPr>
        <w:pStyle w:val="SingleTxtG"/>
        <w:ind w:left="2694" w:hanging="426"/>
        <w:rPr>
          <w:lang w:val="de-DE"/>
        </w:rPr>
      </w:pPr>
      <w:r w:rsidRPr="002D396F">
        <w:rPr>
          <w:lang w:val="de-DE"/>
        </w:rPr>
        <w:t>e)</w:t>
      </w:r>
      <w:r w:rsidRPr="002D396F">
        <w:rPr>
          <w:lang w:val="de-DE"/>
        </w:rPr>
        <w:tab/>
        <w:t>die gemäß den Absätzen 5.1.5.3.1 und 5.1.5.3.2 bestimmte Transportkennzahl (ausgenommen Kategorie I-WEISS);“.</w:t>
      </w:r>
    </w:p>
    <w:p w14:paraId="180DAA20" w14:textId="1271F92B" w:rsidR="003A1330" w:rsidRPr="002D396F" w:rsidRDefault="003A1330" w:rsidP="003A1330">
      <w:pPr>
        <w:pStyle w:val="SingleTxtG"/>
        <w:ind w:left="2268" w:hanging="1134"/>
        <w:rPr>
          <w:lang w:val="de-DE"/>
        </w:rPr>
      </w:pPr>
      <w:r w:rsidRPr="002D396F">
        <w:rPr>
          <w:lang w:val="de-DE"/>
        </w:rPr>
        <w:t>[</w:t>
      </w:r>
      <w:r w:rsidRPr="002D396F">
        <w:rPr>
          <w:b/>
          <w:bCs/>
          <w:lang w:val="de-DE"/>
        </w:rPr>
        <w:t xml:space="preserve">(ADN:) </w:t>
      </w:r>
      <w:r w:rsidRPr="002D396F">
        <w:rPr>
          <w:lang w:val="de-DE"/>
        </w:rPr>
        <w:t>5.4.1.2.2 d)</w:t>
      </w:r>
    </w:p>
    <w:p w14:paraId="5F4442BF" w14:textId="3794C326" w:rsidR="003A1330" w:rsidRPr="002D396F" w:rsidRDefault="003A1330" w:rsidP="0071553C">
      <w:pPr>
        <w:pStyle w:val="SingleTxtG"/>
        <w:ind w:left="2268" w:hanging="1134"/>
        <w:rPr>
          <w:lang w:val="de-DE"/>
        </w:rPr>
      </w:pPr>
      <w:r w:rsidRPr="002D396F">
        <w:rPr>
          <w:lang w:val="de-DE"/>
        </w:rPr>
        <w:tab/>
      </w:r>
      <w:r w:rsidR="0071553C" w:rsidRPr="002D396F">
        <w:rPr>
          <w:lang w:val="de-DE"/>
        </w:rPr>
        <w:t>In Absatz d) „Tankcontainer“ ändern in: „Kesselwagen, Tankcontainer oder ortsbewegliche Tanks“.]</w:t>
      </w:r>
    </w:p>
    <w:p w14:paraId="58C19145" w14:textId="1009DFAA" w:rsidR="003C207C" w:rsidRPr="002D396F" w:rsidRDefault="00867952" w:rsidP="003C207C">
      <w:pPr>
        <w:pStyle w:val="SingleTxtG"/>
        <w:tabs>
          <w:tab w:val="left" w:pos="2835"/>
        </w:tabs>
        <w:ind w:left="567" w:right="946"/>
        <w:rPr>
          <w:color w:val="548DD4" w:themeColor="text2" w:themeTint="99"/>
          <w:lang w:val="de-DE"/>
        </w:rPr>
      </w:pPr>
      <w:r w:rsidRPr="002D396F">
        <w:rPr>
          <w:b/>
          <w:bCs/>
          <w:i/>
          <w:iCs/>
          <w:color w:val="548DD4" w:themeColor="text2" w:themeTint="99"/>
          <w:lang w:val="de-DE"/>
        </w:rPr>
        <w:t>Schlussfolgerungen der Ad hoc Arbeitsgruppe</w:t>
      </w:r>
      <w:r w:rsidR="003C207C" w:rsidRPr="002D396F">
        <w:rPr>
          <w:color w:val="548DD4" w:themeColor="text2" w:themeTint="99"/>
          <w:lang w:val="de-DE"/>
        </w:rPr>
        <w:t xml:space="preserve">: </w:t>
      </w:r>
    </w:p>
    <w:p w14:paraId="14EEF5E3" w14:textId="2C90C012" w:rsidR="004566B8" w:rsidRPr="002D396F" w:rsidRDefault="003C207C" w:rsidP="004566B8">
      <w:pPr>
        <w:pStyle w:val="H23G"/>
        <w:rPr>
          <w:bCs/>
          <w:i/>
          <w:iCs/>
          <w:color w:val="548DD4" w:themeColor="text2" w:themeTint="99"/>
          <w:lang w:val="de-DE"/>
        </w:rPr>
      </w:pPr>
      <w:r w:rsidRPr="002D396F">
        <w:rPr>
          <w:bCs/>
          <w:i/>
          <w:iCs/>
          <w:color w:val="548DD4" w:themeColor="text2" w:themeTint="99"/>
          <w:lang w:val="de-DE"/>
        </w:rPr>
        <w:tab/>
      </w:r>
      <w:r w:rsidRPr="002D396F">
        <w:rPr>
          <w:bCs/>
          <w:i/>
          <w:iCs/>
          <w:color w:val="548DD4" w:themeColor="text2" w:themeTint="99"/>
          <w:lang w:val="de-DE"/>
        </w:rPr>
        <w:tab/>
      </w:r>
      <w:r w:rsidR="006E0286" w:rsidRPr="002D396F">
        <w:rPr>
          <w:bCs/>
          <w:i/>
          <w:iCs/>
          <w:color w:val="548DD4" w:themeColor="text2" w:themeTint="99"/>
          <w:lang w:val="de-DE"/>
        </w:rPr>
        <w:t>Zusä</w:t>
      </w:r>
      <w:r w:rsidR="00E1409F" w:rsidRPr="002D396F">
        <w:rPr>
          <w:bCs/>
          <w:i/>
          <w:iCs/>
          <w:color w:val="548DD4" w:themeColor="text2" w:themeTint="99"/>
          <w:lang w:val="de-DE"/>
        </w:rPr>
        <w:t>t</w:t>
      </w:r>
      <w:r w:rsidR="006E0286" w:rsidRPr="002D396F">
        <w:rPr>
          <w:bCs/>
          <w:i/>
          <w:iCs/>
          <w:color w:val="548DD4" w:themeColor="text2" w:themeTint="99"/>
          <w:lang w:val="de-DE"/>
        </w:rPr>
        <w:t xml:space="preserve">zliche Vorschriften für Klasse </w:t>
      </w:r>
      <w:r w:rsidR="004566B8" w:rsidRPr="002D396F">
        <w:rPr>
          <w:bCs/>
          <w:i/>
          <w:iCs/>
          <w:color w:val="548DD4" w:themeColor="text2" w:themeTint="99"/>
          <w:lang w:val="de-DE"/>
        </w:rPr>
        <w:t>2 (5.4.1.2.2 (d))</w:t>
      </w:r>
    </w:p>
    <w:p w14:paraId="2E5BB592" w14:textId="41895816" w:rsidR="004566B8" w:rsidRPr="002D396F" w:rsidRDefault="004566B8" w:rsidP="004566B8">
      <w:pPr>
        <w:pStyle w:val="SingleTxtG"/>
        <w:rPr>
          <w:i/>
          <w:iCs/>
          <w:color w:val="548DD4" w:themeColor="text2" w:themeTint="99"/>
          <w:lang w:val="de-DE"/>
        </w:rPr>
      </w:pPr>
      <w:r w:rsidRPr="002D396F">
        <w:rPr>
          <w:i/>
          <w:iCs/>
          <w:color w:val="548DD4" w:themeColor="text2" w:themeTint="99"/>
          <w:lang w:val="de-DE"/>
        </w:rPr>
        <w:t>58.</w:t>
      </w:r>
      <w:r w:rsidRPr="002D396F">
        <w:rPr>
          <w:i/>
          <w:iCs/>
          <w:color w:val="548DD4" w:themeColor="text2" w:themeTint="99"/>
          <w:lang w:val="de-DE"/>
        </w:rPr>
        <w:tab/>
      </w:r>
      <w:r w:rsidR="006E0286" w:rsidRPr="002D396F">
        <w:rPr>
          <w:i/>
          <w:iCs/>
          <w:color w:val="548DD4" w:themeColor="text2" w:themeTint="99"/>
          <w:lang w:val="de-DE"/>
        </w:rPr>
        <w:t xml:space="preserve">Die Arbeitsgruppe vertrat die Ansicht, dass die vorgeschlagene Änderung nur für </w:t>
      </w:r>
      <w:r w:rsidRPr="002D396F">
        <w:rPr>
          <w:i/>
          <w:iCs/>
          <w:color w:val="548DD4" w:themeColor="text2" w:themeTint="99"/>
          <w:lang w:val="de-DE"/>
        </w:rPr>
        <w:t xml:space="preserve">ADR </w:t>
      </w:r>
      <w:r w:rsidR="006E0286" w:rsidRPr="002D396F">
        <w:rPr>
          <w:i/>
          <w:iCs/>
          <w:color w:val="548DD4" w:themeColor="text2" w:themeTint="99"/>
          <w:lang w:val="de-DE"/>
        </w:rPr>
        <w:t xml:space="preserve">geeignet </w:t>
      </w:r>
      <w:r w:rsidR="00021F22" w:rsidRPr="002D396F">
        <w:rPr>
          <w:i/>
          <w:iCs/>
          <w:color w:val="548DD4" w:themeColor="text2" w:themeTint="99"/>
          <w:lang w:val="de-DE"/>
        </w:rPr>
        <w:t>sei</w:t>
      </w:r>
      <w:r w:rsidR="00684913" w:rsidRPr="002D396F">
        <w:rPr>
          <w:i/>
          <w:iCs/>
          <w:color w:val="548DD4" w:themeColor="text2" w:themeTint="99"/>
          <w:lang w:val="de-DE"/>
        </w:rPr>
        <w:t>,</w:t>
      </w:r>
      <w:r w:rsidR="006E0286" w:rsidRPr="002D396F">
        <w:rPr>
          <w:i/>
          <w:iCs/>
          <w:color w:val="548DD4" w:themeColor="text2" w:themeTint="99"/>
          <w:lang w:val="de-DE"/>
        </w:rPr>
        <w:t xml:space="preserve"> und schlug </w:t>
      </w:r>
      <w:r w:rsidR="00D9333D" w:rsidRPr="002D396F">
        <w:rPr>
          <w:i/>
          <w:iCs/>
          <w:color w:val="548DD4" w:themeColor="text2" w:themeTint="99"/>
          <w:lang w:val="de-DE"/>
        </w:rPr>
        <w:t xml:space="preserve">entsprechende </w:t>
      </w:r>
      <w:r w:rsidR="006E0286" w:rsidRPr="002D396F">
        <w:rPr>
          <w:i/>
          <w:iCs/>
          <w:color w:val="548DD4" w:themeColor="text2" w:themeTint="99"/>
          <w:lang w:val="de-DE"/>
        </w:rPr>
        <w:t xml:space="preserve">Änderungen für </w:t>
      </w:r>
      <w:r w:rsidRPr="002D396F">
        <w:rPr>
          <w:i/>
          <w:iCs/>
          <w:color w:val="548DD4" w:themeColor="text2" w:themeTint="99"/>
          <w:lang w:val="de-DE"/>
        </w:rPr>
        <w:t xml:space="preserve">RID </w:t>
      </w:r>
      <w:r w:rsidR="006E0286" w:rsidRPr="002D396F">
        <w:rPr>
          <w:i/>
          <w:iCs/>
          <w:color w:val="548DD4" w:themeColor="text2" w:themeTint="99"/>
          <w:lang w:val="de-DE"/>
        </w:rPr>
        <w:t xml:space="preserve">und </w:t>
      </w:r>
      <w:r w:rsidRPr="002D396F">
        <w:rPr>
          <w:i/>
          <w:iCs/>
          <w:color w:val="548DD4" w:themeColor="text2" w:themeTint="99"/>
          <w:lang w:val="de-DE"/>
        </w:rPr>
        <w:t>ADN</w:t>
      </w:r>
      <w:r w:rsidR="006E0286" w:rsidRPr="002D396F">
        <w:rPr>
          <w:i/>
          <w:iCs/>
          <w:color w:val="548DD4" w:themeColor="text2" w:themeTint="99"/>
          <w:lang w:val="de-DE"/>
        </w:rPr>
        <w:t xml:space="preserve"> vor</w:t>
      </w:r>
      <w:r w:rsidRPr="002D396F">
        <w:rPr>
          <w:i/>
          <w:iCs/>
          <w:color w:val="548DD4" w:themeColor="text2" w:themeTint="99"/>
          <w:lang w:val="de-DE"/>
        </w:rPr>
        <w:t xml:space="preserve">. </w:t>
      </w:r>
      <w:r w:rsidR="00760936" w:rsidRPr="002D396F">
        <w:rPr>
          <w:i/>
          <w:iCs/>
          <w:color w:val="548DD4" w:themeColor="text2" w:themeTint="99"/>
          <w:lang w:val="de-DE"/>
        </w:rPr>
        <w:t>Es wurde vereinbart, dass die für ADN relevante Änderung dem ADN-Sicherheitsausschuss zur Beratung vorgelegt werden sollte</w:t>
      </w:r>
      <w:r w:rsidRPr="002D396F">
        <w:rPr>
          <w:i/>
          <w:iCs/>
          <w:color w:val="548DD4" w:themeColor="text2" w:themeTint="99"/>
          <w:lang w:val="de-DE"/>
        </w:rPr>
        <w:t>.</w:t>
      </w:r>
    </w:p>
    <w:p w14:paraId="2FEB81B8" w14:textId="66A052EC" w:rsidR="00591163" w:rsidRPr="002D396F" w:rsidRDefault="00591163" w:rsidP="003A1330">
      <w:pPr>
        <w:pStyle w:val="SingleTxtG"/>
        <w:ind w:left="2268" w:hanging="1134"/>
        <w:rPr>
          <w:lang w:val="de-DE"/>
        </w:rPr>
      </w:pPr>
      <w:r w:rsidRPr="002D396F">
        <w:rPr>
          <w:lang w:val="de-DE"/>
        </w:rPr>
        <w:t>5.4.1.2.5.1</w:t>
      </w:r>
      <w:r w:rsidRPr="002D396F">
        <w:rPr>
          <w:lang w:val="de-DE"/>
        </w:rPr>
        <w:tab/>
        <w:t>In Absatz j) „SCO-I- oder SCO-II-Gegenständen“ ändern in: „SCO-I, SCO-II- und SCO-III-Gegenständen“.</w:t>
      </w:r>
    </w:p>
    <w:p w14:paraId="73BBF24D" w14:textId="5628780F" w:rsidR="00954F6D" w:rsidRPr="002D396F" w:rsidRDefault="003A1330" w:rsidP="000538E2">
      <w:pPr>
        <w:pStyle w:val="SingleTxtG"/>
        <w:ind w:left="2268" w:hanging="1134"/>
        <w:rPr>
          <w:lang w:val="de-DE"/>
        </w:rPr>
      </w:pPr>
      <w:r w:rsidRPr="002D396F">
        <w:rPr>
          <w:lang w:val="de-DE"/>
        </w:rPr>
        <w:t>5.4.2</w:t>
      </w:r>
      <w:r w:rsidRPr="002D396F">
        <w:rPr>
          <w:lang w:val="de-DE"/>
        </w:rPr>
        <w:tab/>
      </w:r>
      <w:r w:rsidR="000538E2" w:rsidRPr="002D396F">
        <w:rPr>
          <w:lang w:val="de-DE"/>
        </w:rPr>
        <w:t xml:space="preserve">Im ersten Satz des zweiten Unterabsatzes „andernfalls müssen diese </w:t>
      </w:r>
      <w:r w:rsidR="00615DA9">
        <w:rPr>
          <w:lang w:val="de-DE"/>
        </w:rPr>
        <w:t>Dokumente</w:t>
      </w:r>
      <w:r w:rsidR="00615DA9" w:rsidRPr="002D396F">
        <w:rPr>
          <w:lang w:val="de-DE"/>
        </w:rPr>
        <w:t xml:space="preserve"> </w:t>
      </w:r>
      <w:r w:rsidR="000538E2" w:rsidRPr="002D396F">
        <w:rPr>
          <w:lang w:val="de-DE"/>
        </w:rPr>
        <w:t xml:space="preserve">miteinander verbunden </w:t>
      </w:r>
      <w:r w:rsidR="00C44228" w:rsidRPr="002D396F">
        <w:rPr>
          <w:lang w:val="de-DE"/>
        </w:rPr>
        <w:t>sein</w:t>
      </w:r>
      <w:r w:rsidR="000538E2" w:rsidRPr="002D396F">
        <w:rPr>
          <w:lang w:val="de-DE"/>
        </w:rPr>
        <w:t xml:space="preserve">“ ändern in: „andernfalls müssen diese </w:t>
      </w:r>
      <w:r w:rsidR="00615DA9">
        <w:rPr>
          <w:lang w:val="de-DE"/>
        </w:rPr>
        <w:t>Dokumente</w:t>
      </w:r>
      <w:r w:rsidR="00615DA9" w:rsidRPr="002D396F">
        <w:rPr>
          <w:lang w:val="de-DE"/>
        </w:rPr>
        <w:t xml:space="preserve"> </w:t>
      </w:r>
      <w:r w:rsidR="000538E2" w:rsidRPr="002D396F">
        <w:rPr>
          <w:lang w:val="de-DE"/>
        </w:rPr>
        <w:t>beigefügt werden“.</w:t>
      </w:r>
    </w:p>
    <w:p w14:paraId="09626617" w14:textId="05F7B53E" w:rsidR="002D0BEA" w:rsidRPr="002D396F" w:rsidRDefault="002D0BEA" w:rsidP="003A1330">
      <w:pPr>
        <w:pStyle w:val="SingleTxtG"/>
        <w:tabs>
          <w:tab w:val="left" w:pos="2268"/>
        </w:tabs>
        <w:rPr>
          <w:b/>
          <w:bCs/>
          <w:i/>
          <w:iCs/>
          <w:color w:val="548DD4" w:themeColor="text2" w:themeTint="99"/>
          <w:lang w:val="de-DE"/>
        </w:rPr>
      </w:pPr>
      <w:r w:rsidRPr="002D396F">
        <w:rPr>
          <w:b/>
          <w:bCs/>
          <w:i/>
          <w:iCs/>
          <w:color w:val="548DD4" w:themeColor="text2" w:themeTint="99"/>
          <w:lang w:val="de-DE"/>
        </w:rPr>
        <w:t xml:space="preserve">Anmerkung des Sekretariats: </w:t>
      </w:r>
      <w:r w:rsidRPr="002D396F">
        <w:rPr>
          <w:i/>
          <w:iCs/>
          <w:color w:val="548DD4" w:themeColor="text2" w:themeTint="99"/>
          <w:lang w:val="de-DE"/>
        </w:rPr>
        <w:t>Der Text des Abschnitts 5.4.2 des IMDG-Codes, der in der Fußnote 6) wiedergegeben ist, sollte angepasst werden, um die Änderungen des IMDG-Codes abzubilden.</w:t>
      </w:r>
    </w:p>
    <w:p w14:paraId="64F966D8" w14:textId="70042712" w:rsidR="00EF5C48" w:rsidRPr="002D396F" w:rsidRDefault="002B5179" w:rsidP="00EF5C48">
      <w:pPr>
        <w:pStyle w:val="SingleTxtG"/>
        <w:tabs>
          <w:tab w:val="left" w:pos="2835"/>
        </w:tabs>
        <w:ind w:left="567" w:right="946"/>
        <w:rPr>
          <w:i/>
          <w:iCs/>
          <w:color w:val="548DD4" w:themeColor="text2" w:themeTint="99"/>
          <w:lang w:val="de-DE"/>
        </w:rPr>
      </w:pPr>
      <w:r w:rsidRPr="002D396F">
        <w:rPr>
          <w:b/>
          <w:bCs/>
          <w:i/>
          <w:iCs/>
          <w:color w:val="548DD4" w:themeColor="text2" w:themeTint="99"/>
          <w:lang w:val="de-DE"/>
        </w:rPr>
        <w:t>Mitteilung des Sekretariats</w:t>
      </w:r>
      <w:r w:rsidR="00EF5C48" w:rsidRPr="002D396F">
        <w:rPr>
          <w:b/>
          <w:bCs/>
          <w:i/>
          <w:iCs/>
          <w:color w:val="548DD4" w:themeColor="text2" w:themeTint="99"/>
          <w:lang w:val="de-DE"/>
        </w:rPr>
        <w:t>:</w:t>
      </w:r>
      <w:r w:rsidR="00EF5C48" w:rsidRPr="002D396F">
        <w:rPr>
          <w:i/>
          <w:iCs/>
          <w:color w:val="548DD4" w:themeColor="text2" w:themeTint="99"/>
          <w:lang w:val="de-DE"/>
        </w:rPr>
        <w:t xml:space="preserve"> </w:t>
      </w:r>
      <w:r w:rsidR="00D301F0" w:rsidRPr="002D396F">
        <w:rPr>
          <w:i/>
          <w:iCs/>
          <w:color w:val="548DD4" w:themeColor="text2" w:themeTint="99"/>
          <w:lang w:val="de-DE"/>
        </w:rPr>
        <w:t xml:space="preserve">Bei der Betrachtung von </w:t>
      </w:r>
      <w:r w:rsidR="00EF5C48" w:rsidRPr="002D396F">
        <w:rPr>
          <w:i/>
          <w:iCs/>
          <w:color w:val="548DD4" w:themeColor="text2" w:themeTint="99"/>
          <w:lang w:val="de-DE"/>
        </w:rPr>
        <w:t>5.4.3.1</w:t>
      </w:r>
      <w:r w:rsidR="00D301F0" w:rsidRPr="002D396F">
        <w:rPr>
          <w:i/>
          <w:iCs/>
          <w:color w:val="548DD4" w:themeColor="text2" w:themeTint="99"/>
          <w:lang w:val="de-DE"/>
        </w:rPr>
        <w:t xml:space="preserve"> informierte der Vertreter der </w:t>
      </w:r>
      <w:r w:rsidR="00EF5C48" w:rsidRPr="002D396F">
        <w:rPr>
          <w:i/>
          <w:iCs/>
          <w:color w:val="548DD4" w:themeColor="text2" w:themeTint="99"/>
          <w:lang w:val="de-DE"/>
        </w:rPr>
        <w:t xml:space="preserve">IMO </w:t>
      </w:r>
      <w:r w:rsidR="00D301F0" w:rsidRPr="002D396F">
        <w:rPr>
          <w:i/>
          <w:iCs/>
          <w:color w:val="548DD4" w:themeColor="text2" w:themeTint="99"/>
          <w:lang w:val="de-DE"/>
        </w:rPr>
        <w:t xml:space="preserve">den </w:t>
      </w:r>
      <w:r w:rsidR="00EF5C48" w:rsidRPr="002D396F">
        <w:rPr>
          <w:i/>
          <w:iCs/>
          <w:color w:val="548DD4" w:themeColor="text2" w:themeTint="99"/>
          <w:lang w:val="de-DE"/>
        </w:rPr>
        <w:t>TDG</w:t>
      </w:r>
      <w:r w:rsidR="00D301F0" w:rsidRPr="002D396F">
        <w:rPr>
          <w:i/>
          <w:iCs/>
          <w:color w:val="548DD4" w:themeColor="text2" w:themeTint="99"/>
          <w:lang w:val="de-DE"/>
        </w:rPr>
        <w:t>-Unterausschuss über eine Abweichung be</w:t>
      </w:r>
      <w:r w:rsidR="008D5202" w:rsidRPr="002D396F">
        <w:rPr>
          <w:i/>
          <w:iCs/>
          <w:color w:val="548DD4" w:themeColor="text2" w:themeTint="99"/>
          <w:lang w:val="de-DE"/>
        </w:rPr>
        <w:t>im</w:t>
      </w:r>
      <w:r w:rsidR="00D301F0" w:rsidRPr="002D396F">
        <w:rPr>
          <w:i/>
          <w:iCs/>
          <w:color w:val="548DD4" w:themeColor="text2" w:themeTint="99"/>
          <w:lang w:val="de-DE"/>
        </w:rPr>
        <w:t xml:space="preserve"> IMDG-</w:t>
      </w:r>
      <w:r w:rsidR="00EF5C48" w:rsidRPr="002D396F">
        <w:rPr>
          <w:i/>
          <w:iCs/>
          <w:color w:val="548DD4" w:themeColor="text2" w:themeTint="99"/>
          <w:lang w:val="de-DE"/>
        </w:rPr>
        <w:t>Code (</w:t>
      </w:r>
      <w:r w:rsidR="00D301F0" w:rsidRPr="002D396F">
        <w:rPr>
          <w:i/>
          <w:iCs/>
          <w:color w:val="548DD4" w:themeColor="text2" w:themeTint="99"/>
          <w:lang w:val="de-DE"/>
        </w:rPr>
        <w:t xml:space="preserve">siehe die Absätze </w:t>
      </w:r>
      <w:r w:rsidR="00EF5C48" w:rsidRPr="002D396F">
        <w:rPr>
          <w:i/>
          <w:iCs/>
          <w:color w:val="548DD4" w:themeColor="text2" w:themeTint="99"/>
          <w:lang w:val="de-DE"/>
        </w:rPr>
        <w:t xml:space="preserve">3.42-3.45 </w:t>
      </w:r>
      <w:r w:rsidR="00D301F0" w:rsidRPr="002D396F">
        <w:rPr>
          <w:i/>
          <w:iCs/>
          <w:color w:val="548DD4" w:themeColor="text2" w:themeTint="99"/>
          <w:lang w:val="de-DE"/>
        </w:rPr>
        <w:t xml:space="preserve">des informellen Dokuments </w:t>
      </w:r>
      <w:r w:rsidR="00EF5C48" w:rsidRPr="002D396F">
        <w:rPr>
          <w:i/>
          <w:iCs/>
          <w:color w:val="548DD4" w:themeColor="text2" w:themeTint="99"/>
          <w:lang w:val="de-DE"/>
        </w:rPr>
        <w:t xml:space="preserve">INF.49 </w:t>
      </w:r>
      <w:r w:rsidR="00D301F0" w:rsidRPr="002D396F">
        <w:rPr>
          <w:i/>
          <w:iCs/>
          <w:color w:val="548DD4" w:themeColor="text2" w:themeTint="99"/>
          <w:lang w:val="de-DE"/>
        </w:rPr>
        <w:t xml:space="preserve">der 55. Sitzung des </w:t>
      </w:r>
      <w:r w:rsidR="00EF5C48" w:rsidRPr="002D396F">
        <w:rPr>
          <w:i/>
          <w:iCs/>
          <w:color w:val="548DD4" w:themeColor="text2" w:themeTint="99"/>
          <w:lang w:val="de-DE"/>
        </w:rPr>
        <w:t>TDG</w:t>
      </w:r>
      <w:r w:rsidR="00D301F0" w:rsidRPr="002D396F">
        <w:rPr>
          <w:i/>
          <w:iCs/>
          <w:color w:val="548DD4" w:themeColor="text2" w:themeTint="99"/>
          <w:lang w:val="de-DE"/>
        </w:rPr>
        <w:t>-Unterausschusses</w:t>
      </w:r>
      <w:r w:rsidR="00EF5C48" w:rsidRPr="002D396F">
        <w:rPr>
          <w:i/>
          <w:iCs/>
          <w:color w:val="548DD4" w:themeColor="text2" w:themeTint="99"/>
          <w:lang w:val="de-DE"/>
        </w:rPr>
        <w:t xml:space="preserve">, </w:t>
      </w:r>
      <w:hyperlink r:id="rId10" w:history="1">
        <w:r w:rsidR="00EF5C48" w:rsidRPr="002D396F">
          <w:rPr>
            <w:rStyle w:val="Hyperlink"/>
            <w:i/>
            <w:iCs/>
            <w:lang w:val="de-DE"/>
          </w:rPr>
          <w:t>http://www.unece.org/fileadmin/DAM/trans/doc/2019/dgac10c3/UN-SCETDG-55-INF49e.pdf</w:t>
        </w:r>
      </w:hyperlink>
      <w:r w:rsidR="00EF5C48" w:rsidRPr="002D396F">
        <w:rPr>
          <w:i/>
          <w:iCs/>
          <w:color w:val="548DD4" w:themeColor="text2" w:themeTint="99"/>
          <w:lang w:val="de-DE"/>
        </w:rPr>
        <w:t>).</w:t>
      </w:r>
    </w:p>
    <w:p w14:paraId="4EEB6554" w14:textId="7CA804AA" w:rsidR="00EF5C48" w:rsidRPr="002D396F" w:rsidRDefault="003E1936" w:rsidP="00EF5C48">
      <w:pPr>
        <w:pStyle w:val="SingleTxtG"/>
        <w:tabs>
          <w:tab w:val="left" w:pos="2835"/>
        </w:tabs>
        <w:ind w:left="567" w:right="946"/>
        <w:rPr>
          <w:color w:val="548DD4" w:themeColor="text2" w:themeTint="99"/>
          <w:lang w:val="de-DE"/>
        </w:rPr>
      </w:pPr>
      <w:r w:rsidRPr="002D396F">
        <w:rPr>
          <w:i/>
          <w:iCs/>
          <w:color w:val="548DD4" w:themeColor="text2" w:themeTint="99"/>
          <w:lang w:val="de-DE"/>
        </w:rPr>
        <w:t xml:space="preserve">Der Sicherheitsausschuss wird gebeten, zu überlegen, </w:t>
      </w:r>
      <w:r w:rsidR="00573E9F" w:rsidRPr="002D396F">
        <w:rPr>
          <w:i/>
          <w:iCs/>
          <w:color w:val="548DD4" w:themeColor="text2" w:themeTint="99"/>
          <w:lang w:val="de-DE"/>
        </w:rPr>
        <w:t xml:space="preserve">ob diese Abweichung für das ADN </w:t>
      </w:r>
      <w:r w:rsidR="00BB28D8" w:rsidRPr="002D396F">
        <w:rPr>
          <w:i/>
          <w:iCs/>
          <w:color w:val="548DD4" w:themeColor="text2" w:themeTint="99"/>
          <w:lang w:val="de-DE"/>
        </w:rPr>
        <w:t>relevant ist, und das Thema erforderlichenfalls in die Gemeinsame Tagung einzubringen</w:t>
      </w:r>
      <w:r w:rsidR="00EF5C48" w:rsidRPr="002D396F">
        <w:rPr>
          <w:i/>
          <w:iCs/>
          <w:color w:val="548DD4" w:themeColor="text2" w:themeTint="99"/>
          <w:lang w:val="de-DE"/>
        </w:rPr>
        <w:t>.</w:t>
      </w:r>
    </w:p>
    <w:p w14:paraId="619E1FA6" w14:textId="77777777" w:rsidR="00901905" w:rsidRDefault="00901905">
      <w:pPr>
        <w:suppressAutoHyphens w:val="0"/>
        <w:spacing w:line="240" w:lineRule="auto"/>
        <w:rPr>
          <w:b/>
          <w:sz w:val="24"/>
          <w:lang w:val="de-DE"/>
        </w:rPr>
      </w:pPr>
      <w:r>
        <w:rPr>
          <w:lang w:val="de-DE"/>
        </w:rPr>
        <w:br w:type="page"/>
      </w:r>
    </w:p>
    <w:p w14:paraId="379B20D5" w14:textId="27E04404" w:rsidR="003A1330" w:rsidRPr="002D396F" w:rsidRDefault="003A1330" w:rsidP="003A1330">
      <w:pPr>
        <w:pStyle w:val="H1G"/>
        <w:rPr>
          <w:lang w:val="de-DE"/>
        </w:rPr>
      </w:pPr>
      <w:r w:rsidRPr="002D396F">
        <w:rPr>
          <w:lang w:val="de-DE"/>
        </w:rPr>
        <w:lastRenderedPageBreak/>
        <w:tab/>
      </w:r>
      <w:r w:rsidRPr="002D396F">
        <w:rPr>
          <w:lang w:val="de-DE"/>
        </w:rPr>
        <w:tab/>
      </w:r>
      <w:r w:rsidR="002D0BEA" w:rsidRPr="002D396F">
        <w:rPr>
          <w:lang w:val="de-DE"/>
        </w:rPr>
        <w:t>Kapitel</w:t>
      </w:r>
      <w:r w:rsidRPr="002D396F">
        <w:rPr>
          <w:lang w:val="de-DE"/>
        </w:rPr>
        <w:t xml:space="preserve"> 5.5</w:t>
      </w:r>
    </w:p>
    <w:p w14:paraId="17ACB6C9" w14:textId="394E82BC" w:rsidR="00C415FB" w:rsidRPr="002D396F" w:rsidRDefault="003A1330" w:rsidP="00C415FB">
      <w:pPr>
        <w:pStyle w:val="SingleTxtG"/>
        <w:ind w:left="2268" w:hanging="1134"/>
        <w:rPr>
          <w:lang w:val="de-DE"/>
        </w:rPr>
      </w:pPr>
      <w:r w:rsidRPr="002D396F">
        <w:rPr>
          <w:lang w:val="de-DE"/>
        </w:rPr>
        <w:t>5.5.3</w:t>
      </w:r>
      <w:r w:rsidR="00C415FB" w:rsidRPr="002D396F">
        <w:rPr>
          <w:lang w:val="de-DE"/>
        </w:rPr>
        <w:tab/>
        <w:t>In der Überschrift nach „(UN 1951)“ einfügen: „oder Stickstoff“.</w:t>
      </w:r>
    </w:p>
    <w:p w14:paraId="57ED01A7" w14:textId="77777777" w:rsidR="00C415FB" w:rsidRPr="002D396F" w:rsidRDefault="00C415FB" w:rsidP="00C415FB">
      <w:pPr>
        <w:pStyle w:val="SingleTxtG"/>
        <w:ind w:left="2268"/>
        <w:rPr>
          <w:lang w:val="de-DE"/>
        </w:rPr>
      </w:pPr>
      <w:r w:rsidRPr="002D396F">
        <w:rPr>
          <w:lang w:val="de-DE"/>
        </w:rPr>
        <w:t>Nach der Überschrift eine Bem. mit folgendem Wortlaut einfügen:</w:t>
      </w:r>
    </w:p>
    <w:p w14:paraId="62C866E1" w14:textId="66E71BA5" w:rsidR="00C415FB" w:rsidRPr="002D396F" w:rsidRDefault="00C415FB" w:rsidP="00C415FB">
      <w:pPr>
        <w:pStyle w:val="SingleTxtG"/>
        <w:ind w:left="2268"/>
        <w:rPr>
          <w:lang w:val="de-DE"/>
        </w:rPr>
      </w:pPr>
      <w:r w:rsidRPr="002D396F">
        <w:rPr>
          <w:lang w:val="de-DE"/>
        </w:rPr>
        <w:t>„</w:t>
      </w:r>
      <w:r w:rsidRPr="002D396F">
        <w:rPr>
          <w:b/>
          <w:bCs/>
          <w:lang w:val="de-DE"/>
        </w:rPr>
        <w:t>Bem.</w:t>
      </w:r>
      <w:r w:rsidRPr="002D396F">
        <w:rPr>
          <w:lang w:val="de-DE"/>
        </w:rPr>
        <w:t xml:space="preserve"> In Zusammenhang mit diesem Abschnitt kann der Begriff </w:t>
      </w:r>
      <w:r w:rsidR="00070855" w:rsidRPr="002D396F">
        <w:rPr>
          <w:lang w:val="de-DE"/>
        </w:rPr>
        <w:t>„</w:t>
      </w:r>
      <w:r w:rsidRPr="002D396F">
        <w:rPr>
          <w:lang w:val="de-DE"/>
        </w:rPr>
        <w:t>Konditionierung</w:t>
      </w:r>
      <w:r w:rsidR="00070855" w:rsidRPr="002D396F">
        <w:rPr>
          <w:lang w:val="de-DE"/>
        </w:rPr>
        <w:t>“</w:t>
      </w:r>
      <w:r w:rsidRPr="002D396F">
        <w:rPr>
          <w:lang w:val="de-DE"/>
        </w:rPr>
        <w:t xml:space="preserve"> in einem breiteren Anwendungsbereich angewendet werden und schließt den Schutz ein.“</w:t>
      </w:r>
      <w:r w:rsidR="00116C98">
        <w:rPr>
          <w:lang w:val="de-DE"/>
        </w:rPr>
        <w:t>.</w:t>
      </w:r>
    </w:p>
    <w:p w14:paraId="148186AF" w14:textId="0F96E611" w:rsidR="00C415FB" w:rsidRPr="002D396F" w:rsidRDefault="003A1330" w:rsidP="00C415FB">
      <w:pPr>
        <w:pStyle w:val="SingleTxtG"/>
        <w:ind w:left="2268" w:hanging="1134"/>
        <w:rPr>
          <w:lang w:val="de-DE"/>
        </w:rPr>
      </w:pPr>
      <w:r w:rsidRPr="002D396F">
        <w:rPr>
          <w:lang w:val="de-DE"/>
        </w:rPr>
        <w:t>5.5.3.6.2</w:t>
      </w:r>
      <w:r w:rsidRPr="002D396F">
        <w:rPr>
          <w:lang w:val="de-DE"/>
        </w:rPr>
        <w:tab/>
      </w:r>
      <w:r w:rsidR="00C415FB" w:rsidRPr="002D396F">
        <w:rPr>
          <w:lang w:val="de-DE"/>
        </w:rPr>
        <w:t>In der Abbildung 5.5.3.6.2 folgende Änderungen vornehmen:</w:t>
      </w:r>
    </w:p>
    <w:p w14:paraId="59890281" w14:textId="0AF0B171" w:rsidR="00C415FB" w:rsidRPr="002D396F" w:rsidRDefault="00C415FB" w:rsidP="00070E04">
      <w:pPr>
        <w:pStyle w:val="SingleTxtG"/>
        <w:ind w:left="2552" w:hanging="284"/>
        <w:rPr>
          <w:lang w:val="de-DE"/>
        </w:rPr>
      </w:pPr>
      <w:r w:rsidRPr="002D396F">
        <w:rPr>
          <w:lang w:val="de-DE"/>
        </w:rPr>
        <w:t>–</w:t>
      </w:r>
      <w:r w:rsidRPr="002D396F">
        <w:rPr>
          <w:lang w:val="de-DE"/>
        </w:rPr>
        <w:tab/>
        <w:t xml:space="preserve">Die Bezeichnung des Warnkennzeichens erhält folgenden Wortlaut: „Erstickungswarnkennzeichen für Fahrzeuge </w:t>
      </w:r>
      <w:r w:rsidR="00070E04" w:rsidRPr="002D396F">
        <w:rPr>
          <w:lang w:val="de-DE"/>
        </w:rPr>
        <w:t>(RID/ADR</w:t>
      </w:r>
      <w:proofErr w:type="gramStart"/>
      <w:r w:rsidR="00070E04" w:rsidRPr="002D396F">
        <w:rPr>
          <w:lang w:val="de-DE"/>
        </w:rPr>
        <w:t>: ,</w:t>
      </w:r>
      <w:proofErr w:type="gramEnd"/>
      <w:r w:rsidR="00070E04" w:rsidRPr="002D396F">
        <w:rPr>
          <w:lang w:val="de-DE"/>
        </w:rPr>
        <w:t xml:space="preserve"> Wagen) </w:t>
      </w:r>
      <w:r w:rsidRPr="002D396F">
        <w:rPr>
          <w:lang w:val="de-DE"/>
        </w:rPr>
        <w:t>und Container“.</w:t>
      </w:r>
    </w:p>
    <w:p w14:paraId="312E6B3B" w14:textId="77777777" w:rsidR="00C415FB" w:rsidRPr="002D396F" w:rsidRDefault="00C415FB" w:rsidP="00070E04">
      <w:pPr>
        <w:pStyle w:val="SingleTxtG"/>
        <w:ind w:left="2552" w:hanging="284"/>
        <w:rPr>
          <w:lang w:val="de-DE"/>
        </w:rPr>
      </w:pPr>
      <w:r w:rsidRPr="002D396F">
        <w:rPr>
          <w:lang w:val="de-DE"/>
        </w:rPr>
        <w:t>–</w:t>
      </w:r>
      <w:r w:rsidRPr="002D396F">
        <w:rPr>
          <w:lang w:val="de-DE"/>
        </w:rPr>
        <w:tab/>
        <w:t>Den Verweis auf die Fußnote ** und die entsprechende Fußnote streichen.</w:t>
      </w:r>
    </w:p>
    <w:p w14:paraId="6D81E022" w14:textId="48228D5D" w:rsidR="00C415FB" w:rsidRPr="002D396F" w:rsidRDefault="00C415FB" w:rsidP="00070E04">
      <w:pPr>
        <w:pStyle w:val="SingleTxtG"/>
        <w:ind w:left="2552" w:hanging="284"/>
        <w:rPr>
          <w:lang w:val="de-DE"/>
        </w:rPr>
      </w:pPr>
      <w:r w:rsidRPr="002D396F">
        <w:rPr>
          <w:lang w:val="de-DE"/>
        </w:rPr>
        <w:t>–</w:t>
      </w:r>
      <w:r w:rsidRPr="002D396F">
        <w:rPr>
          <w:lang w:val="de-DE"/>
        </w:rPr>
        <w:tab/>
        <w:t>Im ersten Satz der Fußnote * „</w:t>
      </w:r>
      <w:r w:rsidR="00615DA9">
        <w:rPr>
          <w:lang w:val="de-DE"/>
        </w:rPr>
        <w:t xml:space="preserve">angegebene </w:t>
      </w:r>
      <w:r w:rsidRPr="002D396F">
        <w:rPr>
          <w:lang w:val="de-DE"/>
        </w:rPr>
        <w:t>Benennung des Kühl-/Konditionierungsmittels“ ändern in: „</w:t>
      </w:r>
      <w:r w:rsidR="00615DA9">
        <w:rPr>
          <w:lang w:val="de-DE"/>
        </w:rPr>
        <w:t xml:space="preserve">angegebene </w:t>
      </w:r>
      <w:r w:rsidRPr="002D396F">
        <w:rPr>
          <w:lang w:val="de-DE"/>
        </w:rPr>
        <w:t xml:space="preserve">Benennung oder die </w:t>
      </w:r>
      <w:r w:rsidR="00615DA9">
        <w:rPr>
          <w:lang w:val="de-DE"/>
        </w:rPr>
        <w:t>Benennung</w:t>
      </w:r>
      <w:r w:rsidR="00615DA9" w:rsidRPr="002D396F">
        <w:rPr>
          <w:lang w:val="de-DE"/>
        </w:rPr>
        <w:t xml:space="preserve"> </w:t>
      </w:r>
      <w:r w:rsidRPr="002D396F">
        <w:rPr>
          <w:lang w:val="de-DE"/>
        </w:rPr>
        <w:t>des als Kühl-/Konditionierungsmittel verwendeten erstickenden Gases“.</w:t>
      </w:r>
    </w:p>
    <w:p w14:paraId="1A47F7D2" w14:textId="77777777" w:rsidR="00C415FB" w:rsidRPr="002D396F" w:rsidRDefault="00C415FB" w:rsidP="00070E04">
      <w:pPr>
        <w:pStyle w:val="SingleTxtG"/>
        <w:ind w:left="2552" w:hanging="284"/>
        <w:rPr>
          <w:lang w:val="de-DE"/>
        </w:rPr>
      </w:pPr>
      <w:r w:rsidRPr="002D396F">
        <w:rPr>
          <w:lang w:val="de-DE"/>
        </w:rPr>
        <w:t>–</w:t>
      </w:r>
      <w:r w:rsidRPr="002D396F">
        <w:rPr>
          <w:lang w:val="de-DE"/>
        </w:rPr>
        <w:tab/>
        <w:t>Am Ende der Fußnote * hinzufügen:</w:t>
      </w:r>
    </w:p>
    <w:p w14:paraId="2636702D" w14:textId="4C487633" w:rsidR="00C415FB" w:rsidRPr="002D396F" w:rsidRDefault="00C415FB" w:rsidP="00C415FB">
      <w:pPr>
        <w:pStyle w:val="SingleTxtG"/>
        <w:ind w:left="2268"/>
        <w:rPr>
          <w:lang w:val="de-DE"/>
        </w:rPr>
      </w:pPr>
      <w:r w:rsidRPr="002D396F">
        <w:rPr>
          <w:lang w:val="de-DE"/>
        </w:rPr>
        <w:t xml:space="preserve">„Zusätzliche Angaben, wie </w:t>
      </w:r>
      <w:r w:rsidR="00070855" w:rsidRPr="002D396F">
        <w:rPr>
          <w:lang w:val="de-DE"/>
        </w:rPr>
        <w:t>„</w:t>
      </w:r>
      <w:r w:rsidRPr="002D396F">
        <w:rPr>
          <w:lang w:val="de-DE"/>
        </w:rPr>
        <w:t>ALS KÜHLMITTEL</w:t>
      </w:r>
      <w:r w:rsidR="00070855" w:rsidRPr="002D396F">
        <w:rPr>
          <w:lang w:val="de-DE"/>
        </w:rPr>
        <w:t>“</w:t>
      </w:r>
      <w:r w:rsidRPr="002D396F">
        <w:rPr>
          <w:lang w:val="de-DE"/>
        </w:rPr>
        <w:t xml:space="preserve"> oder </w:t>
      </w:r>
      <w:r w:rsidR="00070855" w:rsidRPr="002D396F">
        <w:rPr>
          <w:lang w:val="de-DE"/>
        </w:rPr>
        <w:t>„</w:t>
      </w:r>
      <w:r w:rsidRPr="002D396F">
        <w:rPr>
          <w:lang w:val="de-DE"/>
        </w:rPr>
        <w:t>ALS KONDITIONIERUNGSMITTEL</w:t>
      </w:r>
      <w:r w:rsidR="00070855" w:rsidRPr="002D396F">
        <w:rPr>
          <w:lang w:val="de-DE"/>
        </w:rPr>
        <w:t>“</w:t>
      </w:r>
      <w:r w:rsidRPr="002D396F">
        <w:rPr>
          <w:lang w:val="de-DE"/>
        </w:rPr>
        <w:t>, dürfen hinzugefügt werden.“</w:t>
      </w:r>
    </w:p>
    <w:p w14:paraId="1FC8F90E" w14:textId="7D27AC52" w:rsidR="00E75A05" w:rsidRPr="002D396F" w:rsidRDefault="002B5179" w:rsidP="00E75A05">
      <w:pPr>
        <w:pStyle w:val="SingleTxtG"/>
        <w:tabs>
          <w:tab w:val="left" w:pos="2835"/>
        </w:tabs>
        <w:ind w:left="567" w:right="946"/>
        <w:rPr>
          <w:i/>
          <w:iCs/>
          <w:color w:val="548DD4" w:themeColor="text2" w:themeTint="99"/>
          <w:lang w:val="de-DE"/>
        </w:rPr>
      </w:pPr>
      <w:r w:rsidRPr="002D396F">
        <w:rPr>
          <w:b/>
          <w:bCs/>
          <w:i/>
          <w:iCs/>
          <w:color w:val="548DD4" w:themeColor="text2" w:themeTint="99"/>
          <w:lang w:val="de-DE"/>
        </w:rPr>
        <w:t>Mitteilung des Sekretariats</w:t>
      </w:r>
      <w:r w:rsidR="00E75A05" w:rsidRPr="002D396F">
        <w:rPr>
          <w:b/>
          <w:bCs/>
          <w:i/>
          <w:iCs/>
          <w:color w:val="548DD4" w:themeColor="text2" w:themeTint="99"/>
          <w:lang w:val="de-DE"/>
        </w:rPr>
        <w:t>:</w:t>
      </w:r>
      <w:r w:rsidR="00E75A05" w:rsidRPr="002D396F">
        <w:rPr>
          <w:i/>
          <w:iCs/>
          <w:color w:val="548DD4" w:themeColor="text2" w:themeTint="99"/>
          <w:lang w:val="de-DE"/>
        </w:rPr>
        <w:t xml:space="preserve"> </w:t>
      </w:r>
      <w:r w:rsidR="003D2D49" w:rsidRPr="002D396F">
        <w:rPr>
          <w:i/>
          <w:iCs/>
          <w:color w:val="548DD4" w:themeColor="text2" w:themeTint="99"/>
          <w:lang w:val="de-DE"/>
        </w:rPr>
        <w:t xml:space="preserve">Zum neuen Abschnitt </w:t>
      </w:r>
      <w:r w:rsidR="004C63EC" w:rsidRPr="002D396F">
        <w:rPr>
          <w:i/>
          <w:iCs/>
          <w:color w:val="548DD4" w:themeColor="text2" w:themeTint="99"/>
          <w:lang w:val="de-DE"/>
        </w:rPr>
        <w:t>5.5.4 s</w:t>
      </w:r>
      <w:r w:rsidR="003D2D49" w:rsidRPr="002D396F">
        <w:rPr>
          <w:i/>
          <w:iCs/>
          <w:color w:val="548DD4" w:themeColor="text2" w:themeTint="99"/>
          <w:lang w:val="de-DE"/>
        </w:rPr>
        <w:t xml:space="preserve">iehe die Kommentare </w:t>
      </w:r>
      <w:r w:rsidR="00E75A05" w:rsidRPr="002D396F">
        <w:rPr>
          <w:i/>
          <w:iCs/>
          <w:color w:val="548DD4" w:themeColor="text2" w:themeTint="99"/>
          <w:lang w:val="de-DE"/>
        </w:rPr>
        <w:t xml:space="preserve">in </w:t>
      </w:r>
      <w:r w:rsidR="004C63EC" w:rsidRPr="002D396F">
        <w:rPr>
          <w:i/>
          <w:iCs/>
          <w:color w:val="548DD4" w:themeColor="text2" w:themeTint="99"/>
          <w:lang w:val="de-DE"/>
        </w:rPr>
        <w:t>1.1.3.7 (b).</w:t>
      </w:r>
    </w:p>
    <w:p w14:paraId="1ECAE38A" w14:textId="647BE080" w:rsidR="00901704" w:rsidRPr="002D396F" w:rsidRDefault="003A1330" w:rsidP="00901704">
      <w:pPr>
        <w:pStyle w:val="SingleTxtG"/>
        <w:ind w:left="2268" w:hanging="1134"/>
        <w:rPr>
          <w:lang w:val="de-DE"/>
        </w:rPr>
      </w:pPr>
      <w:r w:rsidRPr="002D396F">
        <w:rPr>
          <w:lang w:val="de-DE"/>
        </w:rPr>
        <w:t>5.5.4</w:t>
      </w:r>
      <w:r w:rsidRPr="002D396F">
        <w:rPr>
          <w:lang w:val="de-DE"/>
        </w:rPr>
        <w:tab/>
      </w:r>
      <w:r w:rsidR="00901704" w:rsidRPr="002D396F">
        <w:rPr>
          <w:lang w:val="de-DE"/>
        </w:rPr>
        <w:t>Einen neuen Abschnitt 5.5.4 mit folgendem Wortlaut einfügen:</w:t>
      </w:r>
    </w:p>
    <w:p w14:paraId="3E570CCD" w14:textId="10E4C74B" w:rsidR="00901704" w:rsidRPr="002D396F" w:rsidRDefault="00901704" w:rsidP="00901704">
      <w:pPr>
        <w:pStyle w:val="SingleTxtG"/>
        <w:ind w:left="2268" w:hanging="1134"/>
        <w:rPr>
          <w:b/>
          <w:bCs/>
          <w:lang w:val="de-DE"/>
        </w:rPr>
      </w:pPr>
      <w:r w:rsidRPr="002D396F">
        <w:rPr>
          <w:lang w:val="de-DE"/>
        </w:rPr>
        <w:t>„</w:t>
      </w:r>
      <w:r w:rsidRPr="002D396F">
        <w:rPr>
          <w:b/>
          <w:bCs/>
          <w:lang w:val="de-DE"/>
        </w:rPr>
        <w:t>5.5.4</w:t>
      </w:r>
      <w:r w:rsidRPr="002D396F">
        <w:rPr>
          <w:b/>
          <w:bCs/>
          <w:lang w:val="de-DE"/>
        </w:rPr>
        <w:tab/>
        <w:t>Gefährliche Güter in Geräten, die während der Beförderung verwendet werden oder für eine Verwendung während der Beförderung bestimmt sind und die an Versandstücken, Umverpackungen, Containern oder Ladeabteilen angebracht sind oder in diese eingesetzt sind</w:t>
      </w:r>
    </w:p>
    <w:p w14:paraId="1BF862CC" w14:textId="6D9A2142" w:rsidR="00901704" w:rsidRPr="002D396F" w:rsidRDefault="00901704" w:rsidP="00901704">
      <w:pPr>
        <w:pStyle w:val="SingleTxtG"/>
        <w:ind w:left="2268" w:hanging="1134"/>
        <w:rPr>
          <w:lang w:val="de-DE"/>
        </w:rPr>
      </w:pPr>
      <w:r w:rsidRPr="002D396F">
        <w:rPr>
          <w:lang w:val="de-DE"/>
        </w:rPr>
        <w:t>5.5.4.1</w:t>
      </w:r>
      <w:r w:rsidRPr="002D396F">
        <w:rPr>
          <w:lang w:val="de-DE"/>
        </w:rPr>
        <w:tab/>
        <w:t>Gefährliche Güter (z. B. Lithiumbatterien, Brennstoffzellen-Kartuschen), die in Geräten, wie Datensammlern und Ladungsortungseinrichtungen, enthalten sind, die an Versandstücken, Umverpackungen, Containern oder Ladeabteilen angebracht sind oder in diese eingesetzt sind, unterliegen nicht den Vorschriften des RID/ADR/ADN mit Ausnahme der Folgenden:</w:t>
      </w:r>
    </w:p>
    <w:p w14:paraId="5CA31634" w14:textId="77777777" w:rsidR="00901704" w:rsidRPr="002D396F" w:rsidRDefault="00901704" w:rsidP="00901704">
      <w:pPr>
        <w:pStyle w:val="SingleTxtG"/>
        <w:ind w:left="2268" w:hanging="1134"/>
        <w:rPr>
          <w:lang w:val="de-DE"/>
        </w:rPr>
      </w:pPr>
      <w:r w:rsidRPr="002D396F">
        <w:rPr>
          <w:lang w:val="de-DE"/>
        </w:rPr>
        <w:t>a)</w:t>
      </w:r>
      <w:r w:rsidRPr="002D396F">
        <w:rPr>
          <w:lang w:val="de-DE"/>
        </w:rPr>
        <w:tab/>
        <w:t>das Gerät muss während der Beförderung verwendet oder für eine Verwendung während der Beförderung bestimmt sein;</w:t>
      </w:r>
    </w:p>
    <w:p w14:paraId="10C340AB" w14:textId="641FD9A5" w:rsidR="00901704" w:rsidRPr="002D396F" w:rsidRDefault="00901704" w:rsidP="00901704">
      <w:pPr>
        <w:pStyle w:val="SingleTxtG"/>
        <w:ind w:left="2268" w:hanging="1134"/>
        <w:rPr>
          <w:lang w:val="de-DE"/>
        </w:rPr>
      </w:pPr>
      <w:r w:rsidRPr="002D396F">
        <w:rPr>
          <w:lang w:val="de-DE"/>
        </w:rPr>
        <w:t>b)</w:t>
      </w:r>
      <w:r w:rsidRPr="002D396F">
        <w:rPr>
          <w:lang w:val="de-DE"/>
        </w:rPr>
        <w:tab/>
        <w:t>die enthaltenen gefährlichen Güter (z. B. Lithiumbatterien, Brennstoffzellen-Kartuschen) müssen den im RID/ADR/ADN festgelegten Bau- und Prüfvorschriften entsprechen und</w:t>
      </w:r>
    </w:p>
    <w:p w14:paraId="37766BB0" w14:textId="7683FB93" w:rsidR="00901704" w:rsidRPr="002D396F" w:rsidRDefault="00901704" w:rsidP="00901704">
      <w:pPr>
        <w:pStyle w:val="SingleTxtG"/>
        <w:ind w:left="2268" w:hanging="1134"/>
        <w:rPr>
          <w:lang w:val="de-DE"/>
        </w:rPr>
      </w:pPr>
      <w:r w:rsidRPr="002D396F">
        <w:rPr>
          <w:lang w:val="de-DE"/>
        </w:rPr>
        <w:t>c)</w:t>
      </w:r>
      <w:r w:rsidRPr="002D396F">
        <w:rPr>
          <w:lang w:val="de-DE"/>
        </w:rPr>
        <w:tab/>
        <w:t>das Gerät muss den Stößen und Beanspruchungen standhalten können, die normalerweise während der Beförderung auftreten.</w:t>
      </w:r>
    </w:p>
    <w:p w14:paraId="15F97D13" w14:textId="4B1C6A6C" w:rsidR="00901704" w:rsidRPr="002D396F" w:rsidRDefault="00901704" w:rsidP="00901704">
      <w:pPr>
        <w:pStyle w:val="SingleTxtG"/>
        <w:ind w:left="2268" w:hanging="1134"/>
        <w:rPr>
          <w:lang w:val="de-DE"/>
        </w:rPr>
      </w:pPr>
      <w:r w:rsidRPr="002D396F">
        <w:rPr>
          <w:lang w:val="de-DE"/>
        </w:rPr>
        <w:t>5.5.4.2</w:t>
      </w:r>
      <w:r w:rsidRPr="002D396F">
        <w:rPr>
          <w:lang w:val="de-DE"/>
        </w:rPr>
        <w:tab/>
        <w:t>Wenn solche Geräte, die gefährliche Güter enthalten, als Sendung befördert werden, muss die entsprechende Eintragung des Kapitels 3.2 Tabelle A verwendet werden und es gelten alle anwendbaren Bestimmungen des RID/ADR/ADN.“</w:t>
      </w:r>
      <w:r w:rsidR="00116C98">
        <w:rPr>
          <w:lang w:val="de-DE"/>
        </w:rPr>
        <w:t>.</w:t>
      </w:r>
    </w:p>
    <w:p w14:paraId="15EA94EA" w14:textId="77777777" w:rsidR="00901905" w:rsidRDefault="00901905">
      <w:pPr>
        <w:suppressAutoHyphens w:val="0"/>
        <w:spacing w:line="240" w:lineRule="auto"/>
        <w:rPr>
          <w:b/>
          <w:sz w:val="24"/>
          <w:lang w:val="de-DE"/>
        </w:rPr>
      </w:pPr>
      <w:r>
        <w:rPr>
          <w:lang w:val="de-DE"/>
        </w:rPr>
        <w:br w:type="page"/>
      </w:r>
    </w:p>
    <w:p w14:paraId="4017A94C" w14:textId="0A31071D" w:rsidR="003A1330" w:rsidRPr="002D396F" w:rsidRDefault="003A1330" w:rsidP="003A1330">
      <w:pPr>
        <w:pStyle w:val="H1G"/>
        <w:rPr>
          <w:lang w:val="de-DE"/>
        </w:rPr>
      </w:pPr>
      <w:r w:rsidRPr="002D396F">
        <w:rPr>
          <w:lang w:val="de-DE"/>
        </w:rPr>
        <w:lastRenderedPageBreak/>
        <w:tab/>
      </w:r>
      <w:r w:rsidRPr="002D396F">
        <w:rPr>
          <w:lang w:val="de-DE"/>
        </w:rPr>
        <w:tab/>
        <w:t xml:space="preserve">(ADN:) </w:t>
      </w:r>
      <w:r w:rsidR="00901704" w:rsidRPr="002D396F">
        <w:rPr>
          <w:lang w:val="de-DE"/>
        </w:rPr>
        <w:t>Kapitel</w:t>
      </w:r>
      <w:r w:rsidRPr="002D396F">
        <w:rPr>
          <w:lang w:val="de-DE"/>
        </w:rPr>
        <w:t xml:space="preserve"> 7.1 </w:t>
      </w:r>
    </w:p>
    <w:p w14:paraId="66C69C4D" w14:textId="52614AA8" w:rsidR="008E5B79" w:rsidRPr="002D396F" w:rsidRDefault="00202ACA" w:rsidP="008E5B79">
      <w:pPr>
        <w:pStyle w:val="SingleTxtG"/>
        <w:tabs>
          <w:tab w:val="left" w:pos="2835"/>
        </w:tabs>
        <w:ind w:left="567" w:right="946"/>
        <w:rPr>
          <w:color w:val="548DD4" w:themeColor="text2" w:themeTint="99"/>
          <w:lang w:val="de-DE"/>
        </w:rPr>
      </w:pPr>
      <w:bookmarkStart w:id="24" w:name="_Hlk3560526"/>
      <w:r w:rsidRPr="002D396F">
        <w:rPr>
          <w:b/>
          <w:bCs/>
          <w:i/>
          <w:iCs/>
          <w:color w:val="548DD4" w:themeColor="text2" w:themeTint="99"/>
          <w:lang w:val="de-DE"/>
        </w:rPr>
        <w:t xml:space="preserve">Schlussfolgerungen der </w:t>
      </w:r>
      <w:r w:rsidR="008E5B79" w:rsidRPr="002D396F">
        <w:rPr>
          <w:b/>
          <w:bCs/>
          <w:i/>
          <w:iCs/>
          <w:color w:val="548DD4" w:themeColor="text2" w:themeTint="99"/>
          <w:lang w:val="de-DE"/>
        </w:rPr>
        <w:t>ad hoc</w:t>
      </w:r>
      <w:r w:rsidRPr="002D396F">
        <w:rPr>
          <w:b/>
          <w:bCs/>
          <w:i/>
          <w:iCs/>
          <w:color w:val="548DD4" w:themeColor="text2" w:themeTint="99"/>
          <w:lang w:val="de-DE"/>
        </w:rPr>
        <w:t>-Arbeitsgruppe</w:t>
      </w:r>
      <w:r w:rsidR="008E5B79" w:rsidRPr="002D396F">
        <w:rPr>
          <w:color w:val="548DD4" w:themeColor="text2" w:themeTint="99"/>
          <w:lang w:val="de-DE"/>
        </w:rPr>
        <w:t xml:space="preserve">: </w:t>
      </w:r>
    </w:p>
    <w:p w14:paraId="6C67320D" w14:textId="468F313A" w:rsidR="008E5B79" w:rsidRPr="002D396F" w:rsidRDefault="008E5B79" w:rsidP="008E5B79">
      <w:pPr>
        <w:pStyle w:val="SingleTxtG"/>
        <w:tabs>
          <w:tab w:val="left" w:pos="1134"/>
        </w:tabs>
        <w:ind w:hanging="567"/>
        <w:rPr>
          <w:i/>
          <w:iCs/>
          <w:color w:val="548DD4" w:themeColor="text2" w:themeTint="99"/>
          <w:lang w:val="de-DE"/>
        </w:rPr>
      </w:pPr>
      <w:r w:rsidRPr="002D396F">
        <w:rPr>
          <w:i/>
          <w:iCs/>
          <w:color w:val="548DD4" w:themeColor="text2" w:themeTint="99"/>
          <w:lang w:val="de-DE"/>
        </w:rPr>
        <w:t>“65.</w:t>
      </w:r>
      <w:r w:rsidRPr="002D396F">
        <w:rPr>
          <w:i/>
          <w:iCs/>
          <w:color w:val="548DD4" w:themeColor="text2" w:themeTint="99"/>
          <w:lang w:val="de-DE"/>
        </w:rPr>
        <w:tab/>
      </w:r>
      <w:r w:rsidR="00202ACA" w:rsidRPr="002D396F">
        <w:rPr>
          <w:i/>
          <w:iCs/>
          <w:color w:val="548DD4" w:themeColor="text2" w:themeTint="99"/>
          <w:lang w:val="de-DE"/>
        </w:rPr>
        <w:t xml:space="preserve">Die Arbeitsgruppe stimmte zu, die vorgeschlagenen Änderungen zu Kapitel </w:t>
      </w:r>
      <w:r w:rsidRPr="002D396F">
        <w:rPr>
          <w:i/>
          <w:iCs/>
          <w:color w:val="548DD4" w:themeColor="text2" w:themeTint="99"/>
          <w:lang w:val="de-DE"/>
        </w:rPr>
        <w:t xml:space="preserve">7.1 </w:t>
      </w:r>
      <w:r w:rsidR="00202ACA" w:rsidRPr="002D396F">
        <w:rPr>
          <w:i/>
          <w:iCs/>
          <w:color w:val="548DD4" w:themeColor="text2" w:themeTint="99"/>
          <w:lang w:val="de-DE"/>
        </w:rPr>
        <w:t>des</w:t>
      </w:r>
      <w:r w:rsidRPr="002D396F">
        <w:rPr>
          <w:i/>
          <w:iCs/>
          <w:color w:val="548DD4" w:themeColor="text2" w:themeTint="99"/>
          <w:lang w:val="de-DE"/>
        </w:rPr>
        <w:t xml:space="preserve"> ADN </w:t>
      </w:r>
      <w:r w:rsidR="00202ACA" w:rsidRPr="002D396F">
        <w:rPr>
          <w:i/>
          <w:iCs/>
          <w:color w:val="548DD4" w:themeColor="text2" w:themeTint="99"/>
          <w:lang w:val="de-DE"/>
        </w:rPr>
        <w:t>dem A</w:t>
      </w:r>
      <w:r w:rsidR="005A17C1" w:rsidRPr="002D396F">
        <w:rPr>
          <w:i/>
          <w:iCs/>
          <w:color w:val="548DD4" w:themeColor="text2" w:themeTint="99"/>
          <w:lang w:val="de-DE"/>
        </w:rPr>
        <w:t>D</w:t>
      </w:r>
      <w:r w:rsidR="00202ACA" w:rsidRPr="002D396F">
        <w:rPr>
          <w:i/>
          <w:iCs/>
          <w:color w:val="548DD4" w:themeColor="text2" w:themeTint="99"/>
          <w:lang w:val="de-DE"/>
        </w:rPr>
        <w:t>N-Sicherheitsausschuss zur Beratung vorzulegen.“</w:t>
      </w:r>
    </w:p>
    <w:p w14:paraId="4DF81522" w14:textId="3AA5F38D" w:rsidR="000D1DCC" w:rsidRPr="002D396F" w:rsidRDefault="000D1DCC" w:rsidP="00FC06C9">
      <w:pPr>
        <w:pStyle w:val="SingleTxtG"/>
        <w:ind w:left="567"/>
        <w:rPr>
          <w:i/>
          <w:iCs/>
          <w:color w:val="548DD4" w:themeColor="text2" w:themeTint="99"/>
          <w:lang w:val="de-DE"/>
        </w:rPr>
      </w:pPr>
      <w:r w:rsidRPr="002D396F">
        <w:rPr>
          <w:b/>
          <w:bCs/>
          <w:i/>
          <w:iCs/>
          <w:color w:val="548DD4" w:themeColor="text2" w:themeTint="99"/>
          <w:lang w:val="de-DE"/>
        </w:rPr>
        <w:t>S</w:t>
      </w:r>
      <w:r w:rsidR="00FA581E" w:rsidRPr="002D396F">
        <w:rPr>
          <w:b/>
          <w:bCs/>
          <w:i/>
          <w:iCs/>
          <w:color w:val="548DD4" w:themeColor="text2" w:themeTint="99"/>
          <w:lang w:val="de-DE"/>
        </w:rPr>
        <w:t xml:space="preserve">iehe </w:t>
      </w:r>
      <w:r w:rsidRPr="002D396F">
        <w:rPr>
          <w:b/>
          <w:bCs/>
          <w:i/>
          <w:iCs/>
          <w:color w:val="548DD4" w:themeColor="text2" w:themeTint="99"/>
          <w:lang w:val="de-DE"/>
        </w:rPr>
        <w:t>inform</w:t>
      </w:r>
      <w:r w:rsidR="00FA581E" w:rsidRPr="002D396F">
        <w:rPr>
          <w:b/>
          <w:bCs/>
          <w:i/>
          <w:iCs/>
          <w:color w:val="548DD4" w:themeColor="text2" w:themeTint="99"/>
          <w:lang w:val="de-DE"/>
        </w:rPr>
        <w:t>elles Dok</w:t>
      </w:r>
      <w:r w:rsidRPr="002D396F">
        <w:rPr>
          <w:b/>
          <w:bCs/>
          <w:i/>
          <w:iCs/>
          <w:color w:val="548DD4" w:themeColor="text2" w:themeTint="99"/>
          <w:lang w:val="de-DE"/>
        </w:rPr>
        <w:t>ument INF.15</w:t>
      </w:r>
      <w:r w:rsidR="00565297" w:rsidRPr="002D396F">
        <w:rPr>
          <w:b/>
          <w:bCs/>
          <w:i/>
          <w:iCs/>
          <w:color w:val="548DD4" w:themeColor="text2" w:themeTint="99"/>
          <w:lang w:val="de-DE"/>
        </w:rPr>
        <w:t xml:space="preserve"> </w:t>
      </w:r>
      <w:r w:rsidR="00FA581E" w:rsidRPr="002D396F">
        <w:rPr>
          <w:i/>
          <w:iCs/>
          <w:color w:val="548DD4" w:themeColor="text2" w:themeTint="99"/>
          <w:lang w:val="de-DE"/>
        </w:rPr>
        <w:t>des Sekretariats zur Verwendung des Begriffs „Beförderungsmittel</w:t>
      </w:r>
      <w:r w:rsidR="00B74E0A" w:rsidRPr="002D396F">
        <w:rPr>
          <w:i/>
          <w:iCs/>
          <w:color w:val="548DD4" w:themeColor="text2" w:themeTint="99"/>
          <w:lang w:val="de-DE"/>
        </w:rPr>
        <w:t>“</w:t>
      </w:r>
      <w:r w:rsidR="00565297" w:rsidRPr="002D396F">
        <w:rPr>
          <w:i/>
          <w:iCs/>
          <w:color w:val="548DD4" w:themeColor="text2" w:themeTint="99"/>
          <w:lang w:val="de-DE"/>
        </w:rPr>
        <w:t>.</w:t>
      </w:r>
    </w:p>
    <w:p w14:paraId="710B017F" w14:textId="635FA362" w:rsidR="00F519C1" w:rsidRDefault="00F519C1">
      <w:pPr>
        <w:suppressAutoHyphens w:val="0"/>
        <w:spacing w:line="240" w:lineRule="auto"/>
        <w:rPr>
          <w:lang w:val="de-DE"/>
        </w:rPr>
      </w:pPr>
    </w:p>
    <w:p w14:paraId="57EED3E7" w14:textId="5F2A339D" w:rsidR="0037069A" w:rsidRPr="002D396F" w:rsidRDefault="0037069A" w:rsidP="0037069A">
      <w:pPr>
        <w:pStyle w:val="SingleTxtG"/>
        <w:ind w:left="2268" w:hanging="1134"/>
        <w:rPr>
          <w:lang w:val="de-DE"/>
        </w:rPr>
      </w:pPr>
      <w:r w:rsidRPr="002D396F">
        <w:rPr>
          <w:lang w:val="de-DE"/>
        </w:rPr>
        <w:t>7.1.4.14.7.2</w:t>
      </w:r>
      <w:r w:rsidRPr="002D396F">
        <w:rPr>
          <w:lang w:val="de-DE"/>
        </w:rPr>
        <w:tab/>
        <w:t xml:space="preserve">[Die erste Änderung in der englischen Fassung hat keine Auswirkungen auf den deutschen Text.] </w:t>
      </w:r>
    </w:p>
    <w:p w14:paraId="4C0F660C" w14:textId="206368A2" w:rsidR="00901704" w:rsidRPr="002D396F" w:rsidRDefault="003A1330" w:rsidP="00901704">
      <w:pPr>
        <w:pStyle w:val="SingleTxtG"/>
        <w:ind w:left="2268" w:hanging="1134"/>
        <w:rPr>
          <w:lang w:val="de-DE"/>
        </w:rPr>
      </w:pPr>
      <w:r w:rsidRPr="002D396F">
        <w:rPr>
          <w:lang w:val="de-DE"/>
        </w:rPr>
        <w:t>7.1.4.14.7.2</w:t>
      </w:r>
      <w:r w:rsidRPr="002D396F">
        <w:rPr>
          <w:lang w:val="de-DE"/>
        </w:rPr>
        <w:tab/>
      </w:r>
      <w:r w:rsidR="00901704" w:rsidRPr="002D396F">
        <w:rPr>
          <w:lang w:val="de-DE"/>
        </w:rPr>
        <w:t>Nach dem ersten Satz folgenden Satz einfügen:</w:t>
      </w:r>
    </w:p>
    <w:p w14:paraId="5A89740D" w14:textId="1C2B9724" w:rsidR="00901704" w:rsidRPr="002D396F" w:rsidRDefault="00901704" w:rsidP="00901704">
      <w:pPr>
        <w:pStyle w:val="SingleTxtG"/>
        <w:ind w:left="2268"/>
        <w:rPr>
          <w:lang w:val="de-DE"/>
        </w:rPr>
      </w:pPr>
      <w:r w:rsidRPr="002D396F">
        <w:rPr>
          <w:lang w:val="de-DE"/>
        </w:rPr>
        <w:t>„Für SCO-III-Gegenstände dürfen die Grenzwerte der nachstehenden Tabelle C überschritten werden, vorausgesetzt, der Beförderungsplan enthält Vorkehrungen, die während der Beförderung zu ergreifen sind, um ein allgemeines Sicherheitsniveau zu erreichen, das mindestens dem gleichwertig ist, das gegeben wäre, wenn die Grenzwerte eingehalten worden wären.“</w:t>
      </w:r>
      <w:r w:rsidR="00116C98">
        <w:rPr>
          <w:lang w:val="de-DE"/>
        </w:rPr>
        <w:t>.</w:t>
      </w:r>
    </w:p>
    <w:p w14:paraId="5D1EDC7B" w14:textId="40F58A2D" w:rsidR="00C10078" w:rsidRPr="002D396F" w:rsidRDefault="003A1330" w:rsidP="00116C98">
      <w:pPr>
        <w:pStyle w:val="SingleTxtG"/>
        <w:tabs>
          <w:tab w:val="left" w:pos="2268"/>
        </w:tabs>
        <w:ind w:left="2268" w:hanging="1134"/>
        <w:rPr>
          <w:lang w:val="de-DE"/>
        </w:rPr>
      </w:pPr>
      <w:r w:rsidRPr="002D396F">
        <w:rPr>
          <w:lang w:val="de-DE"/>
        </w:rPr>
        <w:t>7.1.4.14.7.3.3</w:t>
      </w:r>
      <w:r w:rsidRPr="002D396F">
        <w:rPr>
          <w:lang w:val="de-DE"/>
        </w:rPr>
        <w:tab/>
      </w:r>
      <w:r w:rsidR="00C10078" w:rsidRPr="002D396F">
        <w:rPr>
          <w:lang w:val="de-DE"/>
        </w:rPr>
        <w:t>Der Absatz b) erhält folgenden Wortlaut:</w:t>
      </w:r>
    </w:p>
    <w:p w14:paraId="64D7C02A" w14:textId="311822FA" w:rsidR="00C10078" w:rsidRPr="002D396F" w:rsidRDefault="00C10078" w:rsidP="00C10078">
      <w:pPr>
        <w:pStyle w:val="SingleTxtG"/>
        <w:ind w:left="2268"/>
        <w:rPr>
          <w:lang w:val="de-DE"/>
        </w:rPr>
      </w:pPr>
      <w:r w:rsidRPr="002D396F">
        <w:rPr>
          <w:lang w:val="de-DE"/>
        </w:rPr>
        <w:t>„b) Die Dosisleistung unter Routine-Beförderungsbedingungen darf auf der Außenfläche des Beförderungsmittels an keinem Punkt 2</w:t>
      </w:r>
      <w:r w:rsidR="00010CD9" w:rsidRPr="002D396F">
        <w:rPr>
          <w:lang w:val="de-DE"/>
        </w:rPr>
        <w:t> </w:t>
      </w:r>
      <w:proofErr w:type="spellStart"/>
      <w:r w:rsidRPr="002D396F">
        <w:rPr>
          <w:lang w:val="de-DE"/>
        </w:rPr>
        <w:t>mSv</w:t>
      </w:r>
      <w:proofErr w:type="spellEnd"/>
      <w:r w:rsidRPr="002D396F">
        <w:rPr>
          <w:lang w:val="de-DE"/>
        </w:rPr>
        <w:t xml:space="preserve">/h und in einem Abstand von 2 m von der Außenfläche des Beförderungsmittels an keinem Punkt 0,1 </w:t>
      </w:r>
      <w:proofErr w:type="spellStart"/>
      <w:r w:rsidRPr="002D396F">
        <w:rPr>
          <w:lang w:val="de-DE"/>
        </w:rPr>
        <w:t>mSv</w:t>
      </w:r>
      <w:proofErr w:type="spellEnd"/>
      <w:r w:rsidRPr="002D396F">
        <w:rPr>
          <w:lang w:val="de-DE"/>
        </w:rPr>
        <w:t xml:space="preserve">/h überschreiten, ausgenommen Sendungen unter ausschließlicher Verwendung [auf </w:t>
      </w:r>
      <w:r w:rsidR="00615DA9">
        <w:rPr>
          <w:lang w:val="de-DE"/>
        </w:rPr>
        <w:t xml:space="preserve">der </w:t>
      </w:r>
      <w:r w:rsidRPr="002D396F">
        <w:rPr>
          <w:lang w:val="de-DE"/>
        </w:rPr>
        <w:t>Straße oder Schiene], für die die Dosisleistungsgrenzwerte in der Umgebung des Beförderungsmittels in Absatz 7.1.4.14.7.3.5 b) und c) festgelegt sind.“</w:t>
      </w:r>
      <w:r w:rsidR="00116C98">
        <w:rPr>
          <w:lang w:val="de-DE"/>
        </w:rPr>
        <w:t>.</w:t>
      </w:r>
    </w:p>
    <w:bookmarkEnd w:id="24"/>
    <w:p w14:paraId="7CC29AF5" w14:textId="4E4561D1" w:rsidR="00FC06C9" w:rsidRDefault="00FC06C9">
      <w:pPr>
        <w:suppressAutoHyphens w:val="0"/>
        <w:spacing w:line="240" w:lineRule="auto"/>
        <w:rPr>
          <w:b/>
          <w:bCs/>
          <w:i/>
          <w:iCs/>
          <w:color w:val="548DD4" w:themeColor="text2" w:themeTint="99"/>
          <w:lang w:val="de-DE"/>
        </w:rPr>
      </w:pPr>
    </w:p>
    <w:p w14:paraId="34787184" w14:textId="745BB1D8" w:rsidR="007D01ED" w:rsidRPr="002D396F" w:rsidRDefault="000D1DCC" w:rsidP="000D1DCC">
      <w:pPr>
        <w:pStyle w:val="SingleTxtG"/>
        <w:tabs>
          <w:tab w:val="left" w:pos="2835"/>
        </w:tabs>
        <w:ind w:left="567" w:right="946"/>
        <w:rPr>
          <w:b/>
          <w:bCs/>
          <w:i/>
          <w:iCs/>
          <w:color w:val="548DD4" w:themeColor="text2" w:themeTint="99"/>
          <w:lang w:val="de-DE"/>
        </w:rPr>
      </w:pPr>
      <w:r w:rsidRPr="002D396F">
        <w:rPr>
          <w:b/>
          <w:bCs/>
          <w:i/>
          <w:iCs/>
          <w:color w:val="548DD4" w:themeColor="text2" w:themeTint="99"/>
          <w:lang w:val="de-DE"/>
        </w:rPr>
        <w:t xml:space="preserve">Alternative </w:t>
      </w:r>
      <w:r w:rsidR="00B3699F" w:rsidRPr="002D396F">
        <w:rPr>
          <w:b/>
          <w:bCs/>
          <w:i/>
          <w:iCs/>
          <w:color w:val="548DD4" w:themeColor="text2" w:themeTint="99"/>
          <w:lang w:val="de-DE"/>
        </w:rPr>
        <w:t>Vorschläge des Sekretariats</w:t>
      </w:r>
      <w:r w:rsidRPr="002D396F">
        <w:rPr>
          <w:b/>
          <w:bCs/>
          <w:i/>
          <w:iCs/>
          <w:color w:val="548DD4" w:themeColor="text2" w:themeTint="99"/>
          <w:lang w:val="de-DE"/>
        </w:rPr>
        <w:t xml:space="preserve">: </w:t>
      </w:r>
    </w:p>
    <w:p w14:paraId="0BA79E3D" w14:textId="788B9552" w:rsidR="000D1DCC" w:rsidRPr="002D396F" w:rsidRDefault="00D02038" w:rsidP="000D1DCC">
      <w:pPr>
        <w:pStyle w:val="SingleTxtG"/>
        <w:rPr>
          <w:i/>
          <w:iCs/>
          <w:color w:val="548DD4" w:themeColor="text2" w:themeTint="99"/>
          <w:lang w:val="de-DE"/>
        </w:rPr>
      </w:pPr>
      <w:bookmarkStart w:id="25" w:name="_Hlk5702786"/>
      <w:r w:rsidRPr="002D396F">
        <w:rPr>
          <w:i/>
          <w:iCs/>
          <w:color w:val="548DD4" w:themeColor="text2" w:themeTint="99"/>
          <w:lang w:val="de-DE"/>
        </w:rPr>
        <w:t>„</w:t>
      </w:r>
      <w:r w:rsidR="000D1DCC" w:rsidRPr="002D396F">
        <w:rPr>
          <w:i/>
          <w:iCs/>
          <w:color w:val="548DD4" w:themeColor="text2" w:themeTint="99"/>
          <w:lang w:val="de-DE"/>
        </w:rPr>
        <w:t>(b)</w:t>
      </w:r>
      <w:r w:rsidR="000D1DCC" w:rsidRPr="002D396F">
        <w:rPr>
          <w:i/>
          <w:iCs/>
          <w:color w:val="548DD4" w:themeColor="text2" w:themeTint="99"/>
          <w:lang w:val="de-DE"/>
        </w:rPr>
        <w:tab/>
      </w:r>
      <w:r w:rsidRPr="002D396F">
        <w:rPr>
          <w:i/>
          <w:iCs/>
          <w:color w:val="548DD4" w:themeColor="text2" w:themeTint="99"/>
          <w:lang w:val="de-DE"/>
        </w:rPr>
        <w:t xml:space="preserve">Die Dosisleistung unter Routine-Beförderungsbedingungen darf auf der Außenfläche von Fahrzeugen, </w:t>
      </w:r>
      <w:r w:rsidR="0096331E" w:rsidRPr="002D396F">
        <w:rPr>
          <w:i/>
          <w:iCs/>
          <w:color w:val="548DD4" w:themeColor="text2" w:themeTint="99"/>
          <w:lang w:val="de-DE"/>
        </w:rPr>
        <w:t xml:space="preserve">Wagen </w:t>
      </w:r>
      <w:r w:rsidRPr="002D396F">
        <w:rPr>
          <w:i/>
          <w:iCs/>
          <w:color w:val="548DD4" w:themeColor="text2" w:themeTint="99"/>
          <w:lang w:val="de-DE"/>
        </w:rPr>
        <w:t>oder Containern [die auf das Beförderungsmittel geladen sind] an keinem Punkt 2 </w:t>
      </w:r>
      <w:proofErr w:type="spellStart"/>
      <w:r w:rsidRPr="002D396F">
        <w:rPr>
          <w:i/>
          <w:iCs/>
          <w:color w:val="548DD4" w:themeColor="text2" w:themeTint="99"/>
          <w:lang w:val="de-DE"/>
        </w:rPr>
        <w:t>mSv</w:t>
      </w:r>
      <w:proofErr w:type="spellEnd"/>
      <w:r w:rsidRPr="002D396F">
        <w:rPr>
          <w:i/>
          <w:iCs/>
          <w:color w:val="548DD4" w:themeColor="text2" w:themeTint="99"/>
          <w:lang w:val="de-DE"/>
        </w:rPr>
        <w:t xml:space="preserve">/h und in einem Abstand von 2 m von der Außenfläche von Fahrzeugen, </w:t>
      </w:r>
      <w:r w:rsidR="0096331E" w:rsidRPr="002D396F">
        <w:rPr>
          <w:i/>
          <w:iCs/>
          <w:color w:val="548DD4" w:themeColor="text2" w:themeTint="99"/>
          <w:lang w:val="de-DE"/>
        </w:rPr>
        <w:t xml:space="preserve">Wagen </w:t>
      </w:r>
      <w:r w:rsidRPr="002D396F">
        <w:rPr>
          <w:i/>
          <w:iCs/>
          <w:color w:val="548DD4" w:themeColor="text2" w:themeTint="99"/>
          <w:lang w:val="de-DE"/>
        </w:rPr>
        <w:t xml:space="preserve">oder Containern [die auf das Beförderungsmittel geladen sind] an keinem Punkt 0,1 </w:t>
      </w:r>
      <w:proofErr w:type="spellStart"/>
      <w:r w:rsidRPr="002D396F">
        <w:rPr>
          <w:i/>
          <w:iCs/>
          <w:color w:val="548DD4" w:themeColor="text2" w:themeTint="99"/>
          <w:lang w:val="de-DE"/>
        </w:rPr>
        <w:t>mSv</w:t>
      </w:r>
      <w:proofErr w:type="spellEnd"/>
      <w:r w:rsidRPr="002D396F">
        <w:rPr>
          <w:i/>
          <w:iCs/>
          <w:color w:val="548DD4" w:themeColor="text2" w:themeTint="99"/>
          <w:lang w:val="de-DE"/>
        </w:rPr>
        <w:t xml:space="preserve">/h überschreiten, ausgenommen Sendungen unter ausschließlicher Verwendung </w:t>
      </w:r>
      <w:bookmarkStart w:id="26" w:name="_Hlk17118415"/>
      <w:r w:rsidR="0067798E" w:rsidRPr="002D396F">
        <w:rPr>
          <w:i/>
          <w:iCs/>
          <w:color w:val="548DD4" w:themeColor="text2" w:themeTint="99"/>
          <w:lang w:val="de-DE"/>
        </w:rPr>
        <w:t>in einem Fahrzeug oder in einem Wagen</w:t>
      </w:r>
      <w:r w:rsidRPr="002D396F">
        <w:rPr>
          <w:i/>
          <w:iCs/>
          <w:color w:val="548DD4" w:themeColor="text2" w:themeTint="99"/>
          <w:lang w:val="de-DE"/>
        </w:rPr>
        <w:t xml:space="preserve"> </w:t>
      </w:r>
      <w:bookmarkEnd w:id="26"/>
      <w:r w:rsidRPr="002D396F">
        <w:rPr>
          <w:i/>
          <w:iCs/>
          <w:color w:val="548DD4" w:themeColor="text2" w:themeTint="99"/>
          <w:lang w:val="de-DE"/>
        </w:rPr>
        <w:t xml:space="preserve">für die die Dosisleistungsgrenzwerte in der Umgebung </w:t>
      </w:r>
      <w:r w:rsidR="0067798E" w:rsidRPr="002D396F">
        <w:rPr>
          <w:i/>
          <w:iCs/>
          <w:color w:val="548DD4" w:themeColor="text2" w:themeTint="99"/>
          <w:lang w:val="de-DE"/>
        </w:rPr>
        <w:t>der Fahrzeuge oder der Wagen</w:t>
      </w:r>
      <w:r w:rsidRPr="002D396F">
        <w:rPr>
          <w:i/>
          <w:iCs/>
          <w:color w:val="548DD4" w:themeColor="text2" w:themeTint="99"/>
          <w:lang w:val="de-DE"/>
        </w:rPr>
        <w:t xml:space="preserve"> in Absatz 7.1.4.14.7.3.5 b) und c) festgelegt sind</w:t>
      </w:r>
      <w:r w:rsidR="000D1DCC" w:rsidRPr="002D396F">
        <w:rPr>
          <w:i/>
          <w:iCs/>
          <w:color w:val="548DD4" w:themeColor="text2" w:themeTint="99"/>
          <w:lang w:val="de-DE"/>
        </w:rPr>
        <w:t>.</w:t>
      </w:r>
      <w:bookmarkEnd w:id="25"/>
      <w:r w:rsidRPr="002D396F">
        <w:rPr>
          <w:i/>
          <w:iCs/>
          <w:color w:val="548DD4" w:themeColor="text2" w:themeTint="99"/>
          <w:lang w:val="de-DE"/>
        </w:rPr>
        <w:t>“</w:t>
      </w:r>
    </w:p>
    <w:p w14:paraId="386E3000" w14:textId="4AF5E53A" w:rsidR="000D1DCC" w:rsidRPr="002D396F" w:rsidRDefault="00D02038" w:rsidP="000D1DCC">
      <w:pPr>
        <w:pStyle w:val="SingleTxtG"/>
        <w:rPr>
          <w:i/>
          <w:iCs/>
          <w:color w:val="548DD4" w:themeColor="text2" w:themeTint="99"/>
          <w:lang w:val="de-DE"/>
        </w:rPr>
      </w:pPr>
      <w:r w:rsidRPr="002D396F">
        <w:rPr>
          <w:i/>
          <w:iCs/>
          <w:color w:val="548DD4" w:themeColor="text2" w:themeTint="99"/>
          <w:lang w:val="de-DE"/>
        </w:rPr>
        <w:t>„</w:t>
      </w:r>
      <w:r w:rsidR="000D1DCC" w:rsidRPr="002D396F">
        <w:rPr>
          <w:i/>
          <w:iCs/>
          <w:color w:val="548DD4" w:themeColor="text2" w:themeTint="99"/>
          <w:lang w:val="de-DE"/>
        </w:rPr>
        <w:t>(b)</w:t>
      </w:r>
      <w:r w:rsidR="000D1DCC" w:rsidRPr="002D396F">
        <w:rPr>
          <w:i/>
          <w:iCs/>
          <w:color w:val="548DD4" w:themeColor="text2" w:themeTint="99"/>
          <w:lang w:val="de-DE"/>
        </w:rPr>
        <w:tab/>
      </w:r>
      <w:r w:rsidR="00697BBB" w:rsidRPr="002D396F">
        <w:rPr>
          <w:i/>
          <w:iCs/>
          <w:color w:val="548DD4" w:themeColor="text2" w:themeTint="99"/>
          <w:lang w:val="de-DE"/>
        </w:rPr>
        <w:t>Die Dosisleistung unter Routine-Beförderungsbedingungen darf auf der Außenfläche von</w:t>
      </w:r>
      <w:r w:rsidR="0067798E" w:rsidRPr="002D396F">
        <w:rPr>
          <w:i/>
          <w:iCs/>
          <w:color w:val="548DD4" w:themeColor="text2" w:themeTint="99"/>
          <w:lang w:val="de-DE"/>
        </w:rPr>
        <w:t xml:space="preserve"> einem</w:t>
      </w:r>
      <w:r w:rsidR="00697BBB" w:rsidRPr="002D396F">
        <w:rPr>
          <w:i/>
          <w:iCs/>
          <w:color w:val="548DD4" w:themeColor="text2" w:themeTint="99"/>
          <w:lang w:val="de-DE"/>
        </w:rPr>
        <w:t xml:space="preserve"> Fahrzeug, </w:t>
      </w:r>
      <w:r w:rsidR="0067798E" w:rsidRPr="002D396F">
        <w:rPr>
          <w:i/>
          <w:iCs/>
          <w:color w:val="548DD4" w:themeColor="text2" w:themeTint="99"/>
          <w:lang w:val="de-DE"/>
        </w:rPr>
        <w:t xml:space="preserve">einem </w:t>
      </w:r>
      <w:r w:rsidR="0096331E" w:rsidRPr="002D396F">
        <w:rPr>
          <w:i/>
          <w:iCs/>
          <w:color w:val="548DD4" w:themeColor="text2" w:themeTint="99"/>
          <w:lang w:val="de-DE"/>
        </w:rPr>
        <w:t xml:space="preserve">Wagen </w:t>
      </w:r>
      <w:r w:rsidR="00697BBB" w:rsidRPr="002D396F">
        <w:rPr>
          <w:i/>
          <w:iCs/>
          <w:color w:val="548DD4" w:themeColor="text2" w:themeTint="99"/>
          <w:lang w:val="de-DE"/>
        </w:rPr>
        <w:t xml:space="preserve">oder </w:t>
      </w:r>
      <w:r w:rsidR="0067798E" w:rsidRPr="002D396F">
        <w:rPr>
          <w:i/>
          <w:iCs/>
          <w:color w:val="548DD4" w:themeColor="text2" w:themeTint="99"/>
          <w:lang w:val="de-DE"/>
        </w:rPr>
        <w:t xml:space="preserve">einem </w:t>
      </w:r>
      <w:r w:rsidR="00697BBB" w:rsidRPr="002D396F">
        <w:rPr>
          <w:i/>
          <w:iCs/>
          <w:color w:val="548DD4" w:themeColor="text2" w:themeTint="99"/>
          <w:lang w:val="de-DE"/>
        </w:rPr>
        <w:t>Container an keinem Punkt 2 </w:t>
      </w:r>
      <w:proofErr w:type="spellStart"/>
      <w:r w:rsidR="00697BBB" w:rsidRPr="002D396F">
        <w:rPr>
          <w:i/>
          <w:iCs/>
          <w:color w:val="548DD4" w:themeColor="text2" w:themeTint="99"/>
          <w:lang w:val="de-DE"/>
        </w:rPr>
        <w:t>mSv</w:t>
      </w:r>
      <w:proofErr w:type="spellEnd"/>
      <w:r w:rsidR="00697BBB" w:rsidRPr="002D396F">
        <w:rPr>
          <w:i/>
          <w:iCs/>
          <w:color w:val="548DD4" w:themeColor="text2" w:themeTint="99"/>
          <w:lang w:val="de-DE"/>
        </w:rPr>
        <w:t xml:space="preserve">/h und in einem Abstand von 2 m von der Außenfläche von </w:t>
      </w:r>
      <w:r w:rsidR="0067798E" w:rsidRPr="002D396F">
        <w:rPr>
          <w:i/>
          <w:iCs/>
          <w:color w:val="548DD4" w:themeColor="text2" w:themeTint="99"/>
          <w:lang w:val="de-DE"/>
        </w:rPr>
        <w:t xml:space="preserve">einem </w:t>
      </w:r>
      <w:r w:rsidR="00697BBB" w:rsidRPr="002D396F">
        <w:rPr>
          <w:i/>
          <w:iCs/>
          <w:color w:val="548DD4" w:themeColor="text2" w:themeTint="99"/>
          <w:lang w:val="de-DE"/>
        </w:rPr>
        <w:t xml:space="preserve">Fahrzeug, </w:t>
      </w:r>
      <w:r w:rsidR="0067798E" w:rsidRPr="002D396F">
        <w:rPr>
          <w:i/>
          <w:iCs/>
          <w:color w:val="548DD4" w:themeColor="text2" w:themeTint="99"/>
          <w:lang w:val="de-DE"/>
        </w:rPr>
        <w:t xml:space="preserve">einem </w:t>
      </w:r>
      <w:r w:rsidR="0096331E" w:rsidRPr="002D396F">
        <w:rPr>
          <w:i/>
          <w:iCs/>
          <w:color w:val="548DD4" w:themeColor="text2" w:themeTint="99"/>
          <w:lang w:val="de-DE"/>
        </w:rPr>
        <w:t xml:space="preserve">Wagen </w:t>
      </w:r>
      <w:r w:rsidR="00697BBB" w:rsidRPr="002D396F">
        <w:rPr>
          <w:i/>
          <w:iCs/>
          <w:color w:val="548DD4" w:themeColor="text2" w:themeTint="99"/>
          <w:lang w:val="de-DE"/>
        </w:rPr>
        <w:t xml:space="preserve">oder </w:t>
      </w:r>
      <w:r w:rsidR="0067798E" w:rsidRPr="002D396F">
        <w:rPr>
          <w:i/>
          <w:iCs/>
          <w:color w:val="548DD4" w:themeColor="text2" w:themeTint="99"/>
          <w:lang w:val="de-DE"/>
        </w:rPr>
        <w:t xml:space="preserve">einem </w:t>
      </w:r>
      <w:r w:rsidR="00697BBB" w:rsidRPr="002D396F">
        <w:rPr>
          <w:i/>
          <w:iCs/>
          <w:color w:val="548DD4" w:themeColor="text2" w:themeTint="99"/>
          <w:lang w:val="de-DE"/>
        </w:rPr>
        <w:t xml:space="preserve">Container an keinem Punkt 0,1 </w:t>
      </w:r>
      <w:proofErr w:type="spellStart"/>
      <w:r w:rsidR="00697BBB" w:rsidRPr="002D396F">
        <w:rPr>
          <w:i/>
          <w:iCs/>
          <w:color w:val="548DD4" w:themeColor="text2" w:themeTint="99"/>
          <w:lang w:val="de-DE"/>
        </w:rPr>
        <w:t>mSv</w:t>
      </w:r>
      <w:proofErr w:type="spellEnd"/>
      <w:r w:rsidR="00697BBB" w:rsidRPr="002D396F">
        <w:rPr>
          <w:i/>
          <w:iCs/>
          <w:color w:val="548DD4" w:themeColor="text2" w:themeTint="99"/>
          <w:lang w:val="de-DE"/>
        </w:rPr>
        <w:t xml:space="preserve">/h überschreiten, ausgenommen Sendungen unter ausschließlicher Verwendung </w:t>
      </w:r>
      <w:r w:rsidR="0067798E" w:rsidRPr="002D396F">
        <w:rPr>
          <w:i/>
          <w:iCs/>
          <w:color w:val="548DD4" w:themeColor="text2" w:themeTint="99"/>
          <w:lang w:val="de-DE"/>
        </w:rPr>
        <w:t>in einem Fahrzeug oder in einem Wagen</w:t>
      </w:r>
      <w:r w:rsidR="00697BBB" w:rsidRPr="002D396F">
        <w:rPr>
          <w:i/>
          <w:iCs/>
          <w:color w:val="548DD4" w:themeColor="text2" w:themeTint="99"/>
          <w:lang w:val="de-DE"/>
        </w:rPr>
        <w:t xml:space="preserve">, für die die Dosisleistungsgrenzwerte in der Umgebung des </w:t>
      </w:r>
      <w:r w:rsidR="0067798E" w:rsidRPr="002D396F">
        <w:rPr>
          <w:i/>
          <w:iCs/>
          <w:color w:val="548DD4" w:themeColor="text2" w:themeTint="99"/>
          <w:lang w:val="de-DE"/>
        </w:rPr>
        <w:t xml:space="preserve">Fahrzeugs oder des Wagens </w:t>
      </w:r>
      <w:r w:rsidR="00697BBB" w:rsidRPr="002D396F">
        <w:rPr>
          <w:i/>
          <w:iCs/>
          <w:color w:val="548DD4" w:themeColor="text2" w:themeTint="99"/>
          <w:lang w:val="de-DE"/>
        </w:rPr>
        <w:t>in Absatz 7.1.4.14.7.3.5 b) und c) festgelegt sind</w:t>
      </w:r>
      <w:r w:rsidRPr="002D396F">
        <w:rPr>
          <w:i/>
          <w:iCs/>
          <w:color w:val="548DD4" w:themeColor="text2" w:themeTint="99"/>
          <w:lang w:val="de-DE"/>
        </w:rPr>
        <w:t>.“</w:t>
      </w:r>
    </w:p>
    <w:p w14:paraId="76343F6C" w14:textId="7DDBF0CC" w:rsidR="003A1330" w:rsidRPr="002D396F" w:rsidRDefault="003A1330" w:rsidP="003A1330">
      <w:pPr>
        <w:pStyle w:val="SingleTxtG"/>
        <w:ind w:left="2268" w:hanging="1134"/>
        <w:rPr>
          <w:lang w:val="de-DE"/>
        </w:rPr>
      </w:pPr>
      <w:bookmarkStart w:id="27" w:name="_Hlk11159023"/>
      <w:r w:rsidRPr="002D396F">
        <w:rPr>
          <w:lang w:val="de-DE"/>
        </w:rPr>
        <w:t>7.1.4.14.7.3.5</w:t>
      </w:r>
      <w:r w:rsidR="00C10078" w:rsidRPr="002D396F">
        <w:rPr>
          <w:lang w:val="de-DE"/>
        </w:rPr>
        <w:tab/>
      </w:r>
      <w:bookmarkStart w:id="28" w:name="_Hlk15555450"/>
      <w:r w:rsidR="00C10078" w:rsidRPr="002D396F">
        <w:rPr>
          <w:lang w:val="de-DE"/>
        </w:rPr>
        <w:t>[Die Änderung in der englischen Fassung hat keine Auswirkungen auf den deutschen Text.]</w:t>
      </w:r>
    </w:p>
    <w:bookmarkEnd w:id="28"/>
    <w:p w14:paraId="3972016F" w14:textId="79B1C575" w:rsidR="00C10078" w:rsidRPr="002D396F" w:rsidRDefault="003A1330" w:rsidP="00C10078">
      <w:pPr>
        <w:pStyle w:val="SingleTxtG"/>
        <w:ind w:left="2268" w:hanging="1134"/>
        <w:rPr>
          <w:lang w:val="de-DE"/>
        </w:rPr>
      </w:pPr>
      <w:r w:rsidRPr="002D396F">
        <w:rPr>
          <w:lang w:val="de-DE"/>
        </w:rPr>
        <w:t>7.1.4.14.7.3.6</w:t>
      </w:r>
      <w:r w:rsidR="00C10078" w:rsidRPr="002D396F">
        <w:rPr>
          <w:lang w:val="de-DE"/>
        </w:rPr>
        <w:t xml:space="preserve"> [Die Änderung in der englischen Fassung hat keine Auswirkungen auf den deutschen Text.]</w:t>
      </w:r>
    </w:p>
    <w:p w14:paraId="65ADDEEE" w14:textId="33F10361" w:rsidR="00C10078" w:rsidRPr="002D396F" w:rsidRDefault="003A1330" w:rsidP="00C10078">
      <w:pPr>
        <w:pStyle w:val="SingleTxtG"/>
        <w:ind w:left="2268" w:hanging="1134"/>
        <w:rPr>
          <w:lang w:val="de-DE"/>
        </w:rPr>
      </w:pPr>
      <w:r w:rsidRPr="002D396F">
        <w:rPr>
          <w:lang w:val="de-DE"/>
        </w:rPr>
        <w:t>7.1.4.14.7.5.1</w:t>
      </w:r>
      <w:r w:rsidR="00C10078" w:rsidRPr="002D396F">
        <w:rPr>
          <w:lang w:val="de-DE"/>
        </w:rPr>
        <w:t xml:space="preserve"> [Die Änderung in der englischen Fassung hat keine Auswirkungen auf den deutschen Text.]</w:t>
      </w:r>
    </w:p>
    <w:p w14:paraId="082BEA6F" w14:textId="401B6D0A" w:rsidR="00C10078" w:rsidRPr="002D396F" w:rsidRDefault="003A1330" w:rsidP="00C10078">
      <w:pPr>
        <w:pStyle w:val="SingleTxtG"/>
        <w:ind w:left="2268" w:hanging="1134"/>
        <w:rPr>
          <w:lang w:val="de-DE"/>
        </w:rPr>
      </w:pPr>
      <w:r w:rsidRPr="002D396F">
        <w:rPr>
          <w:lang w:val="de-DE"/>
        </w:rPr>
        <w:lastRenderedPageBreak/>
        <w:t>7.1.4.14.7.5.4</w:t>
      </w:r>
      <w:r w:rsidR="00C10078" w:rsidRPr="002D396F">
        <w:rPr>
          <w:lang w:val="de-DE"/>
        </w:rPr>
        <w:t xml:space="preserve"> </w:t>
      </w:r>
      <w:bookmarkStart w:id="29" w:name="_Hlk17117216"/>
      <w:r w:rsidR="00C10078" w:rsidRPr="002D396F">
        <w:rPr>
          <w:lang w:val="de-DE"/>
        </w:rPr>
        <w:t>[Die Änderung in der englischen Fassung hat keine Auswirkungen auf den deutschen Text.]</w:t>
      </w:r>
    </w:p>
    <w:bookmarkEnd w:id="29"/>
    <w:p w14:paraId="4F69D3F0" w14:textId="0393D108" w:rsidR="0019407E" w:rsidRPr="002D396F" w:rsidRDefault="00561CB3" w:rsidP="0019407E">
      <w:pPr>
        <w:pStyle w:val="SingleTxtG"/>
        <w:ind w:left="2268" w:hanging="1134"/>
        <w:rPr>
          <w:color w:val="548DD4" w:themeColor="text2" w:themeTint="99"/>
          <w:lang w:val="de-DE"/>
        </w:rPr>
      </w:pPr>
      <w:r w:rsidRPr="002D396F">
        <w:rPr>
          <w:color w:val="548DD4" w:themeColor="text2" w:themeTint="99"/>
          <w:lang w:val="de-DE"/>
        </w:rPr>
        <w:t>7.1.4.14.7.5.4 c)</w:t>
      </w:r>
      <w:r w:rsidR="0019407E" w:rsidRPr="002D396F">
        <w:rPr>
          <w:color w:val="548DD4" w:themeColor="text2" w:themeTint="99"/>
          <w:lang w:val="de-DE"/>
        </w:rPr>
        <w:t xml:space="preserve"> [Die Änderung in der englischen Fassung hat keine Auswirkungen auf den deutschen Text.]</w:t>
      </w:r>
      <w:r w:rsidR="0019407E" w:rsidRPr="002D396F">
        <w:rPr>
          <w:rStyle w:val="FootnoteReference"/>
          <w:color w:val="548DD4" w:themeColor="text2" w:themeTint="99"/>
          <w:lang w:val="de-DE"/>
        </w:rPr>
        <w:t xml:space="preserve"> </w:t>
      </w:r>
      <w:r w:rsidR="0019407E" w:rsidRPr="002D396F">
        <w:rPr>
          <w:rStyle w:val="FootnoteReference"/>
          <w:color w:val="548DD4" w:themeColor="text2" w:themeTint="99"/>
          <w:lang w:val="de-DE"/>
        </w:rPr>
        <w:footnoteReference w:id="1"/>
      </w:r>
    </w:p>
    <w:p w14:paraId="394F682B" w14:textId="07E59376" w:rsidR="008846E1" w:rsidRPr="00097B2B" w:rsidRDefault="008846E1" w:rsidP="008846E1">
      <w:pPr>
        <w:pStyle w:val="SingleTxtG"/>
        <w:ind w:left="2268" w:hanging="1134"/>
        <w:jc w:val="center"/>
        <w:rPr>
          <w:lang w:val="de-DE"/>
        </w:rPr>
      </w:pPr>
      <w:r w:rsidRPr="002D396F">
        <w:rPr>
          <w:lang w:val="de-DE"/>
        </w:rPr>
        <w:t>***</w:t>
      </w:r>
      <w:bookmarkEnd w:id="27"/>
    </w:p>
    <w:sectPr w:rsidR="008846E1" w:rsidRPr="00097B2B" w:rsidSect="006C1E41">
      <w:headerReference w:type="even" r:id="rId11"/>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4125" w14:textId="77777777" w:rsidR="00D40C64" w:rsidRDefault="00D40C64" w:rsidP="00175700">
      <w:pPr>
        <w:spacing w:line="240" w:lineRule="auto"/>
      </w:pPr>
      <w:r>
        <w:separator/>
      </w:r>
    </w:p>
  </w:endnote>
  <w:endnote w:type="continuationSeparator" w:id="0">
    <w:p w14:paraId="03D62E76" w14:textId="77777777" w:rsidR="00D40C64" w:rsidRDefault="00D40C64" w:rsidP="00175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A2E4" w14:textId="24F9F909" w:rsidR="00D40C64" w:rsidRPr="007D43B4" w:rsidRDefault="00D40C64" w:rsidP="007D43B4">
    <w:pPr>
      <w:jc w:val="right"/>
      <w:rPr>
        <w:lang w:val="fr-CH" w:eastAsia="fr-FR"/>
      </w:rPr>
    </w:pPr>
    <w:bookmarkStart w:id="30" w:name="_Hlk17187506"/>
    <w:bookmarkStart w:id="31" w:name="_Hlk17187507"/>
    <w:r>
      <w:rPr>
        <w:rFonts w:ascii="Arial" w:hAnsi="Arial"/>
        <w:noProof/>
        <w:snapToGrid w:val="0"/>
        <w:sz w:val="12"/>
        <w:szCs w:val="24"/>
        <w:lang w:val="fr-FR" w:eastAsia="fr-FR"/>
      </w:rPr>
      <w:t>Extern_bvs_</w:t>
    </w:r>
    <w:r w:rsidRPr="007D43B4">
      <w:rPr>
        <w:rFonts w:ascii="Arial" w:hAnsi="Arial"/>
        <w:noProof/>
        <w:snapToGrid w:val="0"/>
        <w:sz w:val="12"/>
        <w:szCs w:val="24"/>
        <w:lang w:val="fr-FR" w:eastAsia="fr-FR"/>
      </w:rPr>
      <w:t>mm/adn_wp15_ac2_35_inf</w:t>
    </w:r>
    <w:r>
      <w:rPr>
        <w:rFonts w:ascii="Arial" w:hAnsi="Arial"/>
        <w:noProof/>
        <w:snapToGrid w:val="0"/>
        <w:sz w:val="12"/>
        <w:szCs w:val="24"/>
        <w:lang w:val="fr-FR" w:eastAsia="fr-FR"/>
      </w:rPr>
      <w:t>27</w:t>
    </w:r>
    <w:r w:rsidRPr="007D43B4">
      <w:rPr>
        <w:rFonts w:ascii="Arial" w:hAnsi="Arial"/>
        <w:noProof/>
        <w:snapToGrid w:val="0"/>
        <w:sz w:val="12"/>
        <w:szCs w:val="24"/>
        <w:lang w:val="fr-FR" w:eastAsia="fr-FR"/>
      </w:rPr>
      <w:t>de</w:t>
    </w:r>
    <w:bookmarkEnd w:id="30"/>
    <w:bookmarkEnd w:id="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79CA" w14:textId="3FA7D743" w:rsidR="00D40C64" w:rsidRDefault="00D40C64" w:rsidP="00381DB4">
    <w:pPr>
      <w:jc w:val="right"/>
    </w:pPr>
    <w:r>
      <w:rPr>
        <w:rFonts w:ascii="Arial" w:hAnsi="Arial"/>
        <w:noProof/>
        <w:snapToGrid w:val="0"/>
        <w:sz w:val="12"/>
        <w:szCs w:val="24"/>
        <w:lang w:val="fr-FR" w:eastAsia="fr-FR"/>
      </w:rPr>
      <w:t>Extern_bvs_</w:t>
    </w:r>
    <w:r w:rsidRPr="007D43B4">
      <w:rPr>
        <w:rFonts w:ascii="Arial" w:hAnsi="Arial"/>
        <w:noProof/>
        <w:snapToGrid w:val="0"/>
        <w:sz w:val="12"/>
        <w:szCs w:val="24"/>
        <w:lang w:val="fr-FR" w:eastAsia="fr-FR"/>
      </w:rPr>
      <w:t>mm/adn_wp15_ac2_35_inf</w:t>
    </w:r>
    <w:r>
      <w:rPr>
        <w:rFonts w:ascii="Arial" w:hAnsi="Arial"/>
        <w:noProof/>
        <w:snapToGrid w:val="0"/>
        <w:sz w:val="12"/>
        <w:szCs w:val="24"/>
        <w:lang w:val="fr-FR" w:eastAsia="fr-FR"/>
      </w:rPr>
      <w:t>27</w:t>
    </w:r>
    <w:r w:rsidRPr="007D43B4">
      <w:rPr>
        <w:rFonts w:ascii="Arial" w:hAnsi="Arial"/>
        <w:noProof/>
        <w:snapToGrid w:val="0"/>
        <w:sz w:val="12"/>
        <w:szCs w:val="24"/>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4477" w14:textId="77777777" w:rsidR="00D40C64" w:rsidRDefault="00D40C64" w:rsidP="00175700">
      <w:pPr>
        <w:spacing w:line="240" w:lineRule="auto"/>
      </w:pPr>
      <w:r>
        <w:separator/>
      </w:r>
    </w:p>
  </w:footnote>
  <w:footnote w:type="continuationSeparator" w:id="0">
    <w:p w14:paraId="2F28F687" w14:textId="77777777" w:rsidR="00D40C64" w:rsidRDefault="00D40C64" w:rsidP="00175700">
      <w:pPr>
        <w:spacing w:line="240" w:lineRule="auto"/>
      </w:pPr>
      <w:r>
        <w:continuationSeparator/>
      </w:r>
    </w:p>
  </w:footnote>
  <w:footnote w:id="1">
    <w:p w14:paraId="472578B0" w14:textId="00079AAD" w:rsidR="00D40C64" w:rsidRPr="0019407E" w:rsidRDefault="00D40C64" w:rsidP="00116C98">
      <w:pPr>
        <w:pStyle w:val="FootnoteText"/>
        <w:tabs>
          <w:tab w:val="clear" w:pos="1021"/>
          <w:tab w:val="left" w:pos="1134"/>
        </w:tabs>
        <w:ind w:hanging="113"/>
        <w:rPr>
          <w:lang w:val="de-DE"/>
        </w:rPr>
      </w:pPr>
      <w:r>
        <w:rPr>
          <w:rStyle w:val="FootnoteReference"/>
        </w:rPr>
        <w:footnoteRef/>
      </w:r>
      <w:r>
        <w:rPr>
          <w:lang w:val="de-DE"/>
        </w:rPr>
        <w:t xml:space="preserve"> </w:t>
      </w:r>
      <w:r>
        <w:rPr>
          <w:lang w:val="de-DE"/>
        </w:rPr>
        <w:tab/>
        <w:t>Anmerkung des ZKR Sekretariats: e</w:t>
      </w:r>
      <w:r w:rsidRPr="0019407E">
        <w:rPr>
          <w:lang w:val="de-DE"/>
        </w:rPr>
        <w:t>s gibt keinen Buchstaben c) im ADN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60F3" w14:textId="77777777" w:rsidR="00D40C64" w:rsidRPr="007D43B4" w:rsidRDefault="00D40C64" w:rsidP="007D43B4">
    <w:pPr>
      <w:spacing w:line="240" w:lineRule="auto"/>
      <w:rPr>
        <w:rFonts w:ascii="Arial" w:hAnsi="Arial"/>
        <w:sz w:val="16"/>
        <w:szCs w:val="16"/>
        <w:lang w:eastAsia="fr-FR"/>
      </w:rPr>
    </w:pPr>
    <w:r w:rsidRPr="007D43B4">
      <w:rPr>
        <w:rFonts w:ascii="Arial" w:hAnsi="Arial"/>
        <w:sz w:val="16"/>
        <w:szCs w:val="16"/>
        <w:lang w:eastAsia="fr-FR"/>
      </w:rPr>
      <w:t>CCNR-ZKR/ADN/WP.15/AC.2/35/INF.</w:t>
    </w:r>
    <w:r>
      <w:rPr>
        <w:rFonts w:ascii="Arial" w:hAnsi="Arial"/>
        <w:sz w:val="16"/>
        <w:szCs w:val="16"/>
        <w:lang w:eastAsia="fr-FR"/>
      </w:rPr>
      <w:t>27</w:t>
    </w:r>
  </w:p>
  <w:p w14:paraId="44AA1237" w14:textId="5444E20A" w:rsidR="00D40C64" w:rsidRDefault="00D40C64" w:rsidP="007D43B4">
    <w:pPr>
      <w:spacing w:line="240" w:lineRule="auto"/>
    </w:pPr>
    <w:r w:rsidRPr="007D43B4">
      <w:rPr>
        <w:rFonts w:ascii="Arial" w:hAnsi="Arial"/>
        <w:sz w:val="16"/>
        <w:szCs w:val="16"/>
        <w:lang w:val="fr-CH" w:eastAsia="fr-FR"/>
      </w:rPr>
      <w:t xml:space="preserve">Seite </w:t>
    </w:r>
    <w:r w:rsidRPr="007D43B4">
      <w:rPr>
        <w:rFonts w:ascii="Arial" w:hAnsi="Arial"/>
        <w:sz w:val="16"/>
        <w:szCs w:val="16"/>
        <w:lang w:val="fr-CH" w:eastAsia="fr-FR"/>
      </w:rPr>
      <w:fldChar w:fldCharType="begin"/>
    </w:r>
    <w:r w:rsidRPr="007D43B4">
      <w:rPr>
        <w:rFonts w:ascii="Arial" w:hAnsi="Arial"/>
        <w:sz w:val="16"/>
        <w:szCs w:val="16"/>
        <w:lang w:val="fr-CH" w:eastAsia="fr-FR"/>
      </w:rPr>
      <w:instrText xml:space="preserve"> PAGE  \* MERGEFORMAT </w:instrText>
    </w:r>
    <w:r w:rsidRPr="007D43B4">
      <w:rPr>
        <w:rFonts w:ascii="Arial" w:hAnsi="Arial"/>
        <w:sz w:val="16"/>
        <w:szCs w:val="16"/>
        <w:lang w:val="fr-CH" w:eastAsia="fr-FR"/>
      </w:rPr>
      <w:fldChar w:fldCharType="separate"/>
    </w:r>
    <w:r w:rsidRPr="00615DA9">
      <w:rPr>
        <w:rFonts w:ascii="Arial" w:hAnsi="Arial"/>
        <w:noProof/>
        <w:sz w:val="16"/>
        <w:szCs w:val="16"/>
      </w:rPr>
      <w:t>22</w:t>
    </w:r>
    <w:r w:rsidRPr="007D43B4">
      <w:rPr>
        <w:rFonts w:ascii="Arial" w:hAnsi="Arial"/>
        <w:sz w:val="16"/>
        <w:szCs w:val="16"/>
        <w:lang w:val="fr-CH"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D472" w14:textId="700D358A" w:rsidR="00D40C64" w:rsidRPr="007D43B4" w:rsidRDefault="00D40C64" w:rsidP="007D43B4">
    <w:pPr>
      <w:spacing w:line="240" w:lineRule="auto"/>
      <w:rPr>
        <w:rFonts w:ascii="Arial" w:hAnsi="Arial"/>
        <w:sz w:val="16"/>
        <w:szCs w:val="16"/>
        <w:lang w:eastAsia="fr-FR"/>
      </w:rPr>
    </w:pPr>
    <w:r w:rsidRPr="007D43B4">
      <w:rPr>
        <w:rFonts w:ascii="Arial" w:hAnsi="Arial"/>
        <w:sz w:val="16"/>
        <w:szCs w:val="16"/>
        <w:lang w:eastAsia="fr-FR"/>
      </w:rPr>
      <w:t>CCNR-ZKR/ADN/WP.15/AC.2/35/INF.</w:t>
    </w:r>
    <w:r>
      <w:rPr>
        <w:rFonts w:ascii="Arial" w:hAnsi="Arial"/>
        <w:sz w:val="16"/>
        <w:szCs w:val="16"/>
        <w:lang w:eastAsia="fr-FR"/>
      </w:rPr>
      <w:t>27</w:t>
    </w:r>
  </w:p>
  <w:p w14:paraId="5BF31E69" w14:textId="77777777" w:rsidR="00D40C64" w:rsidRPr="007D43B4" w:rsidRDefault="00D40C64" w:rsidP="007D43B4">
    <w:pPr>
      <w:spacing w:line="240" w:lineRule="auto"/>
      <w:rPr>
        <w:b/>
        <w:sz w:val="18"/>
        <w:lang w:val="fr-CH" w:eastAsia="fr-FR"/>
      </w:rPr>
    </w:pPr>
    <w:r w:rsidRPr="007D43B4">
      <w:rPr>
        <w:rFonts w:ascii="Arial" w:hAnsi="Arial"/>
        <w:sz w:val="16"/>
        <w:szCs w:val="16"/>
        <w:lang w:val="fr-CH" w:eastAsia="fr-FR"/>
      </w:rPr>
      <w:t xml:space="preserve">Seite </w:t>
    </w:r>
    <w:r w:rsidRPr="007D43B4">
      <w:rPr>
        <w:rFonts w:ascii="Arial" w:hAnsi="Arial"/>
        <w:sz w:val="16"/>
        <w:szCs w:val="16"/>
        <w:lang w:val="fr-CH" w:eastAsia="fr-FR"/>
      </w:rPr>
      <w:fldChar w:fldCharType="begin"/>
    </w:r>
    <w:r w:rsidRPr="007D43B4">
      <w:rPr>
        <w:rFonts w:ascii="Arial" w:hAnsi="Arial"/>
        <w:sz w:val="16"/>
        <w:szCs w:val="16"/>
        <w:lang w:val="fr-CH" w:eastAsia="fr-FR"/>
      </w:rPr>
      <w:instrText xml:space="preserve"> PAGE  \* MERGEFORMAT </w:instrText>
    </w:r>
    <w:r w:rsidRPr="007D43B4">
      <w:rPr>
        <w:rFonts w:ascii="Arial" w:hAnsi="Arial"/>
        <w:sz w:val="16"/>
        <w:szCs w:val="16"/>
        <w:lang w:val="fr-CH" w:eastAsia="fr-FR"/>
      </w:rPr>
      <w:fldChar w:fldCharType="separate"/>
    </w:r>
    <w:r>
      <w:rPr>
        <w:rFonts w:ascii="Arial" w:hAnsi="Arial"/>
        <w:noProof/>
        <w:sz w:val="16"/>
        <w:szCs w:val="16"/>
        <w:lang w:val="fr-CH" w:eastAsia="fr-FR"/>
      </w:rPr>
      <w:t>23</w:t>
    </w:r>
    <w:r w:rsidRPr="007D43B4">
      <w:rPr>
        <w:rFonts w:ascii="Arial" w:hAnsi="Arial"/>
        <w:sz w:val="16"/>
        <w:szCs w:val="16"/>
        <w:lang w:val="fr-CH"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EF1805"/>
    <w:multiLevelType w:val="multilevel"/>
    <w:tmpl w:val="4360228A"/>
    <w:lvl w:ilvl="0">
      <w:start w:val="1"/>
      <w:numFmt w:val="decimal"/>
      <w:lvlText w:val="%1"/>
      <w:lvlJc w:val="left"/>
      <w:pPr>
        <w:ind w:left="1890" w:hanging="1419"/>
      </w:pPr>
      <w:rPr>
        <w:rFonts w:hint="default"/>
        <w:lang w:val="de-DE" w:eastAsia="de-DE" w:bidi="de-DE"/>
      </w:rPr>
    </w:lvl>
    <w:lvl w:ilvl="1">
      <w:start w:val="6"/>
      <w:numFmt w:val="decimal"/>
      <w:lvlText w:val="%1.%2"/>
      <w:lvlJc w:val="left"/>
      <w:pPr>
        <w:ind w:left="1890" w:hanging="1419"/>
      </w:pPr>
      <w:rPr>
        <w:rFonts w:hint="default"/>
        <w:lang w:val="de-DE" w:eastAsia="de-DE" w:bidi="de-DE"/>
      </w:rPr>
    </w:lvl>
    <w:lvl w:ilvl="2">
      <w:start w:val="6"/>
      <w:numFmt w:val="decimal"/>
      <w:lvlText w:val="%1.%2.%3"/>
      <w:lvlJc w:val="left"/>
      <w:pPr>
        <w:ind w:left="1890" w:hanging="1419"/>
      </w:pPr>
      <w:rPr>
        <w:rFonts w:hint="default"/>
        <w:lang w:val="de-DE" w:eastAsia="de-DE" w:bidi="de-DE"/>
      </w:rPr>
    </w:lvl>
    <w:lvl w:ilvl="3">
      <w:start w:val="1"/>
      <w:numFmt w:val="decimal"/>
      <w:lvlText w:val="%1.%2.%3.%4"/>
      <w:lvlJc w:val="left"/>
      <w:pPr>
        <w:ind w:left="2554" w:hanging="1419"/>
      </w:pPr>
      <w:rPr>
        <w:rFonts w:ascii="Arial" w:eastAsia="Arial" w:hAnsi="Arial" w:cs="Arial" w:hint="default"/>
        <w:b/>
        <w:bCs/>
        <w:spacing w:val="-3"/>
        <w:w w:val="100"/>
        <w:sz w:val="22"/>
        <w:szCs w:val="22"/>
        <w:lang w:val="de-DE" w:eastAsia="de-DE" w:bidi="de-DE"/>
      </w:rPr>
    </w:lvl>
    <w:lvl w:ilvl="4">
      <w:start w:val="1"/>
      <w:numFmt w:val="lowerLetter"/>
      <w:lvlText w:val="%5)"/>
      <w:lvlJc w:val="left"/>
      <w:pPr>
        <w:ind w:left="2308" w:hanging="418"/>
      </w:pPr>
      <w:rPr>
        <w:rFonts w:ascii="Arial" w:eastAsia="Arial" w:hAnsi="Arial" w:cs="Arial" w:hint="default"/>
        <w:spacing w:val="-1"/>
        <w:w w:val="100"/>
        <w:sz w:val="22"/>
        <w:szCs w:val="22"/>
        <w:lang w:val="de-DE" w:eastAsia="de-DE" w:bidi="de-DE"/>
      </w:rPr>
    </w:lvl>
    <w:lvl w:ilvl="5">
      <w:start w:val="1"/>
      <w:numFmt w:val="lowerRoman"/>
      <w:lvlText w:val="(%6)"/>
      <w:lvlJc w:val="left"/>
      <w:pPr>
        <w:ind w:left="2726" w:hanging="418"/>
      </w:pPr>
      <w:rPr>
        <w:rFonts w:ascii="Arial" w:eastAsia="Arial" w:hAnsi="Arial" w:cs="Arial" w:hint="default"/>
        <w:spacing w:val="-2"/>
        <w:w w:val="100"/>
        <w:sz w:val="22"/>
        <w:szCs w:val="22"/>
        <w:lang w:val="de-DE" w:eastAsia="de-DE" w:bidi="de-DE"/>
      </w:rPr>
    </w:lvl>
    <w:lvl w:ilvl="6">
      <w:numFmt w:val="bullet"/>
      <w:lvlText w:val="–"/>
      <w:lvlJc w:val="left"/>
      <w:pPr>
        <w:ind w:left="3143" w:hanging="418"/>
      </w:pPr>
      <w:rPr>
        <w:rFonts w:ascii="Arial" w:eastAsia="Arial" w:hAnsi="Arial" w:cs="Arial" w:hint="default"/>
        <w:w w:val="100"/>
        <w:sz w:val="22"/>
        <w:szCs w:val="22"/>
        <w:lang w:val="de-DE" w:eastAsia="de-DE" w:bidi="de-DE"/>
      </w:rPr>
    </w:lvl>
    <w:lvl w:ilvl="7">
      <w:numFmt w:val="bullet"/>
      <w:lvlText w:val="•"/>
      <w:lvlJc w:val="left"/>
      <w:pPr>
        <w:ind w:left="6913" w:hanging="418"/>
      </w:pPr>
      <w:rPr>
        <w:rFonts w:hint="default"/>
        <w:lang w:val="de-DE" w:eastAsia="de-DE" w:bidi="de-DE"/>
      </w:rPr>
    </w:lvl>
    <w:lvl w:ilvl="8">
      <w:numFmt w:val="bullet"/>
      <w:lvlText w:val="•"/>
      <w:lvlJc w:val="left"/>
      <w:pPr>
        <w:ind w:left="8110" w:hanging="418"/>
      </w:pPr>
      <w:rPr>
        <w:rFonts w:hint="default"/>
        <w:lang w:val="de-DE" w:eastAsia="de-DE" w:bidi="de-DE"/>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AE4770"/>
    <w:multiLevelType w:val="multilevel"/>
    <w:tmpl w:val="DE02ACCE"/>
    <w:lvl w:ilvl="0">
      <w:start w:val="1"/>
      <w:numFmt w:val="decimal"/>
      <w:lvlText w:val="%1"/>
      <w:lvlJc w:val="left"/>
      <w:pPr>
        <w:ind w:left="1890" w:hanging="1419"/>
      </w:pPr>
      <w:rPr>
        <w:rFonts w:hint="default"/>
        <w:lang w:val="de-DE" w:eastAsia="de-DE" w:bidi="de-DE"/>
      </w:rPr>
    </w:lvl>
    <w:lvl w:ilvl="1">
      <w:start w:val="6"/>
      <w:numFmt w:val="decimal"/>
      <w:lvlText w:val="%1.%2"/>
      <w:lvlJc w:val="left"/>
      <w:pPr>
        <w:ind w:left="1890" w:hanging="1419"/>
      </w:pPr>
      <w:rPr>
        <w:rFonts w:hint="default"/>
        <w:lang w:val="de-DE" w:eastAsia="de-DE" w:bidi="de-DE"/>
      </w:rPr>
    </w:lvl>
    <w:lvl w:ilvl="2">
      <w:start w:val="2"/>
      <w:numFmt w:val="decimal"/>
      <w:lvlText w:val="%1.%2.%3"/>
      <w:lvlJc w:val="left"/>
      <w:pPr>
        <w:ind w:left="1890" w:hanging="1419"/>
      </w:pPr>
      <w:rPr>
        <w:rFonts w:hint="default"/>
        <w:lang w:val="de-DE" w:eastAsia="de-DE" w:bidi="de-DE"/>
      </w:rPr>
    </w:lvl>
    <w:lvl w:ilvl="3">
      <w:start w:val="2"/>
      <w:numFmt w:val="decimal"/>
      <w:lvlText w:val="%1.%2.%3.%4"/>
      <w:lvlJc w:val="left"/>
      <w:pPr>
        <w:ind w:left="1890" w:hanging="1419"/>
      </w:pPr>
      <w:rPr>
        <w:rFonts w:hint="default"/>
        <w:lang w:val="de-DE" w:eastAsia="de-DE" w:bidi="de-DE"/>
      </w:rPr>
    </w:lvl>
    <w:lvl w:ilvl="4">
      <w:start w:val="1"/>
      <w:numFmt w:val="decimal"/>
      <w:lvlText w:val="%1.%2.%3.%4.%5"/>
      <w:lvlJc w:val="left"/>
      <w:pPr>
        <w:ind w:left="1890" w:hanging="1419"/>
      </w:pPr>
      <w:rPr>
        <w:rFonts w:ascii="Arial" w:eastAsia="Arial" w:hAnsi="Arial" w:cs="Arial" w:hint="default"/>
        <w:b/>
        <w:bCs/>
        <w:spacing w:val="-3"/>
        <w:w w:val="100"/>
        <w:sz w:val="22"/>
        <w:szCs w:val="22"/>
        <w:lang w:val="de-DE" w:eastAsia="de-DE" w:bidi="de-DE"/>
      </w:rPr>
    </w:lvl>
    <w:lvl w:ilvl="5">
      <w:start w:val="1"/>
      <w:numFmt w:val="lowerLetter"/>
      <w:lvlText w:val="%6)"/>
      <w:lvlJc w:val="left"/>
      <w:pPr>
        <w:ind w:left="2308" w:hanging="418"/>
      </w:pPr>
      <w:rPr>
        <w:rFonts w:ascii="Arial" w:eastAsia="Arial" w:hAnsi="Arial" w:cs="Arial" w:hint="default"/>
        <w:spacing w:val="-1"/>
        <w:w w:val="100"/>
        <w:sz w:val="22"/>
        <w:szCs w:val="22"/>
        <w:lang w:val="de-DE" w:eastAsia="de-DE" w:bidi="de-DE"/>
      </w:rPr>
    </w:lvl>
    <w:lvl w:ilvl="6">
      <w:start w:val="1"/>
      <w:numFmt w:val="lowerRoman"/>
      <w:lvlText w:val="(%7)"/>
      <w:lvlJc w:val="left"/>
      <w:pPr>
        <w:ind w:left="2725" w:hanging="418"/>
      </w:pPr>
      <w:rPr>
        <w:rFonts w:ascii="Arial" w:eastAsia="Arial" w:hAnsi="Arial" w:cs="Arial" w:hint="default"/>
        <w:spacing w:val="-2"/>
        <w:w w:val="100"/>
        <w:sz w:val="22"/>
        <w:szCs w:val="22"/>
        <w:lang w:val="de-DE" w:eastAsia="de-DE" w:bidi="de-DE"/>
      </w:rPr>
    </w:lvl>
    <w:lvl w:ilvl="7">
      <w:numFmt w:val="bullet"/>
      <w:lvlText w:val="•"/>
      <w:lvlJc w:val="left"/>
      <w:pPr>
        <w:ind w:left="7586" w:hanging="418"/>
      </w:pPr>
      <w:rPr>
        <w:rFonts w:hint="default"/>
        <w:lang w:val="de-DE" w:eastAsia="de-DE" w:bidi="de-DE"/>
      </w:rPr>
    </w:lvl>
    <w:lvl w:ilvl="8">
      <w:numFmt w:val="bullet"/>
      <w:lvlText w:val="•"/>
      <w:lvlJc w:val="left"/>
      <w:pPr>
        <w:ind w:left="8559" w:hanging="418"/>
      </w:pPr>
      <w:rPr>
        <w:rFonts w:hint="default"/>
        <w:lang w:val="de-DE" w:eastAsia="de-DE" w:bidi="de-DE"/>
      </w:rPr>
    </w:lvl>
  </w:abstractNum>
  <w:abstractNum w:abstractNumId="23" w15:restartNumberingAfterBreak="0">
    <w:nsid w:val="2434071B"/>
    <w:multiLevelType w:val="multilevel"/>
    <w:tmpl w:val="8BC442EC"/>
    <w:lvl w:ilvl="0">
      <w:start w:val="1"/>
      <w:numFmt w:val="decimal"/>
      <w:lvlText w:val="%1."/>
      <w:lvlJc w:val="left"/>
      <w:pPr>
        <w:ind w:left="600" w:hanging="600"/>
      </w:pPr>
      <w:rPr>
        <w:rFonts w:hint="default"/>
      </w:rPr>
    </w:lvl>
    <w:lvl w:ilvl="1">
      <w:start w:val="6"/>
      <w:numFmt w:val="decimal"/>
      <w:lvlText w:val="%1.%2."/>
      <w:lvlJc w:val="left"/>
      <w:pPr>
        <w:ind w:left="1451" w:hanging="600"/>
      </w:pPr>
      <w:rPr>
        <w:rFonts w:hint="default"/>
      </w:rPr>
    </w:lvl>
    <w:lvl w:ilvl="2">
      <w:start w:val="6"/>
      <w:numFmt w:val="decimal"/>
      <w:lvlText w:val="%1.%2.%3."/>
      <w:lvlJc w:val="left"/>
      <w:pPr>
        <w:ind w:left="2422" w:hanging="720"/>
      </w:pPr>
      <w:rPr>
        <w:rFonts w:hint="default"/>
      </w:rPr>
    </w:lvl>
    <w:lvl w:ilvl="3">
      <w:start w:val="2"/>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2BDF3697"/>
    <w:multiLevelType w:val="hybridMultilevel"/>
    <w:tmpl w:val="DB5E52B2"/>
    <w:lvl w:ilvl="0" w:tplc="E35864B8">
      <w:start w:val="3"/>
      <w:numFmt w:val="lowerRoman"/>
      <w:lvlText w:val="(%1)"/>
      <w:lvlJc w:val="left"/>
      <w:pPr>
        <w:ind w:left="2726" w:hanging="418"/>
      </w:pPr>
      <w:rPr>
        <w:rFonts w:ascii="Arial" w:eastAsia="Arial" w:hAnsi="Arial" w:cs="Arial" w:hint="default"/>
        <w:spacing w:val="-2"/>
        <w:w w:val="100"/>
        <w:sz w:val="22"/>
        <w:szCs w:val="22"/>
        <w:lang w:val="de-DE" w:eastAsia="de-DE" w:bidi="de-DE"/>
      </w:rPr>
    </w:lvl>
    <w:lvl w:ilvl="1" w:tplc="571ADADE">
      <w:numFmt w:val="bullet"/>
      <w:lvlText w:val="•"/>
      <w:lvlJc w:val="left"/>
      <w:pPr>
        <w:ind w:left="3498" w:hanging="418"/>
      </w:pPr>
      <w:rPr>
        <w:rFonts w:hint="default"/>
        <w:lang w:val="de-DE" w:eastAsia="de-DE" w:bidi="de-DE"/>
      </w:rPr>
    </w:lvl>
    <w:lvl w:ilvl="2" w:tplc="F86E5A86">
      <w:numFmt w:val="bullet"/>
      <w:lvlText w:val="•"/>
      <w:lvlJc w:val="left"/>
      <w:pPr>
        <w:ind w:left="4277" w:hanging="418"/>
      </w:pPr>
      <w:rPr>
        <w:rFonts w:hint="default"/>
        <w:lang w:val="de-DE" w:eastAsia="de-DE" w:bidi="de-DE"/>
      </w:rPr>
    </w:lvl>
    <w:lvl w:ilvl="3" w:tplc="41942252">
      <w:numFmt w:val="bullet"/>
      <w:lvlText w:val="•"/>
      <w:lvlJc w:val="left"/>
      <w:pPr>
        <w:ind w:left="5055" w:hanging="418"/>
      </w:pPr>
      <w:rPr>
        <w:rFonts w:hint="default"/>
        <w:lang w:val="de-DE" w:eastAsia="de-DE" w:bidi="de-DE"/>
      </w:rPr>
    </w:lvl>
    <w:lvl w:ilvl="4" w:tplc="2642393C">
      <w:numFmt w:val="bullet"/>
      <w:lvlText w:val="•"/>
      <w:lvlJc w:val="left"/>
      <w:pPr>
        <w:ind w:left="5834" w:hanging="418"/>
      </w:pPr>
      <w:rPr>
        <w:rFonts w:hint="default"/>
        <w:lang w:val="de-DE" w:eastAsia="de-DE" w:bidi="de-DE"/>
      </w:rPr>
    </w:lvl>
    <w:lvl w:ilvl="5" w:tplc="43A69822">
      <w:numFmt w:val="bullet"/>
      <w:lvlText w:val="•"/>
      <w:lvlJc w:val="left"/>
      <w:pPr>
        <w:ind w:left="6613" w:hanging="418"/>
      </w:pPr>
      <w:rPr>
        <w:rFonts w:hint="default"/>
        <w:lang w:val="de-DE" w:eastAsia="de-DE" w:bidi="de-DE"/>
      </w:rPr>
    </w:lvl>
    <w:lvl w:ilvl="6" w:tplc="E594FEB2">
      <w:numFmt w:val="bullet"/>
      <w:lvlText w:val="•"/>
      <w:lvlJc w:val="left"/>
      <w:pPr>
        <w:ind w:left="7391" w:hanging="418"/>
      </w:pPr>
      <w:rPr>
        <w:rFonts w:hint="default"/>
        <w:lang w:val="de-DE" w:eastAsia="de-DE" w:bidi="de-DE"/>
      </w:rPr>
    </w:lvl>
    <w:lvl w:ilvl="7" w:tplc="767E284E">
      <w:numFmt w:val="bullet"/>
      <w:lvlText w:val="•"/>
      <w:lvlJc w:val="left"/>
      <w:pPr>
        <w:ind w:left="8170" w:hanging="418"/>
      </w:pPr>
      <w:rPr>
        <w:rFonts w:hint="default"/>
        <w:lang w:val="de-DE" w:eastAsia="de-DE" w:bidi="de-DE"/>
      </w:rPr>
    </w:lvl>
    <w:lvl w:ilvl="8" w:tplc="98BA8FC6">
      <w:numFmt w:val="bullet"/>
      <w:lvlText w:val="•"/>
      <w:lvlJc w:val="left"/>
      <w:pPr>
        <w:ind w:left="8949" w:hanging="418"/>
      </w:pPr>
      <w:rPr>
        <w:rFonts w:hint="default"/>
        <w:lang w:val="de-DE" w:eastAsia="de-DE" w:bidi="de-DE"/>
      </w:rPr>
    </w:lvl>
  </w:abstractNum>
  <w:abstractNum w:abstractNumId="25"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FA7650"/>
    <w:multiLevelType w:val="multilevel"/>
    <w:tmpl w:val="593E0E1A"/>
    <w:lvl w:ilvl="0">
      <w:start w:val="1"/>
      <w:numFmt w:val="decimal"/>
      <w:lvlText w:val="%1"/>
      <w:lvlJc w:val="left"/>
      <w:pPr>
        <w:ind w:left="1891" w:hanging="1419"/>
      </w:pPr>
      <w:rPr>
        <w:rFonts w:hint="default"/>
        <w:lang w:val="de-DE" w:eastAsia="de-DE" w:bidi="de-DE"/>
      </w:rPr>
    </w:lvl>
    <w:lvl w:ilvl="1">
      <w:start w:val="7"/>
      <w:numFmt w:val="decimal"/>
      <w:lvlText w:val="%1.%2"/>
      <w:lvlJc w:val="left"/>
      <w:pPr>
        <w:ind w:left="1891" w:hanging="1419"/>
      </w:pPr>
      <w:rPr>
        <w:rFonts w:hint="default"/>
        <w:lang w:val="de-DE" w:eastAsia="de-DE" w:bidi="de-DE"/>
      </w:rPr>
    </w:lvl>
    <w:lvl w:ilvl="2">
      <w:start w:val="1"/>
      <w:numFmt w:val="decimal"/>
      <w:lvlText w:val="%1.%2.%3"/>
      <w:lvlJc w:val="left"/>
      <w:pPr>
        <w:ind w:left="1891" w:hanging="1419"/>
      </w:pPr>
      <w:rPr>
        <w:rFonts w:hint="default"/>
        <w:lang w:val="de-DE" w:eastAsia="de-DE" w:bidi="de-DE"/>
      </w:rPr>
    </w:lvl>
    <w:lvl w:ilvl="3">
      <w:start w:val="1"/>
      <w:numFmt w:val="decimal"/>
      <w:lvlText w:val="%1.%2.%3.%4"/>
      <w:lvlJc w:val="left"/>
      <w:pPr>
        <w:ind w:left="1891" w:hanging="1419"/>
      </w:pPr>
      <w:rPr>
        <w:rFonts w:ascii="Arial" w:eastAsia="Arial" w:hAnsi="Arial" w:cs="Arial" w:hint="default"/>
        <w:b/>
        <w:bCs/>
        <w:spacing w:val="-3"/>
        <w:w w:val="100"/>
        <w:sz w:val="22"/>
        <w:szCs w:val="22"/>
        <w:lang w:val="de-DE" w:eastAsia="de-DE" w:bidi="de-DE"/>
      </w:rPr>
    </w:lvl>
    <w:lvl w:ilvl="4">
      <w:numFmt w:val="bullet"/>
      <w:lvlText w:val="•"/>
      <w:lvlJc w:val="left"/>
      <w:pPr>
        <w:ind w:left="5342" w:hanging="1419"/>
      </w:pPr>
      <w:rPr>
        <w:rFonts w:hint="default"/>
        <w:lang w:val="de-DE" w:eastAsia="de-DE" w:bidi="de-DE"/>
      </w:rPr>
    </w:lvl>
    <w:lvl w:ilvl="5">
      <w:numFmt w:val="bullet"/>
      <w:lvlText w:val="•"/>
      <w:lvlJc w:val="left"/>
      <w:pPr>
        <w:ind w:left="6203" w:hanging="1419"/>
      </w:pPr>
      <w:rPr>
        <w:rFonts w:hint="default"/>
        <w:lang w:val="de-DE" w:eastAsia="de-DE" w:bidi="de-DE"/>
      </w:rPr>
    </w:lvl>
    <w:lvl w:ilvl="6">
      <w:numFmt w:val="bullet"/>
      <w:lvlText w:val="•"/>
      <w:lvlJc w:val="left"/>
      <w:pPr>
        <w:ind w:left="7063" w:hanging="1419"/>
      </w:pPr>
      <w:rPr>
        <w:rFonts w:hint="default"/>
        <w:lang w:val="de-DE" w:eastAsia="de-DE" w:bidi="de-DE"/>
      </w:rPr>
    </w:lvl>
    <w:lvl w:ilvl="7">
      <w:numFmt w:val="bullet"/>
      <w:lvlText w:val="•"/>
      <w:lvlJc w:val="left"/>
      <w:pPr>
        <w:ind w:left="7924" w:hanging="1419"/>
      </w:pPr>
      <w:rPr>
        <w:rFonts w:hint="default"/>
        <w:lang w:val="de-DE" w:eastAsia="de-DE" w:bidi="de-DE"/>
      </w:rPr>
    </w:lvl>
    <w:lvl w:ilvl="8">
      <w:numFmt w:val="bullet"/>
      <w:lvlText w:val="•"/>
      <w:lvlJc w:val="left"/>
      <w:pPr>
        <w:ind w:left="8785" w:hanging="1419"/>
      </w:pPr>
      <w:rPr>
        <w:rFonts w:hint="default"/>
        <w:lang w:val="de-DE" w:eastAsia="de-DE" w:bidi="de-DE"/>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9B3FEE"/>
    <w:multiLevelType w:val="multilevel"/>
    <w:tmpl w:val="C700E606"/>
    <w:lvl w:ilvl="0">
      <w:start w:val="2"/>
      <w:numFmt w:val="decimal"/>
      <w:lvlText w:val="%1"/>
      <w:lvlJc w:val="left"/>
      <w:pPr>
        <w:ind w:left="1890" w:hanging="1419"/>
      </w:pPr>
      <w:rPr>
        <w:rFonts w:hint="default"/>
        <w:lang w:val="de-DE" w:eastAsia="de-DE" w:bidi="de-DE"/>
      </w:rPr>
    </w:lvl>
    <w:lvl w:ilvl="1">
      <w:start w:val="2"/>
      <w:numFmt w:val="decimal"/>
      <w:lvlText w:val="%1.%2"/>
      <w:lvlJc w:val="left"/>
      <w:pPr>
        <w:ind w:left="1890" w:hanging="1419"/>
      </w:pPr>
      <w:rPr>
        <w:rFonts w:hint="default"/>
        <w:lang w:val="de-DE" w:eastAsia="de-DE" w:bidi="de-DE"/>
      </w:rPr>
    </w:lvl>
    <w:lvl w:ilvl="2">
      <w:start w:val="7"/>
      <w:numFmt w:val="decimal"/>
      <w:lvlText w:val="%1.%2.%3"/>
      <w:lvlJc w:val="left"/>
      <w:pPr>
        <w:ind w:left="1890" w:hanging="1419"/>
      </w:pPr>
      <w:rPr>
        <w:rFonts w:hint="default"/>
        <w:lang w:val="de-DE" w:eastAsia="de-DE" w:bidi="de-DE"/>
      </w:rPr>
    </w:lvl>
    <w:lvl w:ilvl="3">
      <w:start w:val="2"/>
      <w:numFmt w:val="decimal"/>
      <w:lvlText w:val="%1.%2.%3.%4"/>
      <w:lvlJc w:val="left"/>
      <w:pPr>
        <w:ind w:left="1890" w:hanging="1419"/>
      </w:pPr>
      <w:rPr>
        <w:rFonts w:hint="default"/>
        <w:lang w:val="de-DE" w:eastAsia="de-DE" w:bidi="de-DE"/>
      </w:rPr>
    </w:lvl>
    <w:lvl w:ilvl="4">
      <w:start w:val="3"/>
      <w:numFmt w:val="decimal"/>
      <w:lvlText w:val="%1.%2.%3.%4.%5"/>
      <w:lvlJc w:val="left"/>
      <w:pPr>
        <w:ind w:left="1890" w:hanging="1419"/>
      </w:pPr>
      <w:rPr>
        <w:rFonts w:hint="default"/>
        <w:lang w:val="de-DE" w:eastAsia="de-DE" w:bidi="de-DE"/>
      </w:rPr>
    </w:lvl>
    <w:lvl w:ilvl="5">
      <w:start w:val="2"/>
      <w:numFmt w:val="decimal"/>
      <w:lvlText w:val="%1.%2.%3.%4.%5.%6"/>
      <w:lvlJc w:val="left"/>
      <w:pPr>
        <w:ind w:left="1890" w:hanging="1419"/>
      </w:pPr>
      <w:rPr>
        <w:rFonts w:ascii="Arial" w:eastAsia="Arial" w:hAnsi="Arial" w:cs="Arial" w:hint="default"/>
        <w:b/>
        <w:bCs/>
        <w:spacing w:val="-3"/>
        <w:w w:val="100"/>
        <w:sz w:val="22"/>
        <w:szCs w:val="22"/>
        <w:lang w:val="de-DE" w:eastAsia="de-DE" w:bidi="de-DE"/>
      </w:rPr>
    </w:lvl>
    <w:lvl w:ilvl="6">
      <w:start w:val="1"/>
      <w:numFmt w:val="lowerRoman"/>
      <w:lvlText w:val="(%7)"/>
      <w:lvlJc w:val="left"/>
      <w:pPr>
        <w:ind w:left="2740" w:hanging="425"/>
      </w:pPr>
      <w:rPr>
        <w:rFonts w:ascii="Arial" w:eastAsia="Arial" w:hAnsi="Arial" w:cs="Arial" w:hint="default"/>
        <w:spacing w:val="-2"/>
        <w:w w:val="100"/>
        <w:sz w:val="22"/>
        <w:szCs w:val="22"/>
        <w:lang w:val="de-DE" w:eastAsia="de-DE" w:bidi="de-DE"/>
      </w:rPr>
    </w:lvl>
    <w:lvl w:ilvl="7">
      <w:numFmt w:val="bullet"/>
      <w:lvlText w:val="•"/>
      <w:lvlJc w:val="left"/>
      <w:pPr>
        <w:ind w:left="7917" w:hanging="425"/>
      </w:pPr>
      <w:rPr>
        <w:rFonts w:hint="default"/>
        <w:lang w:val="de-DE" w:eastAsia="de-DE" w:bidi="de-DE"/>
      </w:rPr>
    </w:lvl>
    <w:lvl w:ilvl="8">
      <w:numFmt w:val="bullet"/>
      <w:lvlText w:val="•"/>
      <w:lvlJc w:val="left"/>
      <w:pPr>
        <w:ind w:left="8780" w:hanging="425"/>
      </w:pPr>
      <w:rPr>
        <w:rFonts w:hint="default"/>
        <w:lang w:val="de-DE" w:eastAsia="de-DE" w:bidi="de-DE"/>
      </w:rPr>
    </w:lvl>
  </w:abstractNum>
  <w:abstractNum w:abstractNumId="31"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3A2567A9"/>
    <w:multiLevelType w:val="multilevel"/>
    <w:tmpl w:val="F3A23360"/>
    <w:lvl w:ilvl="0">
      <w:start w:val="1"/>
      <w:numFmt w:val="decimal"/>
      <w:lvlText w:val="%1"/>
      <w:lvlJc w:val="left"/>
      <w:pPr>
        <w:ind w:left="1890" w:hanging="1419"/>
      </w:pPr>
      <w:rPr>
        <w:rFonts w:hint="default"/>
        <w:lang w:val="de-DE" w:eastAsia="de-DE" w:bidi="de-DE"/>
      </w:rPr>
    </w:lvl>
    <w:lvl w:ilvl="1">
      <w:start w:val="10"/>
      <w:numFmt w:val="decimal"/>
      <w:lvlText w:val="%1.%2"/>
      <w:lvlJc w:val="left"/>
      <w:pPr>
        <w:ind w:left="1890" w:hanging="1419"/>
      </w:pPr>
      <w:rPr>
        <w:rFonts w:hint="default"/>
        <w:lang w:val="de-DE" w:eastAsia="de-DE" w:bidi="de-DE"/>
      </w:rPr>
    </w:lvl>
    <w:lvl w:ilvl="2">
      <w:start w:val="3"/>
      <w:numFmt w:val="decimal"/>
      <w:lvlText w:val="%1.%2.%3"/>
      <w:lvlJc w:val="left"/>
      <w:pPr>
        <w:ind w:left="1890" w:hanging="1419"/>
      </w:pPr>
      <w:rPr>
        <w:rFonts w:hint="default"/>
        <w:lang w:val="de-DE" w:eastAsia="de-DE" w:bidi="de-DE"/>
      </w:rPr>
    </w:lvl>
    <w:lvl w:ilvl="3">
      <w:start w:val="1"/>
      <w:numFmt w:val="decimal"/>
      <w:lvlText w:val="%1.%2.%3.%4"/>
      <w:lvlJc w:val="left"/>
      <w:pPr>
        <w:ind w:left="1890" w:hanging="1419"/>
      </w:pPr>
      <w:rPr>
        <w:rFonts w:hint="default"/>
        <w:lang w:val="de-DE" w:eastAsia="de-DE" w:bidi="de-DE"/>
      </w:rPr>
    </w:lvl>
    <w:lvl w:ilvl="4">
      <w:start w:val="2"/>
      <w:numFmt w:val="decimal"/>
      <w:lvlText w:val="%1.%2.%3.%4.%5"/>
      <w:lvlJc w:val="left"/>
      <w:pPr>
        <w:ind w:left="1890" w:hanging="1419"/>
      </w:pPr>
      <w:rPr>
        <w:rFonts w:ascii="Arial" w:eastAsia="Arial" w:hAnsi="Arial" w:cs="Arial" w:hint="default"/>
        <w:b/>
        <w:bCs/>
        <w:spacing w:val="-3"/>
        <w:w w:val="100"/>
        <w:sz w:val="22"/>
        <w:szCs w:val="22"/>
        <w:lang w:val="de-DE" w:eastAsia="de-DE" w:bidi="de-DE"/>
      </w:rPr>
    </w:lvl>
    <w:lvl w:ilvl="5">
      <w:numFmt w:val="bullet"/>
      <w:lvlText w:val="–"/>
      <w:lvlJc w:val="left"/>
      <w:pPr>
        <w:ind w:left="2316" w:hanging="425"/>
      </w:pPr>
      <w:rPr>
        <w:rFonts w:ascii="Arial" w:eastAsia="Arial" w:hAnsi="Arial" w:cs="Arial" w:hint="default"/>
        <w:w w:val="100"/>
        <w:sz w:val="22"/>
        <w:szCs w:val="22"/>
        <w:lang w:val="de-DE" w:eastAsia="de-DE" w:bidi="de-DE"/>
      </w:rPr>
    </w:lvl>
    <w:lvl w:ilvl="6">
      <w:numFmt w:val="bullet"/>
      <w:lvlText w:val="•"/>
      <w:lvlJc w:val="left"/>
      <w:pPr>
        <w:ind w:left="6868" w:hanging="425"/>
      </w:pPr>
      <w:rPr>
        <w:rFonts w:hint="default"/>
        <w:lang w:val="de-DE" w:eastAsia="de-DE" w:bidi="de-DE"/>
      </w:rPr>
    </w:lvl>
    <w:lvl w:ilvl="7">
      <w:numFmt w:val="bullet"/>
      <w:lvlText w:val="•"/>
      <w:lvlJc w:val="left"/>
      <w:pPr>
        <w:ind w:left="7777" w:hanging="425"/>
      </w:pPr>
      <w:rPr>
        <w:rFonts w:hint="default"/>
        <w:lang w:val="de-DE" w:eastAsia="de-DE" w:bidi="de-DE"/>
      </w:rPr>
    </w:lvl>
    <w:lvl w:ilvl="8">
      <w:numFmt w:val="bullet"/>
      <w:lvlText w:val="•"/>
      <w:lvlJc w:val="left"/>
      <w:pPr>
        <w:ind w:left="8687" w:hanging="425"/>
      </w:pPr>
      <w:rPr>
        <w:rFonts w:hint="default"/>
        <w:lang w:val="de-DE" w:eastAsia="de-DE" w:bidi="de-DE"/>
      </w:rPr>
    </w:lvl>
  </w:abstractNum>
  <w:abstractNum w:abstractNumId="33"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58B261C8"/>
    <w:multiLevelType w:val="multilevel"/>
    <w:tmpl w:val="CB1A2158"/>
    <w:lvl w:ilvl="0">
      <w:start w:val="1"/>
      <w:numFmt w:val="decimal"/>
      <w:lvlText w:val="%1"/>
      <w:lvlJc w:val="left"/>
      <w:pPr>
        <w:ind w:left="1891" w:hanging="1419"/>
      </w:pPr>
      <w:rPr>
        <w:rFonts w:hint="default"/>
        <w:lang w:val="de-DE" w:eastAsia="de-DE" w:bidi="de-DE"/>
      </w:rPr>
    </w:lvl>
    <w:lvl w:ilvl="1">
      <w:start w:val="7"/>
      <w:numFmt w:val="decimal"/>
      <w:lvlText w:val="%1.%2"/>
      <w:lvlJc w:val="left"/>
      <w:pPr>
        <w:ind w:left="1891" w:hanging="1419"/>
      </w:pPr>
      <w:rPr>
        <w:rFonts w:hint="default"/>
        <w:lang w:val="de-DE" w:eastAsia="de-DE" w:bidi="de-DE"/>
      </w:rPr>
    </w:lvl>
    <w:lvl w:ilvl="2">
      <w:start w:val="1"/>
      <w:numFmt w:val="decimal"/>
      <w:lvlText w:val="%1.%2.%3"/>
      <w:lvlJc w:val="left"/>
      <w:pPr>
        <w:ind w:left="1891" w:hanging="1419"/>
      </w:pPr>
      <w:rPr>
        <w:rFonts w:ascii="Arial" w:eastAsia="Arial" w:hAnsi="Arial" w:cs="Arial" w:hint="default"/>
        <w:b/>
        <w:bCs/>
        <w:spacing w:val="-1"/>
        <w:w w:val="100"/>
        <w:sz w:val="22"/>
        <w:szCs w:val="22"/>
        <w:lang w:val="de-DE" w:eastAsia="de-DE" w:bidi="de-DE"/>
      </w:rPr>
    </w:lvl>
    <w:lvl w:ilvl="3">
      <w:numFmt w:val="bullet"/>
      <w:lvlText w:val="–"/>
      <w:lvlJc w:val="left"/>
      <w:pPr>
        <w:ind w:left="2316" w:hanging="425"/>
      </w:pPr>
      <w:rPr>
        <w:rFonts w:ascii="Arial" w:eastAsia="Arial" w:hAnsi="Arial" w:cs="Arial" w:hint="default"/>
        <w:w w:val="100"/>
        <w:sz w:val="22"/>
        <w:szCs w:val="22"/>
        <w:lang w:val="de-DE" w:eastAsia="de-DE" w:bidi="de-DE"/>
      </w:rPr>
    </w:lvl>
    <w:lvl w:ilvl="4">
      <w:numFmt w:val="bullet"/>
      <w:lvlText w:val="•"/>
      <w:lvlJc w:val="left"/>
      <w:pPr>
        <w:ind w:left="5048" w:hanging="425"/>
      </w:pPr>
      <w:rPr>
        <w:rFonts w:hint="default"/>
        <w:lang w:val="de-DE" w:eastAsia="de-DE" w:bidi="de-DE"/>
      </w:rPr>
    </w:lvl>
    <w:lvl w:ilvl="5">
      <w:numFmt w:val="bullet"/>
      <w:lvlText w:val="•"/>
      <w:lvlJc w:val="left"/>
      <w:pPr>
        <w:ind w:left="5958" w:hanging="425"/>
      </w:pPr>
      <w:rPr>
        <w:rFonts w:hint="default"/>
        <w:lang w:val="de-DE" w:eastAsia="de-DE" w:bidi="de-DE"/>
      </w:rPr>
    </w:lvl>
    <w:lvl w:ilvl="6">
      <w:numFmt w:val="bullet"/>
      <w:lvlText w:val="•"/>
      <w:lvlJc w:val="left"/>
      <w:pPr>
        <w:ind w:left="6868" w:hanging="425"/>
      </w:pPr>
      <w:rPr>
        <w:rFonts w:hint="default"/>
        <w:lang w:val="de-DE" w:eastAsia="de-DE" w:bidi="de-DE"/>
      </w:rPr>
    </w:lvl>
    <w:lvl w:ilvl="7">
      <w:numFmt w:val="bullet"/>
      <w:lvlText w:val="•"/>
      <w:lvlJc w:val="left"/>
      <w:pPr>
        <w:ind w:left="7777" w:hanging="425"/>
      </w:pPr>
      <w:rPr>
        <w:rFonts w:hint="default"/>
        <w:lang w:val="de-DE" w:eastAsia="de-DE" w:bidi="de-DE"/>
      </w:rPr>
    </w:lvl>
    <w:lvl w:ilvl="8">
      <w:numFmt w:val="bullet"/>
      <w:lvlText w:val="•"/>
      <w:lvlJc w:val="left"/>
      <w:pPr>
        <w:ind w:left="8687" w:hanging="425"/>
      </w:pPr>
      <w:rPr>
        <w:rFonts w:hint="default"/>
        <w:lang w:val="de-DE" w:eastAsia="de-DE" w:bidi="de-DE"/>
      </w:rPr>
    </w:lvl>
  </w:abstractNum>
  <w:abstractNum w:abstractNumId="35"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6"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9"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482A21"/>
    <w:multiLevelType w:val="multilevel"/>
    <w:tmpl w:val="1B8881F4"/>
    <w:lvl w:ilvl="0">
      <w:start w:val="1"/>
      <w:numFmt w:val="decimal"/>
      <w:lvlText w:val="%1"/>
      <w:lvlJc w:val="left"/>
      <w:pPr>
        <w:ind w:left="1890" w:hanging="1419"/>
      </w:pPr>
      <w:rPr>
        <w:rFonts w:hint="default"/>
        <w:lang w:val="de-DE" w:eastAsia="de-DE" w:bidi="de-DE"/>
      </w:rPr>
    </w:lvl>
    <w:lvl w:ilvl="1">
      <w:start w:val="6"/>
      <w:numFmt w:val="decimal"/>
      <w:lvlText w:val="%1.%2"/>
      <w:lvlJc w:val="left"/>
      <w:pPr>
        <w:ind w:left="1890" w:hanging="1419"/>
      </w:pPr>
      <w:rPr>
        <w:rFonts w:hint="default"/>
        <w:lang w:val="de-DE" w:eastAsia="de-DE" w:bidi="de-DE"/>
      </w:rPr>
    </w:lvl>
    <w:lvl w:ilvl="2">
      <w:start w:val="6"/>
      <w:numFmt w:val="decimal"/>
      <w:lvlText w:val="%1.%2.%3"/>
      <w:lvlJc w:val="left"/>
      <w:pPr>
        <w:ind w:left="1890" w:hanging="1419"/>
      </w:pPr>
      <w:rPr>
        <w:rFonts w:hint="default"/>
        <w:lang w:val="de-DE" w:eastAsia="de-DE" w:bidi="de-DE"/>
      </w:rPr>
    </w:lvl>
    <w:lvl w:ilvl="3">
      <w:start w:val="2"/>
      <w:numFmt w:val="decimal"/>
      <w:lvlText w:val="%1.%2.%3.%4"/>
      <w:lvlJc w:val="left"/>
      <w:pPr>
        <w:ind w:left="1890" w:hanging="1419"/>
      </w:pPr>
      <w:rPr>
        <w:rFonts w:hint="default"/>
        <w:lang w:val="de-DE" w:eastAsia="de-DE" w:bidi="de-DE"/>
      </w:rPr>
    </w:lvl>
    <w:lvl w:ilvl="4">
      <w:start w:val="2"/>
      <w:numFmt w:val="decimal"/>
      <w:lvlText w:val="%1.%2.%3.%4.%5"/>
      <w:lvlJc w:val="left"/>
      <w:pPr>
        <w:ind w:left="1890" w:hanging="1419"/>
      </w:pPr>
      <w:rPr>
        <w:rFonts w:ascii="Arial" w:eastAsia="Arial" w:hAnsi="Arial" w:cs="Arial" w:hint="default"/>
        <w:b/>
        <w:bCs/>
        <w:spacing w:val="-3"/>
        <w:w w:val="100"/>
        <w:sz w:val="22"/>
        <w:szCs w:val="22"/>
        <w:lang w:val="de-DE" w:eastAsia="de-DE" w:bidi="de-DE"/>
      </w:rPr>
    </w:lvl>
    <w:lvl w:ilvl="5">
      <w:numFmt w:val="bullet"/>
      <w:lvlText w:val="•"/>
      <w:lvlJc w:val="left"/>
      <w:pPr>
        <w:ind w:left="6203" w:hanging="1419"/>
      </w:pPr>
      <w:rPr>
        <w:rFonts w:hint="default"/>
        <w:lang w:val="de-DE" w:eastAsia="de-DE" w:bidi="de-DE"/>
      </w:rPr>
    </w:lvl>
    <w:lvl w:ilvl="6">
      <w:numFmt w:val="bullet"/>
      <w:lvlText w:val="•"/>
      <w:lvlJc w:val="left"/>
      <w:pPr>
        <w:ind w:left="7063" w:hanging="1419"/>
      </w:pPr>
      <w:rPr>
        <w:rFonts w:hint="default"/>
        <w:lang w:val="de-DE" w:eastAsia="de-DE" w:bidi="de-DE"/>
      </w:rPr>
    </w:lvl>
    <w:lvl w:ilvl="7">
      <w:numFmt w:val="bullet"/>
      <w:lvlText w:val="•"/>
      <w:lvlJc w:val="left"/>
      <w:pPr>
        <w:ind w:left="7924" w:hanging="1419"/>
      </w:pPr>
      <w:rPr>
        <w:rFonts w:hint="default"/>
        <w:lang w:val="de-DE" w:eastAsia="de-DE" w:bidi="de-DE"/>
      </w:rPr>
    </w:lvl>
    <w:lvl w:ilvl="8">
      <w:numFmt w:val="bullet"/>
      <w:lvlText w:val="•"/>
      <w:lvlJc w:val="left"/>
      <w:pPr>
        <w:ind w:left="8785" w:hanging="1419"/>
      </w:pPr>
      <w:rPr>
        <w:rFonts w:hint="default"/>
        <w:lang w:val="de-DE" w:eastAsia="de-DE" w:bidi="de-DE"/>
      </w:rPr>
    </w:lvl>
  </w:abstractNum>
  <w:abstractNum w:abstractNumId="44"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07067E"/>
    <w:multiLevelType w:val="hybridMultilevel"/>
    <w:tmpl w:val="A8484EF2"/>
    <w:lvl w:ilvl="0" w:tplc="5E707316">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46" w15:restartNumberingAfterBreak="0">
    <w:nsid w:val="7F970576"/>
    <w:multiLevelType w:val="multilevel"/>
    <w:tmpl w:val="CC9641C6"/>
    <w:lvl w:ilvl="0">
      <w:start w:val="1"/>
      <w:numFmt w:val="decimal"/>
      <w:lvlText w:val="%1"/>
      <w:lvlJc w:val="left"/>
      <w:pPr>
        <w:ind w:left="1890" w:hanging="1419"/>
      </w:pPr>
      <w:rPr>
        <w:rFonts w:hint="default"/>
        <w:lang w:val="de-DE" w:eastAsia="de-DE" w:bidi="de-DE"/>
      </w:rPr>
    </w:lvl>
    <w:lvl w:ilvl="1">
      <w:start w:val="7"/>
      <w:numFmt w:val="decimal"/>
      <w:lvlText w:val="%1.%2"/>
      <w:lvlJc w:val="left"/>
      <w:pPr>
        <w:ind w:left="1890" w:hanging="1419"/>
      </w:pPr>
      <w:rPr>
        <w:rFonts w:hint="default"/>
        <w:lang w:val="de-DE" w:eastAsia="de-DE" w:bidi="de-DE"/>
      </w:rPr>
    </w:lvl>
    <w:lvl w:ilvl="2">
      <w:start w:val="1"/>
      <w:numFmt w:val="decimal"/>
      <w:lvlText w:val="%1.%2.%3"/>
      <w:lvlJc w:val="left"/>
      <w:pPr>
        <w:ind w:left="1890" w:hanging="1419"/>
      </w:pPr>
      <w:rPr>
        <w:rFonts w:hint="default"/>
        <w:lang w:val="de-DE" w:eastAsia="de-DE" w:bidi="de-DE"/>
      </w:rPr>
    </w:lvl>
    <w:lvl w:ilvl="3">
      <w:start w:val="5"/>
      <w:numFmt w:val="decimal"/>
      <w:lvlText w:val="%1.%2.%3.%4"/>
      <w:lvlJc w:val="left"/>
      <w:pPr>
        <w:ind w:left="1890" w:hanging="1419"/>
      </w:pPr>
      <w:rPr>
        <w:rFonts w:hint="default"/>
        <w:lang w:val="de-DE" w:eastAsia="de-DE" w:bidi="de-DE"/>
      </w:rPr>
    </w:lvl>
    <w:lvl w:ilvl="4">
      <w:start w:val="1"/>
      <w:numFmt w:val="decimal"/>
      <w:lvlText w:val="%1.%2.%3.%4.%5"/>
      <w:lvlJc w:val="left"/>
      <w:pPr>
        <w:ind w:left="1890" w:hanging="1419"/>
      </w:pPr>
      <w:rPr>
        <w:rFonts w:ascii="Arial" w:eastAsia="Arial" w:hAnsi="Arial" w:cs="Arial" w:hint="default"/>
        <w:b/>
        <w:bCs/>
        <w:spacing w:val="-3"/>
        <w:w w:val="100"/>
        <w:sz w:val="22"/>
        <w:szCs w:val="22"/>
        <w:lang w:val="de-DE" w:eastAsia="de-DE" w:bidi="de-DE"/>
      </w:rPr>
    </w:lvl>
    <w:lvl w:ilvl="5">
      <w:numFmt w:val="bullet"/>
      <w:lvlText w:val="•"/>
      <w:lvlJc w:val="left"/>
      <w:pPr>
        <w:ind w:left="6203" w:hanging="1419"/>
      </w:pPr>
      <w:rPr>
        <w:rFonts w:hint="default"/>
        <w:lang w:val="de-DE" w:eastAsia="de-DE" w:bidi="de-DE"/>
      </w:rPr>
    </w:lvl>
    <w:lvl w:ilvl="6">
      <w:numFmt w:val="bullet"/>
      <w:lvlText w:val="•"/>
      <w:lvlJc w:val="left"/>
      <w:pPr>
        <w:ind w:left="7063" w:hanging="1419"/>
      </w:pPr>
      <w:rPr>
        <w:rFonts w:hint="default"/>
        <w:lang w:val="de-DE" w:eastAsia="de-DE" w:bidi="de-DE"/>
      </w:rPr>
    </w:lvl>
    <w:lvl w:ilvl="7">
      <w:numFmt w:val="bullet"/>
      <w:lvlText w:val="•"/>
      <w:lvlJc w:val="left"/>
      <w:pPr>
        <w:ind w:left="7924" w:hanging="1419"/>
      </w:pPr>
      <w:rPr>
        <w:rFonts w:hint="default"/>
        <w:lang w:val="de-DE" w:eastAsia="de-DE" w:bidi="de-DE"/>
      </w:rPr>
    </w:lvl>
    <w:lvl w:ilvl="8">
      <w:numFmt w:val="bullet"/>
      <w:lvlText w:val="•"/>
      <w:lvlJc w:val="left"/>
      <w:pPr>
        <w:ind w:left="8785" w:hanging="1419"/>
      </w:pPr>
      <w:rPr>
        <w:rFonts w:hint="default"/>
        <w:lang w:val="de-DE" w:eastAsia="de-DE" w:bidi="de-DE"/>
      </w:rPr>
    </w:lvl>
  </w:abstractNum>
  <w:num w:numId="1">
    <w:abstractNumId w:val="40"/>
  </w:num>
  <w:num w:numId="2">
    <w:abstractNumId w:val="4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7"/>
  </w:num>
  <w:num w:numId="14">
    <w:abstractNumId w:val="21"/>
  </w:num>
  <w:num w:numId="15">
    <w:abstractNumId w:val="10"/>
  </w:num>
  <w:num w:numId="16">
    <w:abstractNumId w:val="19"/>
  </w:num>
  <w:num w:numId="17">
    <w:abstractNumId w:val="29"/>
  </w:num>
  <w:num w:numId="18">
    <w:abstractNumId w:val="20"/>
  </w:num>
  <w:num w:numId="19">
    <w:abstractNumId w:val="16"/>
  </w:num>
  <w:num w:numId="20">
    <w:abstractNumId w:val="37"/>
  </w:num>
  <w:num w:numId="21">
    <w:abstractNumId w:val="18"/>
  </w:num>
  <w:num w:numId="22">
    <w:abstractNumId w:val="13"/>
  </w:num>
  <w:num w:numId="23">
    <w:abstractNumId w:val="38"/>
  </w:num>
  <w:num w:numId="24">
    <w:abstractNumId w:val="44"/>
  </w:num>
  <w:num w:numId="25">
    <w:abstractNumId w:val="39"/>
  </w:num>
  <w:num w:numId="26">
    <w:abstractNumId w:val="12"/>
  </w:num>
  <w:num w:numId="27">
    <w:abstractNumId w:val="26"/>
  </w:num>
  <w:num w:numId="28">
    <w:abstractNumId w:val="33"/>
  </w:num>
  <w:num w:numId="29">
    <w:abstractNumId w:val="15"/>
  </w:num>
  <w:num w:numId="30">
    <w:abstractNumId w:val="11"/>
  </w:num>
  <w:num w:numId="31">
    <w:abstractNumId w:val="35"/>
  </w:num>
  <w:num w:numId="32">
    <w:abstractNumId w:val="25"/>
  </w:num>
  <w:num w:numId="33">
    <w:abstractNumId w:val="41"/>
  </w:num>
  <w:num w:numId="34">
    <w:abstractNumId w:val="36"/>
  </w:num>
  <w:num w:numId="35">
    <w:abstractNumId w:val="14"/>
  </w:num>
  <w:num w:numId="36">
    <w:abstractNumId w:val="31"/>
  </w:num>
  <w:num w:numId="37">
    <w:abstractNumId w:val="43"/>
  </w:num>
  <w:num w:numId="38">
    <w:abstractNumId w:val="24"/>
  </w:num>
  <w:num w:numId="39">
    <w:abstractNumId w:val="22"/>
  </w:num>
  <w:num w:numId="40">
    <w:abstractNumId w:val="17"/>
  </w:num>
  <w:num w:numId="41">
    <w:abstractNumId w:val="23"/>
  </w:num>
  <w:num w:numId="42">
    <w:abstractNumId w:val="34"/>
  </w:num>
  <w:num w:numId="43">
    <w:abstractNumId w:val="28"/>
  </w:num>
  <w:num w:numId="44">
    <w:abstractNumId w:val="46"/>
  </w:num>
  <w:num w:numId="45">
    <w:abstractNumId w:val="32"/>
  </w:num>
  <w:num w:numId="46">
    <w:abstractNumId w:val="4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00"/>
    <w:rsid w:val="00005C41"/>
    <w:rsid w:val="00010CD9"/>
    <w:rsid w:val="00014541"/>
    <w:rsid w:val="00021F22"/>
    <w:rsid w:val="00031025"/>
    <w:rsid w:val="00032BE1"/>
    <w:rsid w:val="000502B1"/>
    <w:rsid w:val="000538E2"/>
    <w:rsid w:val="00054E2D"/>
    <w:rsid w:val="0005778A"/>
    <w:rsid w:val="00061148"/>
    <w:rsid w:val="000636E5"/>
    <w:rsid w:val="00065A20"/>
    <w:rsid w:val="00070855"/>
    <w:rsid w:val="00070E04"/>
    <w:rsid w:val="00072886"/>
    <w:rsid w:val="00075435"/>
    <w:rsid w:val="00084222"/>
    <w:rsid w:val="00090C55"/>
    <w:rsid w:val="0009589B"/>
    <w:rsid w:val="00097769"/>
    <w:rsid w:val="00097B2B"/>
    <w:rsid w:val="000A31DD"/>
    <w:rsid w:val="000B5119"/>
    <w:rsid w:val="000B660B"/>
    <w:rsid w:val="000D1DCC"/>
    <w:rsid w:val="000D2856"/>
    <w:rsid w:val="000E1ADA"/>
    <w:rsid w:val="00116C98"/>
    <w:rsid w:val="001175EF"/>
    <w:rsid w:val="00150D3B"/>
    <w:rsid w:val="00173D07"/>
    <w:rsid w:val="001740B5"/>
    <w:rsid w:val="00175700"/>
    <w:rsid w:val="001926D4"/>
    <w:rsid w:val="0019407E"/>
    <w:rsid w:val="001956E9"/>
    <w:rsid w:val="001A2355"/>
    <w:rsid w:val="001B0CCC"/>
    <w:rsid w:val="001B3F77"/>
    <w:rsid w:val="001B7487"/>
    <w:rsid w:val="001D62EC"/>
    <w:rsid w:val="001E124C"/>
    <w:rsid w:val="001E7AD8"/>
    <w:rsid w:val="00202ACA"/>
    <w:rsid w:val="00217CF8"/>
    <w:rsid w:val="002202E0"/>
    <w:rsid w:val="00223250"/>
    <w:rsid w:val="002339FF"/>
    <w:rsid w:val="00237E3B"/>
    <w:rsid w:val="002417A8"/>
    <w:rsid w:val="0024377F"/>
    <w:rsid w:val="00250409"/>
    <w:rsid w:val="00282DD7"/>
    <w:rsid w:val="00297931"/>
    <w:rsid w:val="002A4BAE"/>
    <w:rsid w:val="002B088E"/>
    <w:rsid w:val="002B5179"/>
    <w:rsid w:val="002C412B"/>
    <w:rsid w:val="002C7262"/>
    <w:rsid w:val="002D0BEA"/>
    <w:rsid w:val="002D396F"/>
    <w:rsid w:val="002E6600"/>
    <w:rsid w:val="00311D02"/>
    <w:rsid w:val="00314572"/>
    <w:rsid w:val="00323713"/>
    <w:rsid w:val="00341163"/>
    <w:rsid w:val="00346289"/>
    <w:rsid w:val="00347872"/>
    <w:rsid w:val="00350775"/>
    <w:rsid w:val="00357FB2"/>
    <w:rsid w:val="003603EE"/>
    <w:rsid w:val="0037069A"/>
    <w:rsid w:val="00373117"/>
    <w:rsid w:val="003811F4"/>
    <w:rsid w:val="00381DB4"/>
    <w:rsid w:val="003A1330"/>
    <w:rsid w:val="003A2BB3"/>
    <w:rsid w:val="003A38A2"/>
    <w:rsid w:val="003C01E3"/>
    <w:rsid w:val="003C10B9"/>
    <w:rsid w:val="003C207C"/>
    <w:rsid w:val="003C427A"/>
    <w:rsid w:val="003C47C2"/>
    <w:rsid w:val="003D2D49"/>
    <w:rsid w:val="003D5772"/>
    <w:rsid w:val="003E1936"/>
    <w:rsid w:val="003E19D6"/>
    <w:rsid w:val="003E250F"/>
    <w:rsid w:val="003E30DD"/>
    <w:rsid w:val="003F68D1"/>
    <w:rsid w:val="00403E92"/>
    <w:rsid w:val="0044686B"/>
    <w:rsid w:val="004566B8"/>
    <w:rsid w:val="00463857"/>
    <w:rsid w:val="00497662"/>
    <w:rsid w:val="004A1DCE"/>
    <w:rsid w:val="004A5E2A"/>
    <w:rsid w:val="004B5A77"/>
    <w:rsid w:val="004C0325"/>
    <w:rsid w:val="004C44CD"/>
    <w:rsid w:val="004C63EC"/>
    <w:rsid w:val="004E6588"/>
    <w:rsid w:val="004F5E77"/>
    <w:rsid w:val="004F78EE"/>
    <w:rsid w:val="00506CD4"/>
    <w:rsid w:val="00511916"/>
    <w:rsid w:val="005167BB"/>
    <w:rsid w:val="00521B06"/>
    <w:rsid w:val="0052381F"/>
    <w:rsid w:val="0052449E"/>
    <w:rsid w:val="00527A52"/>
    <w:rsid w:val="00527E49"/>
    <w:rsid w:val="00533945"/>
    <w:rsid w:val="00544364"/>
    <w:rsid w:val="005445A0"/>
    <w:rsid w:val="005448C5"/>
    <w:rsid w:val="0054610A"/>
    <w:rsid w:val="00546B99"/>
    <w:rsid w:val="00547CF8"/>
    <w:rsid w:val="00552B08"/>
    <w:rsid w:val="0055371E"/>
    <w:rsid w:val="00560A59"/>
    <w:rsid w:val="00561CB3"/>
    <w:rsid w:val="00565297"/>
    <w:rsid w:val="005725FF"/>
    <w:rsid w:val="00573E9F"/>
    <w:rsid w:val="00576329"/>
    <w:rsid w:val="0058036B"/>
    <w:rsid w:val="00580C51"/>
    <w:rsid w:val="005873C7"/>
    <w:rsid w:val="00591163"/>
    <w:rsid w:val="00591AC6"/>
    <w:rsid w:val="005A17C1"/>
    <w:rsid w:val="005C6D45"/>
    <w:rsid w:val="005D22CB"/>
    <w:rsid w:val="005D6C71"/>
    <w:rsid w:val="005E0282"/>
    <w:rsid w:val="005E6ED0"/>
    <w:rsid w:val="005F2702"/>
    <w:rsid w:val="005F6E33"/>
    <w:rsid w:val="00602926"/>
    <w:rsid w:val="00607F4F"/>
    <w:rsid w:val="00615DA9"/>
    <w:rsid w:val="0063241B"/>
    <w:rsid w:val="00633E80"/>
    <w:rsid w:val="0064510A"/>
    <w:rsid w:val="006511D9"/>
    <w:rsid w:val="00654EB5"/>
    <w:rsid w:val="006759E9"/>
    <w:rsid w:val="006778B0"/>
    <w:rsid w:val="0067798E"/>
    <w:rsid w:val="00677E5B"/>
    <w:rsid w:val="00684913"/>
    <w:rsid w:val="00686CF3"/>
    <w:rsid w:val="006964A4"/>
    <w:rsid w:val="00697BAD"/>
    <w:rsid w:val="00697BBB"/>
    <w:rsid w:val="006A28AE"/>
    <w:rsid w:val="006A4E12"/>
    <w:rsid w:val="006B5C16"/>
    <w:rsid w:val="006C1388"/>
    <w:rsid w:val="006C1E41"/>
    <w:rsid w:val="006D7BF7"/>
    <w:rsid w:val="006D7EB1"/>
    <w:rsid w:val="006E0286"/>
    <w:rsid w:val="006F03A7"/>
    <w:rsid w:val="006F0DBD"/>
    <w:rsid w:val="006F1D29"/>
    <w:rsid w:val="006F2E46"/>
    <w:rsid w:val="006F6A6A"/>
    <w:rsid w:val="0071012D"/>
    <w:rsid w:val="0071553C"/>
    <w:rsid w:val="007171C0"/>
    <w:rsid w:val="00722243"/>
    <w:rsid w:val="00734207"/>
    <w:rsid w:val="007352D1"/>
    <w:rsid w:val="00735D07"/>
    <w:rsid w:val="007506D4"/>
    <w:rsid w:val="00757AA1"/>
    <w:rsid w:val="00760936"/>
    <w:rsid w:val="00764925"/>
    <w:rsid w:val="0076660E"/>
    <w:rsid w:val="007708DB"/>
    <w:rsid w:val="007844C2"/>
    <w:rsid w:val="00784AA0"/>
    <w:rsid w:val="00787C66"/>
    <w:rsid w:val="007B68A1"/>
    <w:rsid w:val="007B6A64"/>
    <w:rsid w:val="007B7592"/>
    <w:rsid w:val="007C7D5A"/>
    <w:rsid w:val="007D01ED"/>
    <w:rsid w:val="007D43B4"/>
    <w:rsid w:val="007D7A25"/>
    <w:rsid w:val="007F7622"/>
    <w:rsid w:val="00802D7F"/>
    <w:rsid w:val="00811EF7"/>
    <w:rsid w:val="0081432B"/>
    <w:rsid w:val="00823C3C"/>
    <w:rsid w:val="0083050E"/>
    <w:rsid w:val="00860B73"/>
    <w:rsid w:val="00860DA1"/>
    <w:rsid w:val="00867952"/>
    <w:rsid w:val="0087727F"/>
    <w:rsid w:val="00880818"/>
    <w:rsid w:val="008846E1"/>
    <w:rsid w:val="00895D93"/>
    <w:rsid w:val="008A02A3"/>
    <w:rsid w:val="008B2D0C"/>
    <w:rsid w:val="008C1882"/>
    <w:rsid w:val="008D1EAE"/>
    <w:rsid w:val="008D5202"/>
    <w:rsid w:val="008E3D61"/>
    <w:rsid w:val="008E5B79"/>
    <w:rsid w:val="008E6C11"/>
    <w:rsid w:val="008F0A11"/>
    <w:rsid w:val="008F6DCD"/>
    <w:rsid w:val="00901704"/>
    <w:rsid w:val="00901905"/>
    <w:rsid w:val="00903A04"/>
    <w:rsid w:val="0090424A"/>
    <w:rsid w:val="009111D1"/>
    <w:rsid w:val="00917501"/>
    <w:rsid w:val="0092684E"/>
    <w:rsid w:val="00930F93"/>
    <w:rsid w:val="009318F6"/>
    <w:rsid w:val="00933DAC"/>
    <w:rsid w:val="009355DD"/>
    <w:rsid w:val="00944976"/>
    <w:rsid w:val="00951502"/>
    <w:rsid w:val="00951F4C"/>
    <w:rsid w:val="009527E3"/>
    <w:rsid w:val="00954F6D"/>
    <w:rsid w:val="00956EFA"/>
    <w:rsid w:val="0096331E"/>
    <w:rsid w:val="00987849"/>
    <w:rsid w:val="009924C5"/>
    <w:rsid w:val="00992952"/>
    <w:rsid w:val="009939E3"/>
    <w:rsid w:val="0099716E"/>
    <w:rsid w:val="009C7830"/>
    <w:rsid w:val="009D18AA"/>
    <w:rsid w:val="009D2261"/>
    <w:rsid w:val="009D62D4"/>
    <w:rsid w:val="009E6827"/>
    <w:rsid w:val="00A05041"/>
    <w:rsid w:val="00A057F5"/>
    <w:rsid w:val="00A4107A"/>
    <w:rsid w:val="00A410C2"/>
    <w:rsid w:val="00A47945"/>
    <w:rsid w:val="00A51869"/>
    <w:rsid w:val="00A524AE"/>
    <w:rsid w:val="00A676B6"/>
    <w:rsid w:val="00A768D2"/>
    <w:rsid w:val="00A76B43"/>
    <w:rsid w:val="00A85E90"/>
    <w:rsid w:val="00A91618"/>
    <w:rsid w:val="00AA629E"/>
    <w:rsid w:val="00AC0361"/>
    <w:rsid w:val="00AD21B5"/>
    <w:rsid w:val="00AF755E"/>
    <w:rsid w:val="00B03AE8"/>
    <w:rsid w:val="00B137CE"/>
    <w:rsid w:val="00B1694D"/>
    <w:rsid w:val="00B17D9F"/>
    <w:rsid w:val="00B17ED6"/>
    <w:rsid w:val="00B25833"/>
    <w:rsid w:val="00B34DCB"/>
    <w:rsid w:val="00B3699F"/>
    <w:rsid w:val="00B43FAF"/>
    <w:rsid w:val="00B44DBC"/>
    <w:rsid w:val="00B51481"/>
    <w:rsid w:val="00B535D2"/>
    <w:rsid w:val="00B554F7"/>
    <w:rsid w:val="00B57727"/>
    <w:rsid w:val="00B577AB"/>
    <w:rsid w:val="00B65EA6"/>
    <w:rsid w:val="00B73193"/>
    <w:rsid w:val="00B74E0A"/>
    <w:rsid w:val="00B75190"/>
    <w:rsid w:val="00B94342"/>
    <w:rsid w:val="00BA0184"/>
    <w:rsid w:val="00BA6AD9"/>
    <w:rsid w:val="00BB1663"/>
    <w:rsid w:val="00BB28D8"/>
    <w:rsid w:val="00BB2B53"/>
    <w:rsid w:val="00BC160C"/>
    <w:rsid w:val="00BC1616"/>
    <w:rsid w:val="00C10078"/>
    <w:rsid w:val="00C17D33"/>
    <w:rsid w:val="00C332BF"/>
    <w:rsid w:val="00C363DA"/>
    <w:rsid w:val="00C3746A"/>
    <w:rsid w:val="00C415FB"/>
    <w:rsid w:val="00C433BF"/>
    <w:rsid w:val="00C44228"/>
    <w:rsid w:val="00C4441E"/>
    <w:rsid w:val="00C65283"/>
    <w:rsid w:val="00C77156"/>
    <w:rsid w:val="00C81B82"/>
    <w:rsid w:val="00C83CD3"/>
    <w:rsid w:val="00C91D50"/>
    <w:rsid w:val="00C94462"/>
    <w:rsid w:val="00CA19FD"/>
    <w:rsid w:val="00CB1352"/>
    <w:rsid w:val="00CB3958"/>
    <w:rsid w:val="00CB5362"/>
    <w:rsid w:val="00CB6AA9"/>
    <w:rsid w:val="00CB7900"/>
    <w:rsid w:val="00CC4A0E"/>
    <w:rsid w:val="00CD6F97"/>
    <w:rsid w:val="00CF195A"/>
    <w:rsid w:val="00CF6282"/>
    <w:rsid w:val="00D02038"/>
    <w:rsid w:val="00D07C69"/>
    <w:rsid w:val="00D301F0"/>
    <w:rsid w:val="00D37D30"/>
    <w:rsid w:val="00D40C64"/>
    <w:rsid w:val="00D9333D"/>
    <w:rsid w:val="00DA3D36"/>
    <w:rsid w:val="00DA6F71"/>
    <w:rsid w:val="00DB4C7F"/>
    <w:rsid w:val="00DD042D"/>
    <w:rsid w:val="00DD396E"/>
    <w:rsid w:val="00DE0C5E"/>
    <w:rsid w:val="00DF1669"/>
    <w:rsid w:val="00DF1CEF"/>
    <w:rsid w:val="00DF29AA"/>
    <w:rsid w:val="00E0081E"/>
    <w:rsid w:val="00E03851"/>
    <w:rsid w:val="00E122D2"/>
    <w:rsid w:val="00E1409F"/>
    <w:rsid w:val="00E15982"/>
    <w:rsid w:val="00E21354"/>
    <w:rsid w:val="00E225F0"/>
    <w:rsid w:val="00E30235"/>
    <w:rsid w:val="00E44654"/>
    <w:rsid w:val="00E46F06"/>
    <w:rsid w:val="00E5610F"/>
    <w:rsid w:val="00E75A05"/>
    <w:rsid w:val="00E83D1D"/>
    <w:rsid w:val="00E878B5"/>
    <w:rsid w:val="00E87A2F"/>
    <w:rsid w:val="00E913A5"/>
    <w:rsid w:val="00E91B89"/>
    <w:rsid w:val="00E952AA"/>
    <w:rsid w:val="00EA0D2A"/>
    <w:rsid w:val="00EA4F02"/>
    <w:rsid w:val="00EC7143"/>
    <w:rsid w:val="00EF5C48"/>
    <w:rsid w:val="00EF6A11"/>
    <w:rsid w:val="00F054DC"/>
    <w:rsid w:val="00F13FDA"/>
    <w:rsid w:val="00F31F90"/>
    <w:rsid w:val="00F3452E"/>
    <w:rsid w:val="00F421BB"/>
    <w:rsid w:val="00F43F23"/>
    <w:rsid w:val="00F5143C"/>
    <w:rsid w:val="00F519C1"/>
    <w:rsid w:val="00F56713"/>
    <w:rsid w:val="00F82F5E"/>
    <w:rsid w:val="00F91DD9"/>
    <w:rsid w:val="00F922BB"/>
    <w:rsid w:val="00FA1073"/>
    <w:rsid w:val="00FA581E"/>
    <w:rsid w:val="00FA7947"/>
    <w:rsid w:val="00FB7D83"/>
    <w:rsid w:val="00FC06C9"/>
    <w:rsid w:val="00FD15B4"/>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DF315C"/>
  <w15:docId w15:val="{1C587BD5-1752-420A-90C6-3DF66020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07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tabs>
        <w:tab w:val="num" w:pos="926"/>
      </w:tabs>
      <w:spacing w:line="240" w:lineRule="auto"/>
      <w:ind w:left="926" w:hanging="360"/>
      <w:outlineLvl w:val="1"/>
    </w:pPr>
  </w:style>
  <w:style w:type="paragraph" w:styleId="Heading3">
    <w:name w:val="heading 3"/>
    <w:basedOn w:val="Normal"/>
    <w:next w:val="Normal"/>
    <w:link w:val="Heading3Char"/>
    <w:qFormat/>
    <w:rsid w:val="00C65283"/>
    <w:pPr>
      <w:tabs>
        <w:tab w:val="num" w:pos="926"/>
      </w:tabs>
      <w:spacing w:line="240" w:lineRule="auto"/>
      <w:ind w:left="926" w:hanging="360"/>
      <w:outlineLvl w:val="2"/>
    </w:pPr>
  </w:style>
  <w:style w:type="paragraph" w:styleId="Heading4">
    <w:name w:val="heading 4"/>
    <w:basedOn w:val="Normal"/>
    <w:next w:val="Normal"/>
    <w:link w:val="Heading4Char"/>
    <w:qFormat/>
    <w:rsid w:val="00C65283"/>
    <w:pPr>
      <w:tabs>
        <w:tab w:val="num" w:pos="926"/>
      </w:tabs>
      <w:spacing w:line="240" w:lineRule="auto"/>
      <w:ind w:left="926" w:hanging="360"/>
      <w:outlineLvl w:val="3"/>
    </w:pPr>
  </w:style>
  <w:style w:type="paragraph" w:styleId="Heading5">
    <w:name w:val="heading 5"/>
    <w:basedOn w:val="Normal"/>
    <w:next w:val="Normal"/>
    <w:link w:val="Heading5Char"/>
    <w:qFormat/>
    <w:rsid w:val="00C65283"/>
    <w:pPr>
      <w:tabs>
        <w:tab w:val="num" w:pos="926"/>
      </w:tabs>
      <w:spacing w:line="240" w:lineRule="auto"/>
      <w:ind w:left="926" w:hanging="360"/>
      <w:outlineLvl w:val="4"/>
    </w:pPr>
  </w:style>
  <w:style w:type="paragraph" w:styleId="Heading6">
    <w:name w:val="heading 6"/>
    <w:basedOn w:val="Normal"/>
    <w:next w:val="Normal"/>
    <w:link w:val="Heading6Char"/>
    <w:qFormat/>
    <w:rsid w:val="00C65283"/>
    <w:pPr>
      <w:tabs>
        <w:tab w:val="num" w:pos="926"/>
      </w:tabs>
      <w:spacing w:line="240" w:lineRule="auto"/>
      <w:ind w:left="926" w:hanging="360"/>
      <w:outlineLvl w:val="5"/>
    </w:pPr>
  </w:style>
  <w:style w:type="paragraph" w:styleId="Heading7">
    <w:name w:val="heading 7"/>
    <w:basedOn w:val="Normal"/>
    <w:next w:val="Normal"/>
    <w:link w:val="Heading7Char"/>
    <w:qFormat/>
    <w:rsid w:val="00C65283"/>
    <w:pPr>
      <w:tabs>
        <w:tab w:val="num" w:pos="926"/>
      </w:tabs>
      <w:spacing w:line="240" w:lineRule="auto"/>
      <w:ind w:left="926" w:hanging="360"/>
      <w:outlineLvl w:val="6"/>
    </w:pPr>
  </w:style>
  <w:style w:type="paragraph" w:styleId="Heading8">
    <w:name w:val="heading 8"/>
    <w:basedOn w:val="Normal"/>
    <w:next w:val="Normal"/>
    <w:link w:val="Heading8Char"/>
    <w:qFormat/>
    <w:rsid w:val="00C65283"/>
    <w:pPr>
      <w:tabs>
        <w:tab w:val="num" w:pos="926"/>
      </w:tabs>
      <w:spacing w:line="240" w:lineRule="auto"/>
      <w:ind w:left="926" w:hanging="360"/>
      <w:outlineLvl w:val="7"/>
    </w:pPr>
  </w:style>
  <w:style w:type="paragraph" w:styleId="Heading9">
    <w:name w:val="heading 9"/>
    <w:basedOn w:val="Normal"/>
    <w:next w:val="Normal"/>
    <w:link w:val="Heading9Char"/>
    <w:qFormat/>
    <w:rsid w:val="00C65283"/>
    <w:pPr>
      <w:tabs>
        <w:tab w:val="num" w:pos="926"/>
      </w:tabs>
      <w:spacing w:line="240" w:lineRule="auto"/>
      <w:ind w:left="926"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rPr>
      <w:rFonts w:eastAsia="Times New Roman"/>
      <w:lang w:eastAsia="en-US"/>
    </w:rPr>
  </w:style>
  <w:style w:type="character" w:customStyle="1" w:styleId="Heading2Char">
    <w:name w:val="Heading 2 Char"/>
    <w:basedOn w:val="DefaultParagraphFont"/>
    <w:link w:val="Heading2"/>
    <w:rsid w:val="00C65283"/>
    <w:rPr>
      <w:rFonts w:eastAsia="Times New Roman"/>
      <w:lang w:eastAsia="en-US"/>
    </w:rPr>
  </w:style>
  <w:style w:type="character" w:customStyle="1" w:styleId="Heading3Char">
    <w:name w:val="Heading 3 Char"/>
    <w:basedOn w:val="DefaultParagraphFont"/>
    <w:link w:val="Heading3"/>
    <w:rsid w:val="00C65283"/>
    <w:rPr>
      <w:rFonts w:eastAsia="Times New Roman"/>
      <w:lang w:eastAsia="en-US"/>
    </w:rPr>
  </w:style>
  <w:style w:type="character" w:customStyle="1" w:styleId="Heading4Char">
    <w:name w:val="Heading 4 Char"/>
    <w:basedOn w:val="DefaultParagraphFont"/>
    <w:link w:val="Heading4"/>
    <w:rsid w:val="00C65283"/>
    <w:rPr>
      <w:rFonts w:eastAsia="Times New Roman"/>
      <w:lang w:eastAsia="en-US"/>
    </w:rPr>
  </w:style>
  <w:style w:type="character" w:customStyle="1" w:styleId="Heading5Char">
    <w:name w:val="Heading 5 Char"/>
    <w:basedOn w:val="DefaultParagraphFont"/>
    <w:link w:val="Heading5"/>
    <w:rsid w:val="00C65283"/>
    <w:rPr>
      <w:rFonts w:eastAsia="Times New Roman"/>
      <w:lang w:eastAsia="en-US"/>
    </w:rPr>
  </w:style>
  <w:style w:type="character" w:customStyle="1" w:styleId="Heading6Char">
    <w:name w:val="Heading 6 Char"/>
    <w:basedOn w:val="DefaultParagraphFont"/>
    <w:link w:val="Heading6"/>
    <w:rsid w:val="00C65283"/>
    <w:rPr>
      <w:rFonts w:eastAsia="Times New Roman"/>
      <w:lang w:eastAsia="en-US"/>
    </w:rPr>
  </w:style>
  <w:style w:type="character" w:customStyle="1" w:styleId="Heading7Char">
    <w:name w:val="Heading 7 Char"/>
    <w:basedOn w:val="DefaultParagraphFont"/>
    <w:link w:val="Heading7"/>
    <w:rsid w:val="00C65283"/>
    <w:rPr>
      <w:rFonts w:eastAsia="Times New Roman"/>
      <w:lang w:eastAsia="en-US"/>
    </w:rPr>
  </w:style>
  <w:style w:type="character" w:customStyle="1" w:styleId="Heading8Char">
    <w:name w:val="Heading 8 Char"/>
    <w:basedOn w:val="DefaultParagraphFont"/>
    <w:link w:val="Heading8"/>
    <w:rsid w:val="00C65283"/>
    <w:rPr>
      <w:rFonts w:eastAsia="Times New Roman"/>
      <w:lang w:eastAsia="en-US"/>
    </w:rPr>
  </w:style>
  <w:style w:type="character" w:customStyle="1" w:styleId="Heading9Char">
    <w:name w:val="Heading 9 Char"/>
    <w:basedOn w:val="DefaultParagraphFont"/>
    <w:link w:val="Heading9"/>
    <w:rsid w:val="00C65283"/>
    <w:rPr>
      <w:rFonts w:eastAsia="Times New Roman"/>
      <w:lang w:eastAsia="en-US"/>
    </w:rPr>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4_GR"/>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5_GR"/>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qFormat/>
    <w:rsid w:val="00930F93"/>
    <w:rPr>
      <w:rFonts w:ascii="Times New Roman" w:hAnsi="Times New Roman"/>
      <w:b/>
      <w:sz w:val="18"/>
    </w:rPr>
  </w:style>
  <w:style w:type="table" w:styleId="TableGrid">
    <w:name w:val="Table Grid"/>
    <w:basedOn w:val="TableNormal"/>
    <w:uiPriority w:val="59"/>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44976"/>
    <w:rPr>
      <w:rFonts w:ascii="Segoe UI" w:eastAsia="Times New Roman" w:hAnsi="Segoe UI" w:cs="Segoe UI"/>
      <w:sz w:val="18"/>
      <w:szCs w:val="18"/>
      <w:lang w:eastAsia="en-US"/>
    </w:rPr>
  </w:style>
  <w:style w:type="character" w:styleId="Hyperlink">
    <w:name w:val="Hyperlink"/>
    <w:basedOn w:val="DefaultParagraphFont"/>
    <w:rsid w:val="003A1330"/>
    <w:rPr>
      <w:color w:val="0000FF"/>
      <w:u w:val="none"/>
    </w:rPr>
  </w:style>
  <w:style w:type="paragraph" w:customStyle="1" w:styleId="ParNoG">
    <w:name w:val="_ParNo_G"/>
    <w:basedOn w:val="SingleTxtG"/>
    <w:qFormat/>
    <w:rsid w:val="003A1330"/>
    <w:pPr>
      <w:numPr>
        <w:numId w:val="19"/>
      </w:numPr>
      <w:suppressAutoHyphens w:val="0"/>
    </w:pPr>
    <w:rPr>
      <w:lang w:eastAsia="fr-FR"/>
    </w:rPr>
  </w:style>
  <w:style w:type="character" w:customStyle="1" w:styleId="H23GChar">
    <w:name w:val="_ H_2/3_G Char"/>
    <w:link w:val="H23G"/>
    <w:rsid w:val="003A1330"/>
    <w:rPr>
      <w:rFonts w:eastAsia="Times New Roman"/>
      <w:b/>
      <w:lang w:eastAsia="en-US"/>
    </w:rPr>
  </w:style>
  <w:style w:type="paragraph" w:styleId="PlainText">
    <w:name w:val="Plain Text"/>
    <w:basedOn w:val="Normal"/>
    <w:link w:val="PlainTextChar"/>
    <w:rsid w:val="003A1330"/>
    <w:rPr>
      <w:rFonts w:cs="Courier New"/>
    </w:rPr>
  </w:style>
  <w:style w:type="character" w:customStyle="1" w:styleId="PlainTextChar">
    <w:name w:val="Plain Text Char"/>
    <w:basedOn w:val="DefaultParagraphFont"/>
    <w:link w:val="PlainText"/>
    <w:rsid w:val="003A1330"/>
    <w:rPr>
      <w:rFonts w:eastAsia="Times New Roman" w:cs="Courier New"/>
      <w:lang w:eastAsia="en-US"/>
    </w:rPr>
  </w:style>
  <w:style w:type="paragraph" w:styleId="BodyText">
    <w:name w:val="Body Text"/>
    <w:basedOn w:val="Normal"/>
    <w:next w:val="Normal"/>
    <w:link w:val="BodyTextChar"/>
    <w:rsid w:val="003A1330"/>
  </w:style>
  <w:style w:type="character" w:customStyle="1" w:styleId="BodyTextChar">
    <w:name w:val="Body Text Char"/>
    <w:basedOn w:val="DefaultParagraphFont"/>
    <w:link w:val="BodyText"/>
    <w:rsid w:val="003A1330"/>
    <w:rPr>
      <w:rFonts w:eastAsia="Times New Roman"/>
      <w:lang w:eastAsia="en-US"/>
    </w:rPr>
  </w:style>
  <w:style w:type="paragraph" w:styleId="BodyTextIndent">
    <w:name w:val="Body Text Indent"/>
    <w:basedOn w:val="Normal"/>
    <w:link w:val="BodyTextIndentChar"/>
    <w:rsid w:val="003A1330"/>
    <w:pPr>
      <w:spacing w:after="120"/>
      <w:ind w:left="283"/>
    </w:pPr>
  </w:style>
  <w:style w:type="character" w:customStyle="1" w:styleId="BodyTextIndentChar">
    <w:name w:val="Body Text Indent Char"/>
    <w:basedOn w:val="DefaultParagraphFont"/>
    <w:link w:val="BodyTextIndent"/>
    <w:rsid w:val="003A1330"/>
    <w:rPr>
      <w:rFonts w:eastAsia="Times New Roman"/>
      <w:lang w:eastAsia="en-US"/>
    </w:rPr>
  </w:style>
  <w:style w:type="paragraph" w:styleId="BlockText">
    <w:name w:val="Block Text"/>
    <w:basedOn w:val="Normal"/>
    <w:rsid w:val="003A1330"/>
    <w:pPr>
      <w:ind w:left="1440" w:right="1440"/>
    </w:pPr>
  </w:style>
  <w:style w:type="character" w:styleId="CommentReference">
    <w:name w:val="annotation reference"/>
    <w:basedOn w:val="DefaultParagraphFont"/>
    <w:semiHidden/>
    <w:rsid w:val="003A1330"/>
    <w:rPr>
      <w:sz w:val="6"/>
    </w:rPr>
  </w:style>
  <w:style w:type="paragraph" w:styleId="CommentText">
    <w:name w:val="annotation text"/>
    <w:basedOn w:val="Normal"/>
    <w:link w:val="CommentTextChar"/>
    <w:uiPriority w:val="99"/>
    <w:semiHidden/>
    <w:rsid w:val="003A1330"/>
  </w:style>
  <w:style w:type="character" w:customStyle="1" w:styleId="CommentTextChar">
    <w:name w:val="Comment Text Char"/>
    <w:basedOn w:val="DefaultParagraphFont"/>
    <w:link w:val="CommentText"/>
    <w:uiPriority w:val="99"/>
    <w:semiHidden/>
    <w:rsid w:val="003A1330"/>
    <w:rPr>
      <w:rFonts w:eastAsia="Times New Roman"/>
      <w:lang w:eastAsia="en-US"/>
    </w:rPr>
  </w:style>
  <w:style w:type="character" w:styleId="LineNumber">
    <w:name w:val="line number"/>
    <w:basedOn w:val="DefaultParagraphFont"/>
    <w:rsid w:val="003A1330"/>
    <w:rPr>
      <w:sz w:val="14"/>
    </w:rPr>
  </w:style>
  <w:style w:type="numbering" w:styleId="111111">
    <w:name w:val="Outline List 2"/>
    <w:basedOn w:val="NoList"/>
    <w:semiHidden/>
    <w:rsid w:val="003A1330"/>
    <w:pPr>
      <w:numPr>
        <w:numId w:val="20"/>
      </w:numPr>
    </w:pPr>
  </w:style>
  <w:style w:type="numbering" w:styleId="1ai">
    <w:name w:val="Outline List 1"/>
    <w:basedOn w:val="NoList"/>
    <w:semiHidden/>
    <w:rsid w:val="003A1330"/>
    <w:pPr>
      <w:numPr>
        <w:numId w:val="21"/>
      </w:numPr>
    </w:pPr>
  </w:style>
  <w:style w:type="numbering" w:styleId="ArticleSection">
    <w:name w:val="Outline List 3"/>
    <w:basedOn w:val="NoList"/>
    <w:semiHidden/>
    <w:rsid w:val="003A1330"/>
    <w:pPr>
      <w:numPr>
        <w:numId w:val="22"/>
      </w:numPr>
    </w:pPr>
  </w:style>
  <w:style w:type="paragraph" w:styleId="BodyText2">
    <w:name w:val="Body Text 2"/>
    <w:basedOn w:val="Normal"/>
    <w:link w:val="BodyText2Char"/>
    <w:rsid w:val="003A1330"/>
    <w:pPr>
      <w:spacing w:after="120" w:line="480" w:lineRule="auto"/>
    </w:pPr>
  </w:style>
  <w:style w:type="character" w:customStyle="1" w:styleId="BodyText2Char">
    <w:name w:val="Body Text 2 Char"/>
    <w:basedOn w:val="DefaultParagraphFont"/>
    <w:link w:val="BodyText2"/>
    <w:rsid w:val="003A1330"/>
    <w:rPr>
      <w:rFonts w:eastAsia="Times New Roman"/>
      <w:lang w:eastAsia="en-US"/>
    </w:rPr>
  </w:style>
  <w:style w:type="paragraph" w:styleId="BodyText3">
    <w:name w:val="Body Text 3"/>
    <w:basedOn w:val="Normal"/>
    <w:link w:val="BodyText3Char"/>
    <w:rsid w:val="003A1330"/>
    <w:pPr>
      <w:spacing w:after="120"/>
    </w:pPr>
    <w:rPr>
      <w:sz w:val="16"/>
      <w:szCs w:val="16"/>
    </w:rPr>
  </w:style>
  <w:style w:type="character" w:customStyle="1" w:styleId="BodyText3Char">
    <w:name w:val="Body Text 3 Char"/>
    <w:basedOn w:val="DefaultParagraphFont"/>
    <w:link w:val="BodyText3"/>
    <w:rsid w:val="003A1330"/>
    <w:rPr>
      <w:rFonts w:eastAsia="Times New Roman"/>
      <w:sz w:val="16"/>
      <w:szCs w:val="16"/>
      <w:lang w:eastAsia="en-US"/>
    </w:rPr>
  </w:style>
  <w:style w:type="paragraph" w:styleId="BodyTextFirstIndent">
    <w:name w:val="Body Text First Indent"/>
    <w:basedOn w:val="BodyText"/>
    <w:link w:val="BodyTextFirstIndentChar"/>
    <w:rsid w:val="003A1330"/>
    <w:pPr>
      <w:spacing w:after="120"/>
      <w:ind w:firstLine="210"/>
    </w:pPr>
  </w:style>
  <w:style w:type="character" w:customStyle="1" w:styleId="BodyTextFirstIndentChar">
    <w:name w:val="Body Text First Indent Char"/>
    <w:basedOn w:val="BodyTextChar"/>
    <w:link w:val="BodyTextFirstIndent"/>
    <w:rsid w:val="003A1330"/>
    <w:rPr>
      <w:rFonts w:eastAsia="Times New Roman"/>
      <w:lang w:eastAsia="en-US"/>
    </w:rPr>
  </w:style>
  <w:style w:type="paragraph" w:styleId="BodyTextFirstIndent2">
    <w:name w:val="Body Text First Indent 2"/>
    <w:basedOn w:val="BodyTextIndent"/>
    <w:link w:val="BodyTextFirstIndent2Char"/>
    <w:rsid w:val="003A1330"/>
    <w:pPr>
      <w:ind w:firstLine="210"/>
    </w:pPr>
  </w:style>
  <w:style w:type="character" w:customStyle="1" w:styleId="BodyTextFirstIndent2Char">
    <w:name w:val="Body Text First Indent 2 Char"/>
    <w:basedOn w:val="BodyTextIndentChar"/>
    <w:link w:val="BodyTextFirstIndent2"/>
    <w:rsid w:val="003A1330"/>
    <w:rPr>
      <w:rFonts w:eastAsia="Times New Roman"/>
      <w:lang w:eastAsia="en-US"/>
    </w:rPr>
  </w:style>
  <w:style w:type="paragraph" w:styleId="BodyTextIndent2">
    <w:name w:val="Body Text Indent 2"/>
    <w:basedOn w:val="Normal"/>
    <w:link w:val="BodyTextIndent2Char"/>
    <w:rsid w:val="003A1330"/>
    <w:pPr>
      <w:spacing w:after="120" w:line="480" w:lineRule="auto"/>
      <w:ind w:left="283"/>
    </w:pPr>
  </w:style>
  <w:style w:type="character" w:customStyle="1" w:styleId="BodyTextIndent2Char">
    <w:name w:val="Body Text Indent 2 Char"/>
    <w:basedOn w:val="DefaultParagraphFont"/>
    <w:link w:val="BodyTextIndent2"/>
    <w:rsid w:val="003A1330"/>
    <w:rPr>
      <w:rFonts w:eastAsia="Times New Roman"/>
      <w:lang w:eastAsia="en-US"/>
    </w:rPr>
  </w:style>
  <w:style w:type="paragraph" w:styleId="BodyTextIndent3">
    <w:name w:val="Body Text Indent 3"/>
    <w:basedOn w:val="Normal"/>
    <w:link w:val="BodyTextIndent3Char"/>
    <w:rsid w:val="003A1330"/>
    <w:pPr>
      <w:spacing w:after="120"/>
      <w:ind w:left="283"/>
    </w:pPr>
    <w:rPr>
      <w:sz w:val="16"/>
      <w:szCs w:val="16"/>
    </w:rPr>
  </w:style>
  <w:style w:type="character" w:customStyle="1" w:styleId="BodyTextIndent3Char">
    <w:name w:val="Body Text Indent 3 Char"/>
    <w:basedOn w:val="DefaultParagraphFont"/>
    <w:link w:val="BodyTextIndent3"/>
    <w:rsid w:val="003A1330"/>
    <w:rPr>
      <w:rFonts w:eastAsia="Times New Roman"/>
      <w:sz w:val="16"/>
      <w:szCs w:val="16"/>
      <w:lang w:eastAsia="en-US"/>
    </w:rPr>
  </w:style>
  <w:style w:type="paragraph" w:styleId="Closing">
    <w:name w:val="Closing"/>
    <w:basedOn w:val="Normal"/>
    <w:link w:val="ClosingChar"/>
    <w:rsid w:val="003A1330"/>
    <w:pPr>
      <w:ind w:left="4252"/>
    </w:pPr>
  </w:style>
  <w:style w:type="character" w:customStyle="1" w:styleId="ClosingChar">
    <w:name w:val="Closing Char"/>
    <w:basedOn w:val="DefaultParagraphFont"/>
    <w:link w:val="Closing"/>
    <w:rsid w:val="003A1330"/>
    <w:rPr>
      <w:rFonts w:eastAsia="Times New Roman"/>
      <w:lang w:eastAsia="en-US"/>
    </w:rPr>
  </w:style>
  <w:style w:type="paragraph" w:styleId="Date">
    <w:name w:val="Date"/>
    <w:basedOn w:val="Normal"/>
    <w:next w:val="Normal"/>
    <w:link w:val="DateChar"/>
    <w:rsid w:val="003A1330"/>
  </w:style>
  <w:style w:type="character" w:customStyle="1" w:styleId="DateChar">
    <w:name w:val="Date Char"/>
    <w:basedOn w:val="DefaultParagraphFont"/>
    <w:link w:val="Date"/>
    <w:rsid w:val="003A1330"/>
    <w:rPr>
      <w:rFonts w:eastAsia="Times New Roman"/>
      <w:lang w:eastAsia="en-US"/>
    </w:rPr>
  </w:style>
  <w:style w:type="paragraph" w:styleId="E-mailSignature">
    <w:name w:val="E-mail Signature"/>
    <w:basedOn w:val="Normal"/>
    <w:link w:val="E-mailSignatureChar"/>
    <w:rsid w:val="003A1330"/>
  </w:style>
  <w:style w:type="character" w:customStyle="1" w:styleId="E-mailSignatureChar">
    <w:name w:val="E-mail Signature Char"/>
    <w:basedOn w:val="DefaultParagraphFont"/>
    <w:link w:val="E-mailSignature"/>
    <w:rsid w:val="003A1330"/>
    <w:rPr>
      <w:rFonts w:eastAsia="Times New Roman"/>
      <w:lang w:eastAsia="en-US"/>
    </w:rPr>
  </w:style>
  <w:style w:type="character" w:styleId="Emphasis">
    <w:name w:val="Emphasis"/>
    <w:basedOn w:val="DefaultParagraphFont"/>
    <w:qFormat/>
    <w:rsid w:val="003A1330"/>
    <w:rPr>
      <w:i/>
      <w:iCs/>
    </w:rPr>
  </w:style>
  <w:style w:type="paragraph" w:styleId="EnvelopeReturn">
    <w:name w:val="envelope return"/>
    <w:basedOn w:val="Normal"/>
    <w:rsid w:val="003A1330"/>
    <w:rPr>
      <w:rFonts w:ascii="Arial" w:hAnsi="Arial" w:cs="Arial"/>
    </w:rPr>
  </w:style>
  <w:style w:type="character" w:styleId="HTMLAcronym">
    <w:name w:val="HTML Acronym"/>
    <w:basedOn w:val="DefaultParagraphFont"/>
    <w:rsid w:val="003A1330"/>
  </w:style>
  <w:style w:type="paragraph" w:styleId="HTMLAddress">
    <w:name w:val="HTML Address"/>
    <w:basedOn w:val="Normal"/>
    <w:link w:val="HTMLAddressChar"/>
    <w:rsid w:val="003A1330"/>
    <w:rPr>
      <w:i/>
      <w:iCs/>
    </w:rPr>
  </w:style>
  <w:style w:type="character" w:customStyle="1" w:styleId="HTMLAddressChar">
    <w:name w:val="HTML Address Char"/>
    <w:basedOn w:val="DefaultParagraphFont"/>
    <w:link w:val="HTMLAddress"/>
    <w:rsid w:val="003A1330"/>
    <w:rPr>
      <w:rFonts w:eastAsia="Times New Roman"/>
      <w:i/>
      <w:iCs/>
      <w:lang w:eastAsia="en-US"/>
    </w:rPr>
  </w:style>
  <w:style w:type="character" w:styleId="HTMLCite">
    <w:name w:val="HTML Cite"/>
    <w:basedOn w:val="DefaultParagraphFont"/>
    <w:rsid w:val="003A1330"/>
    <w:rPr>
      <w:i/>
      <w:iCs/>
    </w:rPr>
  </w:style>
  <w:style w:type="character" w:styleId="HTMLCode">
    <w:name w:val="HTML Code"/>
    <w:basedOn w:val="DefaultParagraphFont"/>
    <w:rsid w:val="003A1330"/>
    <w:rPr>
      <w:rFonts w:ascii="Courier New" w:hAnsi="Courier New" w:cs="Courier New"/>
      <w:sz w:val="20"/>
      <w:szCs w:val="20"/>
    </w:rPr>
  </w:style>
  <w:style w:type="character" w:styleId="HTMLDefinition">
    <w:name w:val="HTML Definition"/>
    <w:basedOn w:val="DefaultParagraphFont"/>
    <w:rsid w:val="003A1330"/>
    <w:rPr>
      <w:i/>
      <w:iCs/>
    </w:rPr>
  </w:style>
  <w:style w:type="character" w:styleId="HTMLKeyboard">
    <w:name w:val="HTML Keyboard"/>
    <w:basedOn w:val="DefaultParagraphFont"/>
    <w:rsid w:val="003A1330"/>
    <w:rPr>
      <w:rFonts w:ascii="Courier New" w:hAnsi="Courier New" w:cs="Courier New"/>
      <w:sz w:val="20"/>
      <w:szCs w:val="20"/>
    </w:rPr>
  </w:style>
  <w:style w:type="paragraph" w:styleId="HTMLPreformatted">
    <w:name w:val="HTML Preformatted"/>
    <w:basedOn w:val="Normal"/>
    <w:link w:val="HTMLPreformattedChar"/>
    <w:semiHidden/>
    <w:rsid w:val="003A1330"/>
    <w:rPr>
      <w:rFonts w:ascii="Courier New" w:hAnsi="Courier New" w:cs="Courier New"/>
    </w:rPr>
  </w:style>
  <w:style w:type="character" w:customStyle="1" w:styleId="HTMLPreformattedChar">
    <w:name w:val="HTML Preformatted Char"/>
    <w:basedOn w:val="DefaultParagraphFont"/>
    <w:link w:val="HTMLPreformatted"/>
    <w:semiHidden/>
    <w:rsid w:val="003A1330"/>
    <w:rPr>
      <w:rFonts w:ascii="Courier New" w:eastAsia="Times New Roman" w:hAnsi="Courier New" w:cs="Courier New"/>
      <w:lang w:eastAsia="en-US"/>
    </w:rPr>
  </w:style>
  <w:style w:type="character" w:styleId="HTMLSample">
    <w:name w:val="HTML Sample"/>
    <w:basedOn w:val="DefaultParagraphFont"/>
    <w:rsid w:val="003A1330"/>
    <w:rPr>
      <w:rFonts w:ascii="Courier New" w:hAnsi="Courier New" w:cs="Courier New"/>
    </w:rPr>
  </w:style>
  <w:style w:type="character" w:styleId="HTMLTypewriter">
    <w:name w:val="HTML Typewriter"/>
    <w:basedOn w:val="DefaultParagraphFont"/>
    <w:rsid w:val="003A1330"/>
    <w:rPr>
      <w:rFonts w:ascii="Courier New" w:hAnsi="Courier New" w:cs="Courier New"/>
      <w:sz w:val="20"/>
      <w:szCs w:val="20"/>
    </w:rPr>
  </w:style>
  <w:style w:type="character" w:styleId="HTMLVariable">
    <w:name w:val="HTML Variable"/>
    <w:basedOn w:val="DefaultParagraphFont"/>
    <w:rsid w:val="003A1330"/>
    <w:rPr>
      <w:i/>
      <w:iCs/>
    </w:rPr>
  </w:style>
  <w:style w:type="paragraph" w:styleId="List">
    <w:name w:val="List"/>
    <w:basedOn w:val="Normal"/>
    <w:rsid w:val="003A1330"/>
    <w:pPr>
      <w:ind w:left="283" w:hanging="283"/>
    </w:pPr>
  </w:style>
  <w:style w:type="paragraph" w:styleId="List2">
    <w:name w:val="List 2"/>
    <w:basedOn w:val="Normal"/>
    <w:rsid w:val="003A1330"/>
    <w:pPr>
      <w:ind w:left="566" w:hanging="283"/>
    </w:pPr>
  </w:style>
  <w:style w:type="paragraph" w:styleId="List3">
    <w:name w:val="List 3"/>
    <w:basedOn w:val="Normal"/>
    <w:rsid w:val="003A1330"/>
    <w:pPr>
      <w:ind w:left="849" w:hanging="283"/>
    </w:pPr>
  </w:style>
  <w:style w:type="paragraph" w:styleId="List4">
    <w:name w:val="List 4"/>
    <w:basedOn w:val="Normal"/>
    <w:rsid w:val="003A1330"/>
    <w:pPr>
      <w:ind w:left="1132" w:hanging="283"/>
    </w:pPr>
  </w:style>
  <w:style w:type="paragraph" w:styleId="List5">
    <w:name w:val="List 5"/>
    <w:basedOn w:val="Normal"/>
    <w:rsid w:val="003A1330"/>
    <w:pPr>
      <w:ind w:left="1415" w:hanging="283"/>
    </w:pPr>
  </w:style>
  <w:style w:type="paragraph" w:styleId="ListBullet">
    <w:name w:val="List Bullet"/>
    <w:basedOn w:val="Normal"/>
    <w:rsid w:val="003A1330"/>
    <w:pPr>
      <w:tabs>
        <w:tab w:val="num" w:pos="360"/>
      </w:tabs>
      <w:ind w:left="360" w:hanging="360"/>
    </w:pPr>
  </w:style>
  <w:style w:type="paragraph" w:styleId="ListBullet2">
    <w:name w:val="List Bullet 2"/>
    <w:basedOn w:val="Normal"/>
    <w:rsid w:val="003A1330"/>
    <w:pPr>
      <w:tabs>
        <w:tab w:val="num" w:pos="643"/>
      </w:tabs>
      <w:ind w:left="643" w:hanging="360"/>
    </w:pPr>
  </w:style>
  <w:style w:type="paragraph" w:styleId="ListBullet3">
    <w:name w:val="List Bullet 3"/>
    <w:basedOn w:val="Normal"/>
    <w:rsid w:val="003A1330"/>
    <w:pPr>
      <w:tabs>
        <w:tab w:val="num" w:pos="926"/>
      </w:tabs>
      <w:ind w:left="926" w:hanging="360"/>
    </w:pPr>
  </w:style>
  <w:style w:type="paragraph" w:styleId="ListBullet4">
    <w:name w:val="List Bullet 4"/>
    <w:basedOn w:val="Normal"/>
    <w:rsid w:val="003A1330"/>
    <w:pPr>
      <w:tabs>
        <w:tab w:val="num" w:pos="1209"/>
      </w:tabs>
      <w:ind w:left="1209" w:hanging="360"/>
    </w:pPr>
  </w:style>
  <w:style w:type="paragraph" w:styleId="ListBullet5">
    <w:name w:val="List Bullet 5"/>
    <w:basedOn w:val="Normal"/>
    <w:rsid w:val="003A1330"/>
    <w:pPr>
      <w:tabs>
        <w:tab w:val="num" w:pos="1492"/>
      </w:tabs>
      <w:ind w:left="1492" w:hanging="360"/>
    </w:pPr>
  </w:style>
  <w:style w:type="paragraph" w:styleId="ListContinue">
    <w:name w:val="List Continue"/>
    <w:basedOn w:val="Normal"/>
    <w:rsid w:val="003A1330"/>
    <w:pPr>
      <w:spacing w:after="120"/>
      <w:ind w:left="283"/>
    </w:pPr>
  </w:style>
  <w:style w:type="paragraph" w:styleId="ListContinue2">
    <w:name w:val="List Continue 2"/>
    <w:basedOn w:val="Normal"/>
    <w:rsid w:val="003A1330"/>
    <w:pPr>
      <w:spacing w:after="120"/>
      <w:ind w:left="566"/>
    </w:pPr>
  </w:style>
  <w:style w:type="paragraph" w:styleId="ListContinue3">
    <w:name w:val="List Continue 3"/>
    <w:basedOn w:val="Normal"/>
    <w:rsid w:val="003A1330"/>
    <w:pPr>
      <w:spacing w:after="120"/>
      <w:ind w:left="849"/>
    </w:pPr>
  </w:style>
  <w:style w:type="paragraph" w:styleId="ListContinue4">
    <w:name w:val="List Continue 4"/>
    <w:basedOn w:val="Normal"/>
    <w:rsid w:val="003A1330"/>
    <w:pPr>
      <w:spacing w:after="120"/>
      <w:ind w:left="1132"/>
    </w:pPr>
  </w:style>
  <w:style w:type="paragraph" w:styleId="ListContinue5">
    <w:name w:val="List Continue 5"/>
    <w:basedOn w:val="Normal"/>
    <w:rsid w:val="003A1330"/>
    <w:pPr>
      <w:spacing w:after="120"/>
      <w:ind w:left="1415"/>
    </w:pPr>
  </w:style>
  <w:style w:type="paragraph" w:styleId="ListNumber">
    <w:name w:val="List Number"/>
    <w:basedOn w:val="Normal"/>
    <w:rsid w:val="003A1330"/>
    <w:pPr>
      <w:tabs>
        <w:tab w:val="num" w:pos="360"/>
      </w:tabs>
      <w:ind w:left="360" w:hanging="360"/>
    </w:pPr>
  </w:style>
  <w:style w:type="paragraph" w:styleId="ListNumber2">
    <w:name w:val="List Number 2"/>
    <w:basedOn w:val="Normal"/>
    <w:rsid w:val="003A1330"/>
    <w:pPr>
      <w:tabs>
        <w:tab w:val="num" w:pos="643"/>
      </w:tabs>
      <w:ind w:left="643" w:hanging="360"/>
    </w:pPr>
  </w:style>
  <w:style w:type="paragraph" w:styleId="ListNumber3">
    <w:name w:val="List Number 3"/>
    <w:basedOn w:val="Normal"/>
    <w:rsid w:val="003A1330"/>
    <w:pPr>
      <w:tabs>
        <w:tab w:val="num" w:pos="926"/>
      </w:tabs>
      <w:ind w:left="926" w:hanging="360"/>
    </w:pPr>
  </w:style>
  <w:style w:type="paragraph" w:styleId="ListNumber4">
    <w:name w:val="List Number 4"/>
    <w:basedOn w:val="Normal"/>
    <w:rsid w:val="003A1330"/>
    <w:pPr>
      <w:tabs>
        <w:tab w:val="num" w:pos="1209"/>
      </w:tabs>
      <w:ind w:left="1209" w:hanging="360"/>
    </w:pPr>
  </w:style>
  <w:style w:type="paragraph" w:styleId="ListNumber5">
    <w:name w:val="List Number 5"/>
    <w:basedOn w:val="Normal"/>
    <w:rsid w:val="003A1330"/>
    <w:pPr>
      <w:tabs>
        <w:tab w:val="num" w:pos="1492"/>
      </w:tabs>
      <w:ind w:left="1492" w:hanging="360"/>
    </w:pPr>
  </w:style>
  <w:style w:type="paragraph" w:styleId="MessageHeader">
    <w:name w:val="Message Header"/>
    <w:basedOn w:val="Normal"/>
    <w:link w:val="MessageHeaderChar"/>
    <w:rsid w:val="003A13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A1330"/>
    <w:rPr>
      <w:rFonts w:ascii="Arial" w:eastAsia="Times New Roman" w:hAnsi="Arial" w:cs="Arial"/>
      <w:sz w:val="24"/>
      <w:szCs w:val="24"/>
      <w:shd w:val="pct20" w:color="auto" w:fill="auto"/>
      <w:lang w:eastAsia="en-US"/>
    </w:rPr>
  </w:style>
  <w:style w:type="paragraph" w:styleId="NormalWeb">
    <w:name w:val="Normal (Web)"/>
    <w:basedOn w:val="Normal"/>
    <w:uiPriority w:val="99"/>
    <w:rsid w:val="003A1330"/>
    <w:rPr>
      <w:sz w:val="24"/>
      <w:szCs w:val="24"/>
    </w:rPr>
  </w:style>
  <w:style w:type="paragraph" w:styleId="NormalIndent">
    <w:name w:val="Normal Indent"/>
    <w:basedOn w:val="Normal"/>
    <w:rsid w:val="003A1330"/>
    <w:pPr>
      <w:ind w:left="567"/>
    </w:pPr>
  </w:style>
  <w:style w:type="paragraph" w:styleId="NoteHeading">
    <w:name w:val="Note Heading"/>
    <w:basedOn w:val="Normal"/>
    <w:next w:val="Normal"/>
    <w:link w:val="NoteHeadingChar"/>
    <w:rsid w:val="003A1330"/>
  </w:style>
  <w:style w:type="character" w:customStyle="1" w:styleId="NoteHeadingChar">
    <w:name w:val="Note Heading Char"/>
    <w:basedOn w:val="DefaultParagraphFont"/>
    <w:link w:val="NoteHeading"/>
    <w:rsid w:val="003A1330"/>
    <w:rPr>
      <w:rFonts w:eastAsia="Times New Roman"/>
      <w:lang w:eastAsia="en-US"/>
    </w:rPr>
  </w:style>
  <w:style w:type="paragraph" w:styleId="Salutation">
    <w:name w:val="Salutation"/>
    <w:basedOn w:val="Normal"/>
    <w:next w:val="Normal"/>
    <w:link w:val="SalutationChar"/>
    <w:rsid w:val="003A1330"/>
  </w:style>
  <w:style w:type="character" w:customStyle="1" w:styleId="SalutationChar">
    <w:name w:val="Salutation Char"/>
    <w:basedOn w:val="DefaultParagraphFont"/>
    <w:link w:val="Salutation"/>
    <w:rsid w:val="003A1330"/>
    <w:rPr>
      <w:rFonts w:eastAsia="Times New Roman"/>
      <w:lang w:eastAsia="en-US"/>
    </w:rPr>
  </w:style>
  <w:style w:type="paragraph" w:styleId="Signature">
    <w:name w:val="Signature"/>
    <w:basedOn w:val="Normal"/>
    <w:link w:val="SignatureChar"/>
    <w:rsid w:val="003A1330"/>
    <w:pPr>
      <w:ind w:left="4252"/>
    </w:pPr>
  </w:style>
  <w:style w:type="character" w:customStyle="1" w:styleId="SignatureChar">
    <w:name w:val="Signature Char"/>
    <w:basedOn w:val="DefaultParagraphFont"/>
    <w:link w:val="Signature"/>
    <w:rsid w:val="003A1330"/>
    <w:rPr>
      <w:rFonts w:eastAsia="Times New Roman"/>
      <w:lang w:eastAsia="en-US"/>
    </w:rPr>
  </w:style>
  <w:style w:type="character" w:styleId="Strong">
    <w:name w:val="Strong"/>
    <w:basedOn w:val="DefaultParagraphFont"/>
    <w:qFormat/>
    <w:rsid w:val="003A1330"/>
    <w:rPr>
      <w:b/>
      <w:bCs/>
    </w:rPr>
  </w:style>
  <w:style w:type="paragraph" w:styleId="Subtitle">
    <w:name w:val="Subtitle"/>
    <w:basedOn w:val="Normal"/>
    <w:link w:val="SubtitleChar"/>
    <w:qFormat/>
    <w:rsid w:val="003A133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A1330"/>
    <w:rPr>
      <w:rFonts w:ascii="Arial" w:eastAsia="Times New Roman" w:hAnsi="Arial" w:cs="Arial"/>
      <w:sz w:val="24"/>
      <w:szCs w:val="24"/>
      <w:lang w:eastAsia="en-US"/>
    </w:rPr>
  </w:style>
  <w:style w:type="table" w:styleId="Table3Deffects1">
    <w:name w:val="Table 3D effects 1"/>
    <w:basedOn w:val="TableNormal"/>
    <w:semiHidden/>
    <w:rsid w:val="003A1330"/>
    <w:pPr>
      <w:suppressAutoHyphens/>
      <w:spacing w:line="240" w:lineRule="atLeast"/>
    </w:pPr>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1330"/>
    <w:pPr>
      <w:suppressAutoHyphens/>
      <w:spacing w:line="240" w:lineRule="atLeast"/>
    </w:pPr>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1330"/>
    <w:pPr>
      <w:suppressAutoHyphens/>
      <w:spacing w:line="240" w:lineRule="atLeast"/>
    </w:pPr>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1330"/>
    <w:pPr>
      <w:suppressAutoHyphens/>
      <w:spacing w:line="240" w:lineRule="atLeast"/>
    </w:pPr>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1330"/>
    <w:pPr>
      <w:suppressAutoHyphens/>
      <w:spacing w:line="240" w:lineRule="atLeast"/>
    </w:pPr>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1330"/>
    <w:pPr>
      <w:suppressAutoHyphens/>
      <w:spacing w:line="240" w:lineRule="atLeast"/>
    </w:pPr>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1330"/>
    <w:pPr>
      <w:suppressAutoHyphens/>
      <w:spacing w:line="240" w:lineRule="atLeast"/>
    </w:pPr>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1330"/>
    <w:pPr>
      <w:suppressAutoHyphens/>
      <w:spacing w:line="240" w:lineRule="atLeast"/>
    </w:pPr>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1330"/>
    <w:pPr>
      <w:suppressAutoHyphens/>
      <w:spacing w:line="240" w:lineRule="atLeast"/>
    </w:pPr>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1330"/>
    <w:pPr>
      <w:suppressAutoHyphens/>
      <w:spacing w:line="240" w:lineRule="atLeast"/>
    </w:pPr>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1330"/>
    <w:pPr>
      <w:suppressAutoHyphens/>
      <w:spacing w:line="240" w:lineRule="atLeast"/>
    </w:pPr>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1330"/>
    <w:pPr>
      <w:suppressAutoHyphens/>
      <w:spacing w:line="240" w:lineRule="atLeast"/>
    </w:pPr>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1330"/>
    <w:pPr>
      <w:suppressAutoHyphens/>
      <w:spacing w:line="240" w:lineRule="atLeast"/>
    </w:pPr>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1330"/>
    <w:pPr>
      <w:suppressAutoHyphens/>
      <w:spacing w:line="240" w:lineRule="atLeast"/>
    </w:pPr>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1330"/>
    <w:pPr>
      <w:suppressAutoHyphens/>
      <w:spacing w:line="240" w:lineRule="atLeast"/>
    </w:pPr>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1330"/>
    <w:pPr>
      <w:suppressAutoHyphens/>
      <w:spacing w:line="240" w:lineRule="atLeast"/>
    </w:pPr>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1330"/>
    <w:pPr>
      <w:suppressAutoHyphens/>
      <w:spacing w:line="240" w:lineRule="atLeast"/>
    </w:pPr>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1330"/>
    <w:pPr>
      <w:suppressAutoHyphens/>
      <w:spacing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1330"/>
    <w:pPr>
      <w:suppressAutoHyphens/>
      <w:spacing w:line="240" w:lineRule="atLeast"/>
    </w:pPr>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1330"/>
    <w:pPr>
      <w:suppressAutoHyphens/>
      <w:spacing w:line="240" w:lineRule="atLeast"/>
    </w:pPr>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1330"/>
    <w:pPr>
      <w:suppressAutoHyphens/>
      <w:spacing w:line="240" w:lineRule="atLeast"/>
    </w:pPr>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1330"/>
    <w:pPr>
      <w:suppressAutoHyphens/>
      <w:spacing w:line="240" w:lineRule="atLeast"/>
    </w:pPr>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1330"/>
    <w:pPr>
      <w:suppressAutoHyphens/>
      <w:spacing w:line="240" w:lineRule="atLeast"/>
    </w:pPr>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1330"/>
    <w:pPr>
      <w:suppressAutoHyphens/>
      <w:spacing w:line="240" w:lineRule="atLeast"/>
    </w:pPr>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1330"/>
    <w:pPr>
      <w:suppressAutoHyphens/>
      <w:spacing w:line="240" w:lineRule="atLeast"/>
    </w:pPr>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1330"/>
    <w:pPr>
      <w:suppressAutoHyphens/>
      <w:spacing w:line="240" w:lineRule="atLeast"/>
    </w:pPr>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1330"/>
    <w:pPr>
      <w:suppressAutoHyphens/>
      <w:spacing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1330"/>
    <w:pPr>
      <w:suppressAutoHyphens/>
      <w:spacing w:line="240" w:lineRule="atLeast"/>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1330"/>
    <w:pPr>
      <w:suppressAutoHyphens/>
      <w:spacing w:line="240" w:lineRule="atLeast"/>
    </w:pPr>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1330"/>
    <w:pPr>
      <w:suppressAutoHyphens/>
      <w:spacing w:line="240" w:lineRule="atLeast"/>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1330"/>
    <w:pPr>
      <w:suppressAutoHyphens/>
      <w:spacing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1330"/>
    <w:pPr>
      <w:suppressAutoHyphens/>
      <w:spacing w:line="240" w:lineRule="atLeast"/>
    </w:pPr>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1330"/>
    <w:pPr>
      <w:suppressAutoHyphens/>
      <w:spacing w:line="240" w:lineRule="atLeast"/>
    </w:pPr>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1330"/>
    <w:pPr>
      <w:suppressAutoHyphens/>
      <w:spacing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1330"/>
    <w:pPr>
      <w:suppressAutoHyphens/>
      <w:spacing w:line="240" w:lineRule="atLeast"/>
    </w:pPr>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1330"/>
    <w:pPr>
      <w:suppressAutoHyphens/>
      <w:spacing w:line="240" w:lineRule="atLeast"/>
    </w:pPr>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1330"/>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1330"/>
    <w:pPr>
      <w:suppressAutoHyphens/>
      <w:spacing w:line="240" w:lineRule="atLeast"/>
    </w:pPr>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1330"/>
    <w:pPr>
      <w:suppressAutoHyphens/>
      <w:spacing w:line="240" w:lineRule="atLeast"/>
    </w:pPr>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1330"/>
    <w:pPr>
      <w:suppressAutoHyphens/>
      <w:spacing w:line="240" w:lineRule="atLeast"/>
    </w:pPr>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A133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A1330"/>
    <w:rPr>
      <w:rFonts w:ascii="Arial" w:eastAsia="Times New Roman" w:hAnsi="Arial" w:cs="Arial"/>
      <w:b/>
      <w:bCs/>
      <w:kern w:val="28"/>
      <w:sz w:val="32"/>
      <w:szCs w:val="32"/>
      <w:lang w:eastAsia="en-US"/>
    </w:rPr>
  </w:style>
  <w:style w:type="paragraph" w:styleId="EnvelopeAddress">
    <w:name w:val="envelope address"/>
    <w:basedOn w:val="Normal"/>
    <w:rsid w:val="003A1330"/>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3A1330"/>
    <w:rPr>
      <w:lang w:eastAsia="en-US"/>
    </w:rPr>
  </w:style>
  <w:style w:type="character" w:customStyle="1" w:styleId="SingleTxtGZchnZchn">
    <w:name w:val="_ Single Txt_G Zchn Zchn"/>
    <w:uiPriority w:val="99"/>
    <w:rsid w:val="003A1330"/>
    <w:rPr>
      <w:lang w:eastAsia="en-US"/>
    </w:rPr>
  </w:style>
  <w:style w:type="paragraph" w:customStyle="1" w:styleId="p1">
    <w:name w:val="p1"/>
    <w:basedOn w:val="Normal"/>
    <w:rsid w:val="003A1330"/>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3A1330"/>
  </w:style>
  <w:style w:type="paragraph" w:styleId="CommentSubject">
    <w:name w:val="annotation subject"/>
    <w:basedOn w:val="CommentText"/>
    <w:next w:val="CommentText"/>
    <w:link w:val="CommentSubjectChar"/>
    <w:unhideWhenUsed/>
    <w:rsid w:val="003A1330"/>
    <w:pPr>
      <w:spacing w:line="240" w:lineRule="auto"/>
    </w:pPr>
    <w:rPr>
      <w:b/>
      <w:bCs/>
    </w:rPr>
  </w:style>
  <w:style w:type="character" w:customStyle="1" w:styleId="CommentSubjectChar">
    <w:name w:val="Comment Subject Char"/>
    <w:basedOn w:val="CommentTextChar"/>
    <w:link w:val="CommentSubject"/>
    <w:rsid w:val="003A1330"/>
    <w:rPr>
      <w:rFonts w:eastAsia="Times New Roman"/>
      <w:b/>
      <w:bCs/>
      <w:lang w:eastAsia="en-US"/>
    </w:rPr>
  </w:style>
  <w:style w:type="paragraph" w:styleId="Revision">
    <w:name w:val="Revision"/>
    <w:hidden/>
    <w:uiPriority w:val="99"/>
    <w:semiHidden/>
    <w:rsid w:val="003A1330"/>
    <w:rPr>
      <w:rFonts w:eastAsia="Times New Roman"/>
      <w:lang w:eastAsia="en-US"/>
    </w:rPr>
  </w:style>
  <w:style w:type="paragraph" w:styleId="ListParagraph">
    <w:name w:val="List Paragraph"/>
    <w:basedOn w:val="Normal"/>
    <w:uiPriority w:val="34"/>
    <w:qFormat/>
    <w:rsid w:val="003A1330"/>
    <w:pPr>
      <w:ind w:left="720"/>
      <w:contextualSpacing/>
    </w:pPr>
  </w:style>
  <w:style w:type="paragraph" w:styleId="NoSpacing">
    <w:name w:val="No Spacing"/>
    <w:uiPriority w:val="1"/>
    <w:qFormat/>
    <w:rsid w:val="003A1330"/>
    <w:rPr>
      <w:rFonts w:eastAsia="Calibri"/>
      <w:color w:val="000000"/>
      <w:sz w:val="24"/>
      <w:szCs w:val="24"/>
      <w:lang w:val="en-US" w:eastAsia="en-US"/>
    </w:rPr>
  </w:style>
  <w:style w:type="paragraph" w:customStyle="1" w:styleId="TableParagraph">
    <w:name w:val="Table Paragraph"/>
    <w:basedOn w:val="Normal"/>
    <w:uiPriority w:val="1"/>
    <w:qFormat/>
    <w:rsid w:val="003A1330"/>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3A1330"/>
  </w:style>
  <w:style w:type="paragraph" w:customStyle="1" w:styleId="Default">
    <w:name w:val="Default"/>
    <w:rsid w:val="003A1330"/>
    <w:pPr>
      <w:widowControl w:val="0"/>
      <w:autoSpaceDE w:val="0"/>
      <w:autoSpaceDN w:val="0"/>
      <w:adjustRightInd w:val="0"/>
    </w:pPr>
    <w:rPr>
      <w:rFonts w:eastAsia="Times New Roman"/>
      <w:color w:val="000000"/>
      <w:sz w:val="24"/>
      <w:szCs w:val="24"/>
      <w:lang w:val="en-US" w:eastAsia="en-US"/>
    </w:rPr>
  </w:style>
  <w:style w:type="paragraph" w:customStyle="1" w:styleId="Style1">
    <w:name w:val="Style1"/>
    <w:basedOn w:val="Normal"/>
    <w:rsid w:val="003A1330"/>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3A1330"/>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3A1330"/>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3A1330"/>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3A1330"/>
  </w:style>
  <w:style w:type="paragraph" w:customStyle="1" w:styleId="Points">
    <w:name w:val="Points"/>
    <w:basedOn w:val="BodyText"/>
    <w:rsid w:val="003A1330"/>
    <w:pPr>
      <w:numPr>
        <w:numId w:val="33"/>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3A1330"/>
    <w:pPr>
      <w:tabs>
        <w:tab w:val="num" w:pos="570"/>
      </w:tabs>
      <w:spacing w:before="60" w:after="60" w:line="280" w:lineRule="exact"/>
      <w:ind w:left="570" w:hanging="570"/>
    </w:pPr>
  </w:style>
  <w:style w:type="paragraph" w:customStyle="1" w:styleId="Tablecaption">
    <w:name w:val="Table caption"/>
    <w:basedOn w:val="BodyText"/>
    <w:rsid w:val="003A1330"/>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3A1330"/>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3A1330"/>
    <w:rPr>
      <w:rFonts w:ascii="Arial" w:eastAsia="Calibri" w:hAnsi="Arial" w:cs="Arial"/>
      <w:lang w:val="en-AU" w:eastAsia="en-AU"/>
    </w:rPr>
  </w:style>
  <w:style w:type="paragraph" w:customStyle="1" w:styleId="DocList">
    <w:name w:val="DocList"/>
    <w:basedOn w:val="SingleTxtG"/>
    <w:rsid w:val="003A1330"/>
    <w:pPr>
      <w:spacing w:after="240"/>
      <w:ind w:left="3701" w:right="1138" w:hanging="2002"/>
      <w:jc w:val="left"/>
    </w:pPr>
    <w:rPr>
      <w:i/>
      <w:lang w:val="en-US"/>
    </w:rPr>
  </w:style>
  <w:style w:type="paragraph" w:customStyle="1" w:styleId="Body1">
    <w:name w:val="Body 1"/>
    <w:rsid w:val="003A1330"/>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3A1330"/>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A1330"/>
    <w:rPr>
      <w:color w:val="605E5C"/>
      <w:shd w:val="clear" w:color="auto" w:fill="E1DFDD"/>
    </w:rPr>
  </w:style>
  <w:style w:type="table" w:customStyle="1" w:styleId="TableGrid10">
    <w:name w:val="Table Grid1"/>
    <w:basedOn w:val="TableNormal"/>
    <w:next w:val="TableGrid"/>
    <w:uiPriority w:val="39"/>
    <w:rsid w:val="003A1330"/>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A1330"/>
    <w:pPr>
      <w:spacing w:after="200" w:line="240" w:lineRule="auto"/>
    </w:pPr>
    <w:rPr>
      <w:i/>
      <w:iCs/>
      <w:color w:val="1F497D" w:themeColor="text2"/>
      <w:sz w:val="18"/>
      <w:szCs w:val="18"/>
      <w:lang w:val="en-US"/>
    </w:rPr>
  </w:style>
  <w:style w:type="character" w:customStyle="1" w:styleId="Mentionnonrsolue1">
    <w:name w:val="Mention non résolue1"/>
    <w:basedOn w:val="DefaultParagraphFont"/>
    <w:uiPriority w:val="99"/>
    <w:semiHidden/>
    <w:unhideWhenUsed/>
    <w:rsid w:val="00E75A05"/>
    <w:rPr>
      <w:color w:val="605E5C"/>
      <w:shd w:val="clear" w:color="auto" w:fill="E1DFDD"/>
    </w:rPr>
  </w:style>
  <w:style w:type="table" w:customStyle="1" w:styleId="TableNormal1">
    <w:name w:val="Table Normal1"/>
    <w:uiPriority w:val="2"/>
    <w:semiHidden/>
    <w:unhideWhenUsed/>
    <w:qFormat/>
    <w:rsid w:val="00A524A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802D7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86C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86C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636E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636E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fileadmin/DAM/trans/doc/2019/dgac10c3/UN-SCETDG-55-INF49e.pdf" TargetMode="External"/><Relationship Id="rId4" Type="http://schemas.openxmlformats.org/officeDocument/2006/relationships/settings" Target="settings.xml"/><Relationship Id="rId9" Type="http://schemas.openxmlformats.org/officeDocument/2006/relationships/hyperlink" Target="http://www.unece.org/fileadmin/DAM/trans/doc/2019/dgac10c3/UN-SCETDG-55-INF49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05BB-DE9F-4AA2-9048-EB8A04FD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8292</Words>
  <Characters>47265</Characters>
  <Application>Microsoft Office Word</Application>
  <DocSecurity>4</DocSecurity>
  <Lines>393</Lines>
  <Paragraphs>110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CRP.1/Add.2</dc:creator>
  <cp:lastModifiedBy>Marie-Claude Collet</cp:lastModifiedBy>
  <cp:revision>2</cp:revision>
  <cp:lastPrinted>2019-08-22T06:47:00Z</cp:lastPrinted>
  <dcterms:created xsi:type="dcterms:W3CDTF">2019-08-22T12:12:00Z</dcterms:created>
  <dcterms:modified xsi:type="dcterms:W3CDTF">2019-08-22T12:12:00Z</dcterms:modified>
</cp:coreProperties>
</file>