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D0" w:rsidRPr="000653D0" w:rsidRDefault="000653D0" w:rsidP="000653D0">
      <w:pPr>
        <w:snapToGrid w:val="0"/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de-DE" w:eastAsia="de-DE"/>
        </w:rPr>
      </w:pPr>
      <w:bookmarkStart w:id="0" w:name="_GoBack"/>
      <w:bookmarkEnd w:id="0"/>
      <w:r w:rsidRPr="000653D0">
        <w:rPr>
          <w:rFonts w:ascii="Arial" w:eastAsia="Arial" w:hAnsi="Arial" w:cs="Arial"/>
          <w:bCs/>
          <w:noProof/>
          <w:sz w:val="20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BB3DAE" wp14:editId="3B3A264F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3D0">
        <w:rPr>
          <w:rFonts w:ascii="Arial" w:eastAsia="Arial" w:hAnsi="Arial" w:cs="Arial"/>
          <w:bCs/>
          <w:sz w:val="20"/>
          <w:szCs w:val="24"/>
          <w:lang w:val="de-DE" w:eastAsia="de-DE"/>
        </w:rPr>
        <w:t>CCNR-ZKR/ADN/WP.15/AC.2/2019/</w:t>
      </w:r>
      <w:r w:rsidR="00534E7A">
        <w:rPr>
          <w:rFonts w:ascii="Arial" w:eastAsia="Arial" w:hAnsi="Arial" w:cs="Arial"/>
          <w:bCs/>
          <w:sz w:val="20"/>
          <w:szCs w:val="24"/>
          <w:lang w:val="de-DE" w:eastAsia="de-DE"/>
        </w:rPr>
        <w:t>28</w:t>
      </w:r>
    </w:p>
    <w:p w:rsidR="000653D0" w:rsidRPr="000653D0" w:rsidRDefault="000653D0" w:rsidP="000653D0">
      <w:pPr>
        <w:tabs>
          <w:tab w:val="left" w:pos="5670"/>
        </w:tabs>
        <w:snapToGrid w:val="0"/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0653D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0653D0" w:rsidRPr="000653D0" w:rsidRDefault="009B3B57" w:rsidP="000653D0">
      <w:pPr>
        <w:tabs>
          <w:tab w:val="right" w:pos="3856"/>
          <w:tab w:val="left" w:pos="5670"/>
        </w:tabs>
        <w:snapToGrid w:val="0"/>
        <w:spacing w:after="0"/>
        <w:ind w:left="5387"/>
        <w:rPr>
          <w:rFonts w:ascii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7</w:t>
      </w:r>
      <w:r w:rsidR="000653D0" w:rsidRPr="000653D0">
        <w:rPr>
          <w:rFonts w:ascii="Arial" w:eastAsia="Arial" w:hAnsi="Arial" w:cs="Arial"/>
          <w:sz w:val="20"/>
          <w:szCs w:val="24"/>
          <w:lang w:val="de-DE" w:eastAsia="de-DE"/>
        </w:rPr>
        <w:t>. Juni 2019</w:t>
      </w:r>
    </w:p>
    <w:p w:rsidR="000653D0" w:rsidRPr="000653D0" w:rsidRDefault="000653D0" w:rsidP="000653D0">
      <w:pPr>
        <w:tabs>
          <w:tab w:val="right" w:pos="3856"/>
          <w:tab w:val="left" w:pos="5670"/>
        </w:tabs>
        <w:snapToGrid w:val="0"/>
        <w:spacing w:after="0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proofErr w:type="spellStart"/>
      <w:r w:rsidRPr="000653D0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0653D0">
        <w:rPr>
          <w:rFonts w:ascii="Arial" w:eastAsia="Arial" w:hAnsi="Arial" w:cs="Arial"/>
          <w:sz w:val="16"/>
          <w:szCs w:val="24"/>
          <w:lang w:val="de-DE" w:eastAsia="de-DE"/>
        </w:rPr>
        <w:t>. German</w:t>
      </w:r>
    </w:p>
    <w:p w:rsidR="000653D0" w:rsidRPr="000653D0" w:rsidRDefault="000653D0" w:rsidP="000653D0">
      <w:pPr>
        <w:snapToGrid w:val="0"/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0653D0" w:rsidRPr="000653D0" w:rsidRDefault="000653D0" w:rsidP="000653D0">
      <w:pPr>
        <w:snapToGrid w:val="0"/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E27EAB" w:rsidRPr="00E27EAB" w:rsidRDefault="00E27EAB" w:rsidP="00E27EAB">
      <w:pPr>
        <w:tabs>
          <w:tab w:val="left" w:pos="2977"/>
        </w:tabs>
        <w:autoSpaceDN w:val="0"/>
        <w:snapToGrid w:val="0"/>
        <w:spacing w:after="0"/>
        <w:ind w:left="3958"/>
        <w:rPr>
          <w:rFonts w:ascii="Arial" w:hAnsi="Arial"/>
          <w:noProof/>
          <w:sz w:val="16"/>
          <w:szCs w:val="24"/>
          <w:lang w:val="de-DE" w:eastAsia="fr-FR"/>
        </w:rPr>
      </w:pPr>
      <w:r w:rsidRPr="00E27EAB">
        <w:rPr>
          <w:rFonts w:ascii="Arial" w:hAnsi="Arial"/>
          <w:noProof/>
          <w:sz w:val="16"/>
          <w:szCs w:val="24"/>
          <w:lang w:val="de-DE" w:eastAsia="fr-FR"/>
        </w:rPr>
        <w:t xml:space="preserve">GEMEINSAME EXPERTENTAGUNG FÜR DIE DEM ÜBEREINKOMMEN ÜBER DIE INTERNATIONALE BEFÖRDERUNG VON GEFÄHRLICHEN GÜTERN AUF </w:t>
      </w:r>
      <w:r w:rsidRPr="00E27EAB">
        <w:rPr>
          <w:rFonts w:ascii="Arial" w:eastAsia="Calibri" w:hAnsi="Arial" w:cs="Arial"/>
          <w:sz w:val="16"/>
          <w:szCs w:val="16"/>
          <w:lang w:val="de-DE"/>
        </w:rPr>
        <w:t xml:space="preserve">BINNENWASSERSTRAẞEN (ADN) </w:t>
      </w:r>
      <w:r w:rsidRPr="00E27EAB">
        <w:rPr>
          <w:rFonts w:ascii="Arial" w:hAnsi="Arial"/>
          <w:noProof/>
          <w:sz w:val="16"/>
          <w:szCs w:val="24"/>
          <w:lang w:val="de-DE" w:eastAsia="fr-FR"/>
        </w:rPr>
        <w:t>BEIGEFÜGTE VERORDNUNG (SICHERHEITSAUSSCHUSS)</w:t>
      </w:r>
    </w:p>
    <w:p w:rsidR="000653D0" w:rsidRPr="000653D0" w:rsidRDefault="00E27EAB" w:rsidP="00E27EAB">
      <w:pPr>
        <w:tabs>
          <w:tab w:val="left" w:pos="2977"/>
        </w:tabs>
        <w:snapToGrid w:val="0"/>
        <w:spacing w:after="0"/>
        <w:ind w:left="3960"/>
        <w:rPr>
          <w:rFonts w:ascii="Arial" w:hAnsi="Arial"/>
          <w:sz w:val="16"/>
          <w:szCs w:val="24"/>
          <w:lang w:val="de-DE" w:eastAsia="fr-FR"/>
        </w:rPr>
      </w:pPr>
      <w:r w:rsidRPr="00E27EAB">
        <w:rPr>
          <w:rFonts w:ascii="Arial" w:hAnsi="Arial"/>
          <w:sz w:val="16"/>
          <w:szCs w:val="24"/>
          <w:lang w:val="de-DE" w:eastAsia="fr-FR"/>
        </w:rPr>
        <w:t>(35. Tagung, Genf, 26.-30. August 2019)</w:t>
      </w:r>
    </w:p>
    <w:p w:rsidR="000653D0" w:rsidRPr="000653D0" w:rsidRDefault="000653D0" w:rsidP="000653D0">
      <w:pPr>
        <w:tabs>
          <w:tab w:val="left" w:pos="2977"/>
        </w:tabs>
        <w:snapToGrid w:val="0"/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0653D0">
        <w:rPr>
          <w:rFonts w:ascii="Arial" w:hAnsi="Arial" w:cs="Arial"/>
          <w:sz w:val="16"/>
          <w:szCs w:val="16"/>
          <w:lang w:val="de-DE"/>
        </w:rPr>
        <w:t>Punkt 4 b) zur vorläufigen Tagesordnung</w:t>
      </w:r>
    </w:p>
    <w:p w:rsidR="000653D0" w:rsidRPr="000653D0" w:rsidRDefault="000653D0" w:rsidP="000653D0">
      <w:pPr>
        <w:widowControl w:val="0"/>
        <w:overflowPunct w:val="0"/>
        <w:autoSpaceDE w:val="0"/>
        <w:autoSpaceDN w:val="0"/>
        <w:adjustRightInd w:val="0"/>
        <w:spacing w:after="0"/>
        <w:ind w:left="3960" w:firstLine="9"/>
        <w:jc w:val="both"/>
        <w:textAlignment w:val="baseline"/>
        <w:rPr>
          <w:rFonts w:ascii="Arial" w:hAnsi="Arial" w:cs="Arial"/>
          <w:b/>
          <w:sz w:val="16"/>
          <w:szCs w:val="16"/>
          <w:lang w:val="de-DE"/>
        </w:rPr>
      </w:pPr>
      <w:r w:rsidRPr="000653D0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:rsidR="000653D0" w:rsidRPr="000653D0" w:rsidRDefault="000653D0" w:rsidP="000653D0">
      <w:pPr>
        <w:tabs>
          <w:tab w:val="left" w:pos="2977"/>
        </w:tabs>
        <w:snapToGrid w:val="0"/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:rsidR="000653D0" w:rsidRPr="000653D0" w:rsidRDefault="000653D0" w:rsidP="000653D0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0653D0" w:rsidRPr="000653D0" w:rsidRDefault="000653D0" w:rsidP="000653D0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0653D0" w:rsidRPr="00794385" w:rsidRDefault="000653D0" w:rsidP="000653D0">
      <w:pPr>
        <w:suppressAutoHyphens/>
        <w:snapToGrid w:val="0"/>
        <w:spacing w:after="0" w:line="240" w:lineRule="atLeast"/>
        <w:ind w:left="1134"/>
        <w:rPr>
          <w:b/>
          <w:noProof/>
          <w:sz w:val="28"/>
          <w:szCs w:val="28"/>
          <w:lang w:val="de-DE" w:eastAsia="fr-FR"/>
        </w:rPr>
      </w:pPr>
      <w:r w:rsidRPr="000653D0">
        <w:rPr>
          <w:b/>
          <w:noProof/>
          <w:snapToGrid w:val="0"/>
          <w:sz w:val="28"/>
          <w:szCs w:val="28"/>
          <w:lang w:val="de-DE" w:eastAsia="fr-FR"/>
        </w:rPr>
        <w:t xml:space="preserve">Änderung von 8.1.2.3 Mitführen von Dokumenten </w:t>
      </w:r>
      <w:r w:rsidRPr="00794385">
        <w:rPr>
          <w:b/>
          <w:noProof/>
          <w:snapToGrid w:val="0"/>
          <w:sz w:val="28"/>
          <w:szCs w:val="28"/>
          <w:lang w:val="de-DE" w:eastAsia="fr-FR"/>
        </w:rPr>
        <w:t>(Tankschifffahrt)</w:t>
      </w:r>
    </w:p>
    <w:p w:rsidR="000653D0" w:rsidRPr="000653D0" w:rsidRDefault="000653D0" w:rsidP="000653D0">
      <w:pPr>
        <w:spacing w:after="0" w:line="360" w:lineRule="auto"/>
        <w:ind w:left="1134"/>
        <w:rPr>
          <w:b/>
          <w:sz w:val="28"/>
          <w:szCs w:val="28"/>
          <w:lang w:val="de-DE"/>
        </w:rPr>
      </w:pPr>
      <w:r w:rsidRPr="000653D0">
        <w:rPr>
          <w:b/>
          <w:sz w:val="28"/>
          <w:szCs w:val="28"/>
          <w:lang w:val="de-DE"/>
        </w:rPr>
        <w:t>- Übergangs</w:t>
      </w:r>
      <w:r w:rsidR="00014463">
        <w:rPr>
          <w:b/>
          <w:sz w:val="28"/>
          <w:szCs w:val="28"/>
          <w:lang w:val="de-DE"/>
        </w:rPr>
        <w:t>vorschriften</w:t>
      </w:r>
      <w:r w:rsidRPr="000653D0">
        <w:rPr>
          <w:b/>
          <w:sz w:val="28"/>
          <w:szCs w:val="28"/>
          <w:lang w:val="de-DE"/>
        </w:rPr>
        <w:t xml:space="preserve"> -</w:t>
      </w:r>
    </w:p>
    <w:p w:rsidR="000653D0" w:rsidRPr="000653D0" w:rsidRDefault="000653D0" w:rsidP="000653D0">
      <w:pPr>
        <w:keepNext/>
        <w:keepLines/>
        <w:suppressAutoHyphens/>
        <w:spacing w:before="360" w:line="270" w:lineRule="exact"/>
        <w:ind w:left="1134" w:right="1134"/>
        <w:rPr>
          <w:b/>
          <w:bCs/>
          <w:sz w:val="20"/>
          <w:vertAlign w:val="superscript"/>
          <w:lang w:val="de-DE"/>
        </w:rPr>
      </w:pPr>
      <w:r w:rsidRPr="000653D0">
        <w:rPr>
          <w:b/>
          <w:lang w:val="de-DE"/>
        </w:rPr>
        <w:t>Gemeinsam e</w:t>
      </w:r>
      <w:r w:rsidRPr="000653D0">
        <w:rPr>
          <w:b/>
          <w:spacing w:val="-4"/>
          <w:lang w:val="de-DE"/>
        </w:rPr>
        <w:t>ingereicht von der Europäischen Binnenschifffahrts-Union (EBU) und der Europäischen Schifferorganisation (ESO)</w:t>
      </w:r>
      <w:r w:rsidRPr="000653D0">
        <w:rPr>
          <w:bCs/>
          <w:sz w:val="20"/>
          <w:vertAlign w:val="superscript"/>
          <w:lang w:val="de-DE"/>
        </w:rPr>
        <w:t xml:space="preserve"> </w:t>
      </w:r>
      <w:r w:rsidRPr="000653D0">
        <w:rPr>
          <w:bCs/>
          <w:sz w:val="20"/>
          <w:vertAlign w:val="superscript"/>
          <w:lang w:val="de-DE"/>
        </w:rPr>
        <w:footnoteReference w:customMarkFollows="1" w:id="2"/>
        <w:t>*,</w:t>
      </w:r>
      <w:r w:rsidRPr="000653D0">
        <w:rPr>
          <w:bCs/>
          <w:sz w:val="20"/>
          <w:vertAlign w:val="superscript"/>
          <w:lang w:val="de-DE"/>
        </w:rPr>
        <w:footnoteReference w:customMarkFollows="1" w:id="3"/>
        <w:t>**</w:t>
      </w:r>
    </w:p>
    <w:p w:rsidR="001F516B" w:rsidRDefault="001F516B" w:rsidP="00EF6B93">
      <w:pPr>
        <w:suppressAutoHyphens/>
        <w:spacing w:after="0" w:line="240" w:lineRule="atLeast"/>
        <w:jc w:val="center"/>
        <w:rPr>
          <w:sz w:val="20"/>
          <w:u w:val="single"/>
          <w:lang w:val="de-DE"/>
        </w:rPr>
      </w:pPr>
    </w:p>
    <w:p w:rsidR="001F516B" w:rsidRPr="00B84575" w:rsidRDefault="001F516B" w:rsidP="00EF6B93">
      <w:pPr>
        <w:suppressAutoHyphens/>
        <w:spacing w:after="0" w:line="240" w:lineRule="atLeast"/>
        <w:jc w:val="center"/>
        <w:rPr>
          <w:sz w:val="20"/>
          <w:u w:val="single"/>
          <w:lang w:val="de-DE"/>
        </w:rPr>
      </w:pPr>
    </w:p>
    <w:p w:rsidR="004B2DFD" w:rsidRPr="005E339B" w:rsidRDefault="00C03EF9" w:rsidP="00EF6B93">
      <w:pPr>
        <w:suppressAutoHyphens/>
        <w:spacing w:after="0" w:line="240" w:lineRule="atLeast"/>
        <w:rPr>
          <w:b/>
          <w:szCs w:val="24"/>
          <w:lang w:val="de-DE"/>
        </w:rPr>
      </w:pPr>
      <w:r>
        <w:rPr>
          <w:b/>
          <w:szCs w:val="24"/>
          <w:lang w:val="de-DE"/>
        </w:rPr>
        <w:t>Problem</w:t>
      </w:r>
      <w:r w:rsidR="00727EF9">
        <w:rPr>
          <w:b/>
          <w:szCs w:val="24"/>
          <w:lang w:val="de-DE"/>
        </w:rPr>
        <w:t xml:space="preserve"> und Lösungsvorschlag</w:t>
      </w:r>
    </w:p>
    <w:p w:rsidR="004B2DFD" w:rsidRPr="00853BD3" w:rsidRDefault="004B2DFD" w:rsidP="00EF6B93">
      <w:pPr>
        <w:suppressAutoHyphens/>
        <w:spacing w:after="0" w:line="240" w:lineRule="atLeast"/>
        <w:jc w:val="center"/>
        <w:rPr>
          <w:sz w:val="20"/>
          <w:u w:val="single"/>
          <w:lang w:val="de-DE"/>
        </w:rPr>
      </w:pPr>
    </w:p>
    <w:p w:rsidR="005E39A8" w:rsidRPr="000653D0" w:rsidRDefault="00B17473" w:rsidP="00794385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  <w:r w:rsidRPr="000653D0">
        <w:rPr>
          <w:sz w:val="20"/>
          <w:lang w:val="de-DE"/>
        </w:rPr>
        <w:t>1</w:t>
      </w:r>
      <w:r w:rsidR="005E339B" w:rsidRPr="000653D0">
        <w:rPr>
          <w:sz w:val="20"/>
          <w:lang w:val="de-DE"/>
        </w:rPr>
        <w:t>.</w:t>
      </w:r>
      <w:r w:rsidR="007B3035" w:rsidRPr="000653D0">
        <w:rPr>
          <w:sz w:val="20"/>
          <w:lang w:val="de-DE"/>
        </w:rPr>
        <w:tab/>
      </w:r>
      <w:r w:rsidR="005E39A8" w:rsidRPr="000653D0">
        <w:rPr>
          <w:sz w:val="20"/>
          <w:lang w:val="de-DE"/>
        </w:rPr>
        <w:t>Bei der Erarbeitung der Übergangs</w:t>
      </w:r>
      <w:r w:rsidR="00014463">
        <w:rPr>
          <w:sz w:val="20"/>
          <w:lang w:val="de-DE"/>
        </w:rPr>
        <w:t>vorschriften</w:t>
      </w:r>
      <w:r w:rsidR="005E39A8" w:rsidRPr="000653D0">
        <w:rPr>
          <w:sz w:val="20"/>
          <w:lang w:val="de-DE"/>
        </w:rPr>
        <w:t xml:space="preserve"> in 1.6.7.2.2.2 zu 8.1.2.3 r), s), t), v) und u) ist es </w:t>
      </w:r>
      <w:r w:rsidR="00727EF9" w:rsidRPr="000653D0">
        <w:rPr>
          <w:sz w:val="20"/>
          <w:lang w:val="de-DE"/>
        </w:rPr>
        <w:t xml:space="preserve">augenscheinlich </w:t>
      </w:r>
      <w:r w:rsidR="005E39A8" w:rsidRPr="000653D0">
        <w:rPr>
          <w:sz w:val="20"/>
          <w:lang w:val="de-DE"/>
        </w:rPr>
        <w:t>zu Verschiebungen gekommen, die den Sinn der Übergangs</w:t>
      </w:r>
      <w:r w:rsidR="00014463">
        <w:rPr>
          <w:sz w:val="20"/>
          <w:lang w:val="de-DE"/>
        </w:rPr>
        <w:t>vorschriften</w:t>
      </w:r>
      <w:r w:rsidR="005E39A8" w:rsidRPr="000653D0">
        <w:rPr>
          <w:sz w:val="20"/>
          <w:lang w:val="de-DE"/>
        </w:rPr>
        <w:t xml:space="preserve"> verfälschen.</w:t>
      </w:r>
    </w:p>
    <w:p w:rsidR="005E39A8" w:rsidRPr="000653D0" w:rsidRDefault="005E39A8" w:rsidP="00794385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</w:p>
    <w:p w:rsidR="005E39A8" w:rsidRPr="000653D0" w:rsidRDefault="009B3B57" w:rsidP="00794385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  <w:r>
        <w:rPr>
          <w:sz w:val="20"/>
          <w:lang w:val="de-DE"/>
        </w:rPr>
        <w:t>2.</w:t>
      </w:r>
      <w:r w:rsidR="005E39A8" w:rsidRPr="000653D0">
        <w:rPr>
          <w:sz w:val="20"/>
          <w:lang w:val="de-DE"/>
        </w:rPr>
        <w:tab/>
        <w:t>Die Übergangsvorschriften im AD</w:t>
      </w:r>
      <w:r w:rsidR="00E5694E" w:rsidRPr="000653D0">
        <w:rPr>
          <w:sz w:val="20"/>
          <w:lang w:val="de-DE"/>
        </w:rPr>
        <w:t>N</w:t>
      </w:r>
      <w:r w:rsidR="005E39A8" w:rsidRPr="000653D0">
        <w:rPr>
          <w:sz w:val="20"/>
          <w:lang w:val="de-DE"/>
        </w:rPr>
        <w:t xml:space="preserve"> 2019 zu 8.1.2.3 r) bis t) und v) in 1.6.7.2.2.2 lauten wie folgt:</w:t>
      </w:r>
    </w:p>
    <w:p w:rsidR="005E39A8" w:rsidRPr="000653D0" w:rsidRDefault="005E39A8" w:rsidP="00794385">
      <w:pPr>
        <w:spacing w:line="240" w:lineRule="atLeast"/>
        <w:ind w:left="2520" w:right="567"/>
        <w:jc w:val="both"/>
        <w:rPr>
          <w:sz w:val="20"/>
          <w:lang w:val="de-DE"/>
        </w:rPr>
      </w:pPr>
    </w:p>
    <w:tbl>
      <w:tblPr>
        <w:tblW w:w="8505" w:type="dxa"/>
        <w:tblInd w:w="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551"/>
        <w:gridCol w:w="4747"/>
      </w:tblGrid>
      <w:tr w:rsidR="005E39A8" w:rsidRPr="00E27EAB" w:rsidTr="005E39A8">
        <w:trPr>
          <w:cantSplit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9A8" w:rsidRPr="000653D0" w:rsidRDefault="005E39A8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653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8.1.2.3 r), s), t), v)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9A8" w:rsidRPr="000653D0" w:rsidRDefault="005E39A8">
            <w:pPr>
              <w:spacing w:line="240" w:lineRule="atLeast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Unterlagen, die sich an Bord befinden müssen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9A8" w:rsidRPr="00733040" w:rsidRDefault="005E39A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N.E.U. ab 1. Januar 2019</w:t>
            </w:r>
          </w:p>
          <w:p w:rsidR="005E39A8" w:rsidRPr="00733040" w:rsidRDefault="005E39A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 xml:space="preserve">Erneuerung des Zulassungszeugnisses nach dem </w:t>
            </w:r>
            <w:r w:rsidRPr="00733040">
              <w:rPr>
                <w:b/>
                <w:sz w:val="20"/>
                <w:lang w:val="de-DE"/>
              </w:rPr>
              <w:t>31. Dezember 2020</w:t>
            </w:r>
          </w:p>
          <w:p w:rsidR="005E39A8" w:rsidRPr="00733040" w:rsidRDefault="005E39A8" w:rsidP="005E39A8">
            <w:pPr>
              <w:spacing w:before="60" w:after="60" w:line="240" w:lineRule="atLeast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An Bord von in Betrieb befindlichen Schiffen müssen bis dahin zusätzlich zu den nach den in Unterabschnitt 1.1.4.6 genannten Vorschriften an Bord vorhanden sein:</w:t>
            </w:r>
          </w:p>
          <w:p w:rsidR="005E39A8" w:rsidRPr="00733040" w:rsidRDefault="005E39A8" w:rsidP="00A17077">
            <w:pPr>
              <w:spacing w:before="60" w:after="60" w:line="240" w:lineRule="atLeast"/>
              <w:ind w:left="281" w:hanging="281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 xml:space="preserve">a) </w:t>
            </w:r>
            <w:r w:rsidR="00A17077" w:rsidRPr="00733040">
              <w:rPr>
                <w:sz w:val="20"/>
                <w:lang w:val="de-DE"/>
              </w:rPr>
              <w:tab/>
            </w:r>
            <w:r w:rsidRPr="00733040">
              <w:rPr>
                <w:sz w:val="20"/>
                <w:lang w:val="de-DE"/>
              </w:rPr>
              <w:t>ein Plan mit den Grenzen des Bereichs der Ladung, auf dem die in diesem Bereich installierten elektrischen Betriebsmittel eingetragen sind;</w:t>
            </w:r>
          </w:p>
          <w:p w:rsidR="005E39A8" w:rsidRPr="00733040" w:rsidRDefault="005E39A8" w:rsidP="00A17077">
            <w:pPr>
              <w:spacing w:before="60" w:after="60" w:line="240" w:lineRule="atLeast"/>
              <w:ind w:left="281" w:hanging="281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b)</w:t>
            </w:r>
            <w:r w:rsidR="00A17077" w:rsidRPr="00733040">
              <w:rPr>
                <w:sz w:val="20"/>
                <w:lang w:val="de-DE"/>
              </w:rPr>
              <w:tab/>
            </w:r>
            <w:r w:rsidRPr="00733040">
              <w:rPr>
                <w:sz w:val="20"/>
                <w:lang w:val="de-DE"/>
              </w:rPr>
              <w:t>eine Liste über die unter Buchstabe a) aufgeführten elektrischen Betriebsmittel mit folgenden Angaben:</w:t>
            </w:r>
          </w:p>
          <w:p w:rsidR="005E39A8" w:rsidRPr="00733040" w:rsidRDefault="005E39A8" w:rsidP="00A17077">
            <w:pPr>
              <w:spacing w:before="60" w:after="60" w:line="240" w:lineRule="atLeast"/>
              <w:ind w:left="281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Gerät, Aufstellungsort, Schutzart, Zündschutzart, Prüfstelle und Zulassungsnummer;</w:t>
            </w:r>
          </w:p>
          <w:p w:rsidR="005E39A8" w:rsidRPr="00733040" w:rsidRDefault="005E39A8" w:rsidP="00A17077">
            <w:pPr>
              <w:spacing w:before="60" w:after="60" w:line="240" w:lineRule="atLeast"/>
              <w:ind w:left="281" w:hanging="281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c)</w:t>
            </w:r>
            <w:r w:rsidR="00A17077" w:rsidRPr="00733040">
              <w:rPr>
                <w:sz w:val="20"/>
                <w:lang w:val="de-DE"/>
              </w:rPr>
              <w:tab/>
            </w:r>
            <w:r w:rsidRPr="00733040">
              <w:rPr>
                <w:sz w:val="20"/>
                <w:lang w:val="de-DE"/>
              </w:rPr>
              <w:t>eine Liste oder ein Übersichtsplan über die außerhalb des Bereichs der Ladung vorhandenen Betriebsmittel, die während des Ladens, Löschens und Entgasens betrieben werden dürfen</w:t>
            </w:r>
          </w:p>
          <w:p w:rsidR="005E39A8" w:rsidRPr="00733040" w:rsidRDefault="005E39A8" w:rsidP="005E39A8">
            <w:pPr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Die vorstehend genannten Unterlagen müssen mit dem Sichtvermerk der zuständigen Behörde, die das Zulassungszeugnis erteilt, versehen sein.</w:t>
            </w:r>
          </w:p>
        </w:tc>
      </w:tr>
      <w:tr w:rsidR="005E39A8" w:rsidRPr="000653D0" w:rsidTr="005E39A8">
        <w:trPr>
          <w:cantSplit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9A8" w:rsidRPr="000653D0" w:rsidRDefault="005E39A8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0653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8.1.2.3 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9A8" w:rsidRPr="000653D0" w:rsidRDefault="005E39A8">
            <w:pPr>
              <w:spacing w:before="60" w:after="60" w:line="240" w:lineRule="atLeast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Unterlagen, die sich an Bord befinden müssen</w:t>
            </w:r>
          </w:p>
          <w:p w:rsidR="005E39A8" w:rsidRPr="000653D0" w:rsidRDefault="005E39A8">
            <w:pPr>
              <w:spacing w:before="60" w:after="60" w:line="240" w:lineRule="atLeast"/>
              <w:rPr>
                <w:sz w:val="20"/>
                <w:lang w:val="de-DE"/>
              </w:rPr>
            </w:pPr>
          </w:p>
          <w:p w:rsidR="005E39A8" w:rsidRPr="000653D0" w:rsidRDefault="005E39A8">
            <w:pPr>
              <w:pStyle w:val="N3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653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Plan mit </w:t>
            </w:r>
            <w:proofErr w:type="spellStart"/>
            <w:r w:rsidRPr="000653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Zoneneinteilung</w:t>
            </w:r>
            <w:proofErr w:type="spellEnd"/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9A8" w:rsidRPr="00733040" w:rsidRDefault="005E39A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N.E.U. ab 1. Januar 2019</w:t>
            </w:r>
          </w:p>
          <w:p w:rsidR="005E39A8" w:rsidRPr="00733040" w:rsidRDefault="005E39A8">
            <w:pPr>
              <w:pStyle w:val="N2"/>
              <w:spacing w:before="60" w:after="60" w:line="240" w:lineRule="atLeast"/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</w:p>
          <w:p w:rsidR="005E39A8" w:rsidRPr="00733040" w:rsidRDefault="005E39A8">
            <w:pPr>
              <w:pStyle w:val="N2"/>
              <w:spacing w:before="60" w:after="60" w:line="240" w:lineRule="atLeast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733040">
              <w:rPr>
                <w:rFonts w:ascii="Times New Roman" w:hAnsi="Times New Roman"/>
                <w:sz w:val="20"/>
                <w:lang w:val="de-DE"/>
              </w:rPr>
              <w:t xml:space="preserve">Erneuerung des Zulassungszeugnisses nach dem </w:t>
            </w:r>
            <w:r w:rsidRPr="00733040">
              <w:rPr>
                <w:rFonts w:ascii="Times New Roman" w:hAnsi="Times New Roman"/>
                <w:b/>
                <w:sz w:val="20"/>
                <w:lang w:val="de-DE"/>
              </w:rPr>
              <w:t>31. </w:t>
            </w:r>
            <w:proofErr w:type="spellStart"/>
            <w:r w:rsidRPr="00733040">
              <w:rPr>
                <w:rFonts w:ascii="Times New Roman" w:hAnsi="Times New Roman"/>
                <w:b/>
                <w:sz w:val="20"/>
              </w:rPr>
              <w:t>Dezember</w:t>
            </w:r>
            <w:proofErr w:type="spellEnd"/>
            <w:r w:rsidRPr="00733040">
              <w:rPr>
                <w:rFonts w:ascii="Times New Roman" w:hAnsi="Times New Roman"/>
                <w:b/>
                <w:sz w:val="20"/>
              </w:rPr>
              <w:t xml:space="preserve"> 2034</w:t>
            </w:r>
          </w:p>
        </w:tc>
      </w:tr>
    </w:tbl>
    <w:p w:rsidR="000653D0" w:rsidRPr="000653D0" w:rsidRDefault="000653D0" w:rsidP="00E5694E">
      <w:pPr>
        <w:spacing w:after="120" w:line="240" w:lineRule="atLeast"/>
        <w:ind w:left="1134" w:right="567"/>
        <w:jc w:val="both"/>
        <w:rPr>
          <w:sz w:val="20"/>
          <w:lang w:val="de-DE"/>
        </w:rPr>
      </w:pPr>
    </w:p>
    <w:p w:rsidR="001852DB" w:rsidRPr="000653D0" w:rsidRDefault="009B3B57" w:rsidP="00794385">
      <w:pPr>
        <w:spacing w:after="120" w:line="240" w:lineRule="atLeast"/>
        <w:ind w:left="1701" w:right="567" w:hanging="708"/>
        <w:jc w:val="both"/>
        <w:rPr>
          <w:sz w:val="20"/>
          <w:lang w:val="de-DE"/>
        </w:rPr>
      </w:pPr>
      <w:r>
        <w:rPr>
          <w:sz w:val="20"/>
          <w:lang w:val="de-DE"/>
        </w:rPr>
        <w:t>3</w:t>
      </w:r>
      <w:r w:rsidR="005E39A8" w:rsidRPr="000653D0">
        <w:rPr>
          <w:sz w:val="20"/>
          <w:lang w:val="de-DE"/>
        </w:rPr>
        <w:t xml:space="preserve">. </w:t>
      </w:r>
      <w:r w:rsidR="000653D0" w:rsidRPr="000653D0">
        <w:rPr>
          <w:sz w:val="20"/>
          <w:lang w:val="de-DE"/>
        </w:rPr>
        <w:tab/>
      </w:r>
      <w:r w:rsidR="005E39A8" w:rsidRPr="000653D0">
        <w:rPr>
          <w:sz w:val="20"/>
          <w:lang w:val="de-DE"/>
        </w:rPr>
        <w:t xml:space="preserve">Bei Durchsicht von 8.1.2.3 stellt man fest, dass </w:t>
      </w:r>
      <w:r w:rsidR="001852DB" w:rsidRPr="000653D0">
        <w:rPr>
          <w:sz w:val="20"/>
          <w:lang w:val="de-DE"/>
        </w:rPr>
        <w:t xml:space="preserve">der </w:t>
      </w:r>
      <w:r w:rsidR="000E33FE" w:rsidRPr="000653D0">
        <w:rPr>
          <w:sz w:val="20"/>
          <w:lang w:val="de-DE"/>
        </w:rPr>
        <w:t>Buchstabe</w:t>
      </w:r>
      <w:r w:rsidR="001852DB" w:rsidRPr="000653D0">
        <w:rPr>
          <w:sz w:val="20"/>
          <w:lang w:val="de-DE"/>
        </w:rPr>
        <w:t xml:space="preserve"> u) </w:t>
      </w:r>
      <w:r w:rsidR="00A3253C" w:rsidRPr="000653D0">
        <w:rPr>
          <w:sz w:val="20"/>
          <w:lang w:val="de-DE"/>
        </w:rPr>
        <w:t xml:space="preserve">sich auf Inhalte aus dem </w:t>
      </w:r>
      <w:r w:rsidR="000E33FE" w:rsidRPr="000653D0">
        <w:rPr>
          <w:sz w:val="20"/>
          <w:lang w:val="de-DE"/>
        </w:rPr>
        <w:t xml:space="preserve">Buchstaben </w:t>
      </w:r>
      <w:r w:rsidR="001852DB" w:rsidRPr="000653D0">
        <w:rPr>
          <w:sz w:val="20"/>
          <w:lang w:val="de-DE"/>
        </w:rPr>
        <w:t xml:space="preserve">t) </w:t>
      </w:r>
      <w:r w:rsidR="00A3253C" w:rsidRPr="000653D0">
        <w:rPr>
          <w:sz w:val="20"/>
          <w:lang w:val="de-DE"/>
        </w:rPr>
        <w:t>bezieht</w:t>
      </w:r>
      <w:r w:rsidR="000E33FE" w:rsidRPr="000653D0">
        <w:rPr>
          <w:sz w:val="20"/>
          <w:lang w:val="de-DE"/>
        </w:rPr>
        <w:t>;</w:t>
      </w:r>
      <w:r w:rsidR="001852DB" w:rsidRPr="000653D0">
        <w:rPr>
          <w:sz w:val="20"/>
          <w:lang w:val="de-DE"/>
        </w:rPr>
        <w:t xml:space="preserve"> für beide </w:t>
      </w:r>
      <w:r w:rsidR="000E33FE" w:rsidRPr="000653D0">
        <w:rPr>
          <w:sz w:val="20"/>
          <w:lang w:val="de-DE"/>
        </w:rPr>
        <w:t xml:space="preserve">Buchstaben gelten in 1.6.7.2.2.2 </w:t>
      </w:r>
      <w:r w:rsidR="001852DB" w:rsidRPr="000653D0">
        <w:rPr>
          <w:sz w:val="20"/>
          <w:lang w:val="de-DE"/>
        </w:rPr>
        <w:t>unterschiedliche Übergangsfristen</w:t>
      </w:r>
      <w:r w:rsidR="000E33FE" w:rsidRPr="000653D0">
        <w:rPr>
          <w:sz w:val="20"/>
          <w:lang w:val="de-DE"/>
        </w:rPr>
        <w:t xml:space="preserve">. Es ist nicht logisch, wenn bei bestehenden Schiffen </w:t>
      </w:r>
      <w:r w:rsidR="00E5694E" w:rsidRPr="000653D0">
        <w:rPr>
          <w:sz w:val="20"/>
          <w:lang w:val="de-DE"/>
        </w:rPr>
        <w:t xml:space="preserve">eine Liste mit den betroffenen Anlagen und Geräten gem. u) </w:t>
      </w:r>
      <w:r w:rsidR="000E33FE" w:rsidRPr="000653D0">
        <w:rPr>
          <w:sz w:val="20"/>
          <w:lang w:val="de-DE"/>
        </w:rPr>
        <w:t xml:space="preserve">bereits </w:t>
      </w:r>
      <w:r w:rsidR="00E5694E" w:rsidRPr="000653D0">
        <w:rPr>
          <w:sz w:val="20"/>
          <w:lang w:val="de-DE"/>
        </w:rPr>
        <w:t xml:space="preserve">in Kürze </w:t>
      </w:r>
      <w:r w:rsidR="000E33FE" w:rsidRPr="000653D0">
        <w:rPr>
          <w:sz w:val="20"/>
          <w:lang w:val="de-DE"/>
        </w:rPr>
        <w:t xml:space="preserve">gefordert wird, während </w:t>
      </w:r>
      <w:r w:rsidR="00E5694E" w:rsidRPr="000653D0">
        <w:rPr>
          <w:sz w:val="20"/>
          <w:lang w:val="de-DE"/>
        </w:rPr>
        <w:t xml:space="preserve">der Zonenplan gem. t) erst </w:t>
      </w:r>
      <w:r w:rsidR="000E33FE" w:rsidRPr="000653D0">
        <w:rPr>
          <w:sz w:val="20"/>
          <w:lang w:val="de-DE"/>
        </w:rPr>
        <w:t>viele Jahre später gefordert wird.</w:t>
      </w:r>
    </w:p>
    <w:p w:rsidR="00095010" w:rsidRPr="000653D0" w:rsidRDefault="009B3B57" w:rsidP="00794385">
      <w:pPr>
        <w:spacing w:after="120" w:line="240" w:lineRule="atLeast"/>
        <w:ind w:left="1701" w:right="567" w:hanging="708"/>
        <w:jc w:val="both"/>
        <w:rPr>
          <w:sz w:val="20"/>
          <w:lang w:val="de-DE"/>
        </w:rPr>
      </w:pPr>
      <w:r>
        <w:rPr>
          <w:sz w:val="20"/>
          <w:lang w:val="de-DE"/>
        </w:rPr>
        <w:t>4</w:t>
      </w:r>
      <w:r w:rsidR="00095010" w:rsidRPr="000653D0">
        <w:rPr>
          <w:sz w:val="20"/>
          <w:lang w:val="de-DE"/>
        </w:rPr>
        <w:t xml:space="preserve">. </w:t>
      </w:r>
      <w:r w:rsidR="000653D0" w:rsidRPr="000653D0">
        <w:rPr>
          <w:sz w:val="20"/>
          <w:lang w:val="de-DE"/>
        </w:rPr>
        <w:tab/>
      </w:r>
      <w:r w:rsidR="00095010" w:rsidRPr="000653D0">
        <w:rPr>
          <w:sz w:val="20"/>
          <w:lang w:val="de-DE"/>
        </w:rPr>
        <w:t xml:space="preserve">Das Problem </w:t>
      </w:r>
      <w:proofErr w:type="spellStart"/>
      <w:r w:rsidR="00095010" w:rsidRPr="000653D0">
        <w:rPr>
          <w:sz w:val="20"/>
          <w:lang w:val="de-DE"/>
        </w:rPr>
        <w:t>läßt</w:t>
      </w:r>
      <w:proofErr w:type="spellEnd"/>
      <w:r w:rsidR="00095010" w:rsidRPr="000653D0">
        <w:rPr>
          <w:sz w:val="20"/>
          <w:lang w:val="de-DE"/>
        </w:rPr>
        <w:t xml:space="preserve"> in </w:t>
      </w:r>
      <w:r w:rsidR="002B0370" w:rsidRPr="000653D0">
        <w:rPr>
          <w:sz w:val="20"/>
          <w:lang w:val="de-DE"/>
        </w:rPr>
        <w:t xml:space="preserve">mehreren </w:t>
      </w:r>
      <w:r w:rsidR="00095010" w:rsidRPr="000653D0">
        <w:rPr>
          <w:sz w:val="20"/>
          <w:lang w:val="de-DE"/>
        </w:rPr>
        <w:t xml:space="preserve">Schritten lösen: </w:t>
      </w:r>
    </w:p>
    <w:p w:rsidR="00095010" w:rsidRPr="000653D0" w:rsidRDefault="00095010" w:rsidP="00794385">
      <w:pPr>
        <w:spacing w:line="240" w:lineRule="atLeast"/>
        <w:ind w:left="1701" w:right="567" w:hanging="708"/>
        <w:jc w:val="both"/>
        <w:rPr>
          <w:sz w:val="20"/>
          <w:lang w:val="de-DE"/>
        </w:rPr>
      </w:pPr>
      <w:r w:rsidRPr="000653D0">
        <w:rPr>
          <w:sz w:val="20"/>
          <w:lang w:val="de-DE"/>
        </w:rPr>
        <w:t>a) Der Buchstabe t) wird aus der obigen Überga</w:t>
      </w:r>
      <w:r w:rsidR="000E33FE" w:rsidRPr="000653D0">
        <w:rPr>
          <w:sz w:val="20"/>
          <w:lang w:val="de-DE"/>
        </w:rPr>
        <w:t>n</w:t>
      </w:r>
      <w:r w:rsidRPr="000653D0">
        <w:rPr>
          <w:sz w:val="20"/>
          <w:lang w:val="de-DE"/>
        </w:rPr>
        <w:t>g</w:t>
      </w:r>
      <w:r w:rsidR="000E33FE" w:rsidRPr="000653D0">
        <w:rPr>
          <w:sz w:val="20"/>
          <w:lang w:val="de-DE"/>
        </w:rPr>
        <w:t>s</w:t>
      </w:r>
      <w:r w:rsidR="00014463">
        <w:rPr>
          <w:sz w:val="20"/>
          <w:lang w:val="de-DE"/>
        </w:rPr>
        <w:t>vorschrift</w:t>
      </w:r>
      <w:r w:rsidRPr="000653D0">
        <w:rPr>
          <w:sz w:val="20"/>
          <w:lang w:val="de-DE"/>
        </w:rPr>
        <w:t xml:space="preserve"> gestrichen.</w:t>
      </w:r>
    </w:p>
    <w:tbl>
      <w:tblPr>
        <w:tblW w:w="8220" w:type="dxa"/>
        <w:tblInd w:w="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52"/>
        <w:gridCol w:w="4462"/>
      </w:tblGrid>
      <w:tr w:rsidR="002B0370" w:rsidRPr="00E27EAB" w:rsidTr="002B0370">
        <w:trPr>
          <w:cantSplit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0370" w:rsidRPr="000653D0" w:rsidRDefault="002B0370" w:rsidP="00165028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065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8.1.2.3 r), s), </w:t>
            </w:r>
            <w:r w:rsidRPr="00190D4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t),</w:t>
            </w:r>
            <w:r w:rsidRPr="00190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3D0">
              <w:rPr>
                <w:rFonts w:ascii="Times New Roman" w:hAnsi="Times New Roman" w:cs="Times New Roman"/>
                <w:sz w:val="20"/>
                <w:szCs w:val="20"/>
              </w:rPr>
              <w:t>v)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0370" w:rsidRPr="000653D0" w:rsidRDefault="002B0370" w:rsidP="00165028">
            <w:pPr>
              <w:pStyle w:val="N3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53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Unterlagen, die sich an Bord befinden müssen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0370" w:rsidRPr="000653D0" w:rsidRDefault="002B0370" w:rsidP="0016502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N.E.U. ab 1. Januar 2019</w:t>
            </w:r>
          </w:p>
          <w:p w:rsidR="002B0370" w:rsidRPr="00107088" w:rsidRDefault="002B0370" w:rsidP="0016502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Erneuerung des Zulassungszeugnisses nach dem 31. </w:t>
            </w:r>
            <w:r w:rsidRPr="00107088">
              <w:rPr>
                <w:sz w:val="20"/>
                <w:lang w:val="de-DE"/>
              </w:rPr>
              <w:t>Dezember 2020</w:t>
            </w:r>
          </w:p>
          <w:p w:rsidR="002B0370" w:rsidRPr="000653D0" w:rsidRDefault="002B0370" w:rsidP="00165028">
            <w:pPr>
              <w:spacing w:before="60" w:after="60" w:line="240" w:lineRule="atLeast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An Bord von in Betrieb befindlichen Schiffen müssen bis dahin zusätzlich zu den nach den in Unterabschnitt 1.1.4.6 genannten Vorschriften an Bord vorhanden sein:</w:t>
            </w:r>
          </w:p>
          <w:p w:rsidR="002B0370" w:rsidRPr="000653D0" w:rsidRDefault="002B0370" w:rsidP="00165028">
            <w:pPr>
              <w:spacing w:before="60" w:after="60" w:line="240" w:lineRule="atLeast"/>
              <w:ind w:left="283" w:hanging="283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a)</w:t>
            </w:r>
            <w:r w:rsidR="00A17077">
              <w:rPr>
                <w:sz w:val="20"/>
                <w:lang w:val="de-DE"/>
              </w:rPr>
              <w:tab/>
            </w:r>
            <w:r w:rsidRPr="000653D0">
              <w:rPr>
                <w:sz w:val="20"/>
                <w:lang w:val="de-DE"/>
              </w:rPr>
              <w:t>ein Plan mit den Grenzen des Bereichs der Ladung, auf dem die in diesem Bereich installierten elektrischen Betriebsmittel eingetragen sind;</w:t>
            </w:r>
          </w:p>
          <w:p w:rsidR="002B0370" w:rsidRPr="000653D0" w:rsidRDefault="002B0370" w:rsidP="00E5694E">
            <w:pPr>
              <w:spacing w:before="60" w:after="120" w:line="240" w:lineRule="atLeast"/>
              <w:ind w:left="284" w:hanging="284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b)</w:t>
            </w:r>
            <w:r w:rsidR="00A17077">
              <w:rPr>
                <w:sz w:val="20"/>
                <w:lang w:val="de-DE"/>
              </w:rPr>
              <w:tab/>
            </w:r>
            <w:r w:rsidRPr="000653D0">
              <w:rPr>
                <w:sz w:val="20"/>
                <w:lang w:val="de-DE"/>
              </w:rPr>
              <w:t xml:space="preserve"> eine Liste über die unter Buchstabe a) aufgeführten elektrischen Betriebsmittel mit folgenden Angaben:</w:t>
            </w:r>
          </w:p>
          <w:p w:rsidR="002B0370" w:rsidRPr="000653D0" w:rsidRDefault="002B0370" w:rsidP="00A17077">
            <w:pPr>
              <w:spacing w:after="60" w:line="240" w:lineRule="atLeast"/>
              <w:ind w:left="284" w:hanging="3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Gerät, Aufstellungsort, Schutzart, Zündschutzart, Prüfstelle und Zulassungsnummer;</w:t>
            </w:r>
          </w:p>
          <w:p w:rsidR="002B0370" w:rsidRPr="000653D0" w:rsidRDefault="002B0370" w:rsidP="00165028">
            <w:pPr>
              <w:spacing w:before="60" w:after="60" w:line="240" w:lineRule="atLeast"/>
              <w:ind w:left="283" w:hanging="283"/>
              <w:rPr>
                <w:sz w:val="20"/>
                <w:lang w:val="de-DE"/>
              </w:rPr>
            </w:pPr>
            <w:r w:rsidRPr="000653D0">
              <w:rPr>
                <w:sz w:val="20"/>
                <w:lang w:val="de-DE"/>
              </w:rPr>
              <w:t>c)</w:t>
            </w:r>
            <w:r w:rsidR="00A17077">
              <w:rPr>
                <w:sz w:val="20"/>
                <w:lang w:val="de-DE"/>
              </w:rPr>
              <w:tab/>
            </w:r>
            <w:r w:rsidRPr="000653D0">
              <w:rPr>
                <w:sz w:val="20"/>
                <w:lang w:val="de-DE"/>
              </w:rPr>
              <w:t>eine Liste oder ein Übersichtsplan über die außerhalb des Bereichs der Ladung vorhandenen Betriebsmittel, die während des Ladens, Löschens und Entgasens betrieben werden dürfen</w:t>
            </w:r>
          </w:p>
          <w:p w:rsidR="002B0370" w:rsidRPr="000653D0" w:rsidRDefault="002B0370" w:rsidP="00165028">
            <w:pPr>
              <w:pStyle w:val="N2"/>
              <w:spacing w:before="60" w:after="60" w:line="240" w:lineRule="atLeast"/>
              <w:ind w:left="0" w:firstLine="0"/>
              <w:rPr>
                <w:rFonts w:ascii="Times New Roman" w:hAnsi="Times New Roman"/>
                <w:sz w:val="20"/>
                <w:lang w:val="de-DE"/>
              </w:rPr>
            </w:pPr>
            <w:r w:rsidRPr="000653D0">
              <w:rPr>
                <w:rFonts w:ascii="Times New Roman" w:hAnsi="Times New Roman"/>
                <w:sz w:val="20"/>
                <w:lang w:val="de-DE"/>
              </w:rPr>
              <w:t>Die vorstehend genannten Unterlagen müssen mit dem Sichtvermerk der zuständigen Behörde, die das Zulassungszeugnis erteilt, versehen sein.</w:t>
            </w:r>
          </w:p>
        </w:tc>
      </w:tr>
    </w:tbl>
    <w:p w:rsidR="00095010" w:rsidRPr="00733040" w:rsidRDefault="00095010" w:rsidP="00B15995">
      <w:pPr>
        <w:spacing w:before="180" w:after="120" w:line="240" w:lineRule="atLeast"/>
        <w:ind w:left="1701" w:right="567" w:hanging="567"/>
        <w:jc w:val="both"/>
        <w:rPr>
          <w:sz w:val="20"/>
          <w:lang w:val="de-DE"/>
        </w:rPr>
      </w:pPr>
      <w:r w:rsidRPr="000653D0">
        <w:rPr>
          <w:sz w:val="20"/>
          <w:lang w:val="de-DE"/>
        </w:rPr>
        <w:t>b)</w:t>
      </w:r>
      <w:r w:rsidR="00794385">
        <w:rPr>
          <w:sz w:val="20"/>
          <w:lang w:val="de-DE"/>
        </w:rPr>
        <w:tab/>
      </w:r>
      <w:r w:rsidRPr="00733040">
        <w:rPr>
          <w:sz w:val="20"/>
          <w:lang w:val="de-DE"/>
        </w:rPr>
        <w:t>Für d</w:t>
      </w:r>
      <w:r w:rsidR="002B0370" w:rsidRPr="00733040">
        <w:rPr>
          <w:sz w:val="20"/>
          <w:lang w:val="de-DE"/>
        </w:rPr>
        <w:t>ie im ADN 2019 geforderte Liste nach d</w:t>
      </w:r>
      <w:r w:rsidRPr="00733040">
        <w:rPr>
          <w:sz w:val="20"/>
          <w:lang w:val="de-DE"/>
        </w:rPr>
        <w:t xml:space="preserve">en Buchstaben </w:t>
      </w:r>
      <w:r w:rsidR="002B0370" w:rsidRPr="00733040">
        <w:rPr>
          <w:sz w:val="20"/>
          <w:lang w:val="de-DE"/>
        </w:rPr>
        <w:t>u</w:t>
      </w:r>
      <w:r w:rsidR="000E33FE" w:rsidRPr="00733040">
        <w:rPr>
          <w:sz w:val="20"/>
          <w:lang w:val="de-DE"/>
        </w:rPr>
        <w:t>)</w:t>
      </w:r>
      <w:r w:rsidRPr="00733040">
        <w:rPr>
          <w:sz w:val="20"/>
          <w:lang w:val="de-DE"/>
        </w:rPr>
        <w:t xml:space="preserve"> </w:t>
      </w:r>
      <w:r w:rsidR="002B0370" w:rsidRPr="00733040">
        <w:rPr>
          <w:sz w:val="20"/>
          <w:lang w:val="de-DE"/>
        </w:rPr>
        <w:t xml:space="preserve">aus 8.1.2.3 </w:t>
      </w:r>
      <w:r w:rsidRPr="00733040">
        <w:rPr>
          <w:sz w:val="20"/>
          <w:lang w:val="de-DE"/>
        </w:rPr>
        <w:t>wir</w:t>
      </w:r>
      <w:r w:rsidR="002B0370" w:rsidRPr="00733040">
        <w:rPr>
          <w:sz w:val="20"/>
          <w:lang w:val="de-DE"/>
        </w:rPr>
        <w:t>d</w:t>
      </w:r>
      <w:r w:rsidRPr="00733040">
        <w:rPr>
          <w:sz w:val="20"/>
          <w:lang w:val="de-DE"/>
        </w:rPr>
        <w:t xml:space="preserve"> eine </w:t>
      </w:r>
      <w:r w:rsidR="000E33FE" w:rsidRPr="00733040">
        <w:rPr>
          <w:sz w:val="20"/>
          <w:lang w:val="de-DE"/>
        </w:rPr>
        <w:t>separate Übergangs</w:t>
      </w:r>
      <w:r w:rsidR="00014463" w:rsidRPr="00733040">
        <w:rPr>
          <w:sz w:val="20"/>
          <w:lang w:val="de-DE"/>
        </w:rPr>
        <w:t>vorschrift</w:t>
      </w:r>
      <w:r w:rsidR="000E33FE" w:rsidRPr="00733040">
        <w:rPr>
          <w:sz w:val="20"/>
          <w:lang w:val="de-DE"/>
        </w:rPr>
        <w:t xml:space="preserve"> mit präzi</w:t>
      </w:r>
      <w:r w:rsidR="002B0370" w:rsidRPr="00733040">
        <w:rPr>
          <w:sz w:val="20"/>
          <w:lang w:val="de-DE"/>
        </w:rPr>
        <w:t>s</w:t>
      </w:r>
      <w:r w:rsidR="000E33FE" w:rsidRPr="00733040">
        <w:rPr>
          <w:sz w:val="20"/>
          <w:lang w:val="de-DE"/>
        </w:rPr>
        <w:t>iertem Bezug und gleichem Zeit</w:t>
      </w:r>
      <w:r w:rsidR="002B0370" w:rsidRPr="00733040">
        <w:rPr>
          <w:sz w:val="20"/>
          <w:lang w:val="de-DE"/>
        </w:rPr>
        <w:t xml:space="preserve">fenster wie im ADN 2019 </w:t>
      </w:r>
      <w:r w:rsidR="000E33FE" w:rsidRPr="00733040">
        <w:rPr>
          <w:sz w:val="20"/>
          <w:lang w:val="de-DE"/>
        </w:rPr>
        <w:t>eingeführt</w:t>
      </w:r>
      <w:r w:rsidR="00190D46">
        <w:rPr>
          <w:sz w:val="20"/>
          <w:lang w:val="de-DE"/>
        </w:rPr>
        <w:t>:</w:t>
      </w:r>
    </w:p>
    <w:tbl>
      <w:tblPr>
        <w:tblW w:w="8220" w:type="dxa"/>
        <w:tblInd w:w="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616"/>
        <w:gridCol w:w="4398"/>
      </w:tblGrid>
      <w:tr w:rsidR="00733040" w:rsidRPr="00733040" w:rsidTr="000E33FE">
        <w:trPr>
          <w:cantSplit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3304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8.1.2.3 u)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spacing w:before="60" w:after="60" w:line="240" w:lineRule="atLeast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Liste der unter Buchstabe t) aufgeführten Anlagen und Geräte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N.E.U. ab 1. Januar 2019</w:t>
            </w:r>
          </w:p>
          <w:p w:rsidR="000E33FE" w:rsidRPr="00733040" w:rsidRDefault="000E33FE" w:rsidP="0016502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733040">
              <w:rPr>
                <w:sz w:val="20"/>
                <w:lang w:val="de-DE"/>
              </w:rPr>
              <w:t>Erneuerung des Zulassungszeugnisses nach dem 31. </w:t>
            </w:r>
            <w:proofErr w:type="spellStart"/>
            <w:r w:rsidRPr="00733040">
              <w:rPr>
                <w:sz w:val="20"/>
              </w:rPr>
              <w:t>Dezember</w:t>
            </w:r>
            <w:proofErr w:type="spellEnd"/>
            <w:r w:rsidRPr="00733040">
              <w:rPr>
                <w:sz w:val="20"/>
              </w:rPr>
              <w:t xml:space="preserve"> 2034</w:t>
            </w:r>
          </w:p>
        </w:tc>
      </w:tr>
    </w:tbl>
    <w:p w:rsidR="000E33FE" w:rsidRPr="00733040" w:rsidRDefault="000E33FE" w:rsidP="00794385">
      <w:pPr>
        <w:spacing w:before="180" w:after="120" w:line="240" w:lineRule="atLeast"/>
        <w:ind w:left="1701" w:right="567" w:hanging="567"/>
        <w:jc w:val="both"/>
        <w:rPr>
          <w:sz w:val="20"/>
          <w:lang w:val="de-DE"/>
        </w:rPr>
      </w:pPr>
      <w:r w:rsidRPr="00733040">
        <w:rPr>
          <w:sz w:val="20"/>
          <w:lang w:val="de-DE"/>
        </w:rPr>
        <w:t>c)</w:t>
      </w:r>
      <w:r w:rsidR="00794385" w:rsidRPr="00733040">
        <w:rPr>
          <w:sz w:val="20"/>
          <w:lang w:val="de-DE"/>
        </w:rPr>
        <w:tab/>
      </w:r>
      <w:r w:rsidRPr="00733040">
        <w:rPr>
          <w:sz w:val="20"/>
          <w:lang w:val="de-DE"/>
        </w:rPr>
        <w:t xml:space="preserve">Für den </w:t>
      </w:r>
      <w:r w:rsidR="002B0370" w:rsidRPr="00733040">
        <w:rPr>
          <w:sz w:val="20"/>
          <w:lang w:val="de-DE"/>
        </w:rPr>
        <w:t xml:space="preserve">im ADN 2019 geforderten </w:t>
      </w:r>
      <w:r w:rsidR="00E5694E" w:rsidRPr="00733040">
        <w:rPr>
          <w:sz w:val="20"/>
          <w:lang w:val="de-DE"/>
        </w:rPr>
        <w:t xml:space="preserve">Plan mit </w:t>
      </w:r>
      <w:r w:rsidRPr="00733040">
        <w:rPr>
          <w:sz w:val="20"/>
          <w:lang w:val="de-DE"/>
        </w:rPr>
        <w:t>Zonen</w:t>
      </w:r>
      <w:r w:rsidR="00E5694E" w:rsidRPr="00733040">
        <w:rPr>
          <w:sz w:val="20"/>
          <w:lang w:val="de-DE"/>
        </w:rPr>
        <w:t>einteilung</w:t>
      </w:r>
      <w:r w:rsidRPr="00733040">
        <w:rPr>
          <w:sz w:val="20"/>
          <w:lang w:val="de-DE"/>
        </w:rPr>
        <w:t xml:space="preserve"> selbst wird eine separate Übergangs</w:t>
      </w:r>
      <w:r w:rsidR="00014463" w:rsidRPr="00733040">
        <w:rPr>
          <w:sz w:val="20"/>
          <w:lang w:val="de-DE"/>
        </w:rPr>
        <w:t>vorschrift</w:t>
      </w:r>
      <w:r w:rsidRPr="00733040">
        <w:rPr>
          <w:sz w:val="20"/>
          <w:lang w:val="de-DE"/>
        </w:rPr>
        <w:t xml:space="preserve"> </w:t>
      </w:r>
      <w:r w:rsidR="002B0370" w:rsidRPr="00733040">
        <w:rPr>
          <w:sz w:val="20"/>
          <w:lang w:val="de-DE"/>
        </w:rPr>
        <w:t>mit gleichem Zeitfenster wie für den Buchstaben u) eingeführt</w:t>
      </w:r>
      <w:r w:rsidRPr="00733040">
        <w:rPr>
          <w:sz w:val="20"/>
          <w:lang w:val="de-DE"/>
        </w:rPr>
        <w:t>:</w:t>
      </w:r>
    </w:p>
    <w:tbl>
      <w:tblPr>
        <w:tblW w:w="8220" w:type="dxa"/>
        <w:tblInd w:w="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616"/>
        <w:gridCol w:w="4397"/>
      </w:tblGrid>
      <w:tr w:rsidR="00733040" w:rsidRPr="00733040" w:rsidTr="000E33FE">
        <w:trPr>
          <w:cantSplit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pStyle w:val="N3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73304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8.1.2.3 t)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pStyle w:val="N3"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3304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Plan mit </w:t>
            </w:r>
            <w:proofErr w:type="spellStart"/>
            <w:r w:rsidRPr="0073304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Zoneneinteilung</w:t>
            </w:r>
            <w:proofErr w:type="spellEnd"/>
            <w:r w:rsidRPr="0073304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3FE" w:rsidRPr="00733040" w:rsidRDefault="000E33FE" w:rsidP="00165028">
            <w:pPr>
              <w:spacing w:before="60" w:after="60" w:line="240" w:lineRule="atLeast"/>
              <w:jc w:val="center"/>
              <w:rPr>
                <w:sz w:val="20"/>
                <w:lang w:val="de-DE"/>
              </w:rPr>
            </w:pPr>
            <w:r w:rsidRPr="00733040">
              <w:rPr>
                <w:sz w:val="20"/>
                <w:lang w:val="de-DE"/>
              </w:rPr>
              <w:t>N.E.U. ab 1. Januar 2019</w:t>
            </w:r>
          </w:p>
          <w:p w:rsidR="000E33FE" w:rsidRPr="00733040" w:rsidRDefault="000E33FE" w:rsidP="00165028">
            <w:pPr>
              <w:pStyle w:val="N2"/>
              <w:spacing w:before="60" w:after="60" w:line="240" w:lineRule="atLeast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733040">
              <w:rPr>
                <w:rFonts w:ascii="Times New Roman" w:hAnsi="Times New Roman"/>
                <w:sz w:val="20"/>
                <w:lang w:val="de-DE"/>
              </w:rPr>
              <w:t>Erneuerung des Zulassungszeugnisses nach dem 31. </w:t>
            </w:r>
            <w:proofErr w:type="spellStart"/>
            <w:r w:rsidRPr="00733040">
              <w:rPr>
                <w:rFonts w:ascii="Times New Roman" w:hAnsi="Times New Roman"/>
                <w:sz w:val="20"/>
              </w:rPr>
              <w:t>Dezember</w:t>
            </w:r>
            <w:proofErr w:type="spellEnd"/>
            <w:r w:rsidRPr="00733040">
              <w:rPr>
                <w:rFonts w:ascii="Times New Roman" w:hAnsi="Times New Roman"/>
                <w:sz w:val="20"/>
              </w:rPr>
              <w:t xml:space="preserve"> 2034</w:t>
            </w:r>
          </w:p>
        </w:tc>
      </w:tr>
    </w:tbl>
    <w:p w:rsidR="00851F78" w:rsidRPr="00733040" w:rsidRDefault="00851F78" w:rsidP="00851F78">
      <w:pPr>
        <w:autoSpaceDE w:val="0"/>
        <w:autoSpaceDN w:val="0"/>
        <w:adjustRightInd w:val="0"/>
        <w:spacing w:before="120" w:after="0" w:line="240" w:lineRule="atLeast"/>
        <w:ind w:left="1134" w:right="567"/>
        <w:jc w:val="center"/>
        <w:rPr>
          <w:sz w:val="20"/>
          <w:lang w:val="de-DE"/>
        </w:rPr>
      </w:pPr>
      <w:r w:rsidRPr="00733040">
        <w:rPr>
          <w:sz w:val="20"/>
          <w:lang w:val="de-DE"/>
        </w:rPr>
        <w:t>***</w:t>
      </w:r>
    </w:p>
    <w:sectPr w:rsidR="00851F78" w:rsidRPr="00733040" w:rsidSect="00C03EF9">
      <w:headerReference w:type="even" r:id="rId9"/>
      <w:headerReference w:type="default" r:id="rId10"/>
      <w:footerReference w:type="default" r:id="rId11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EC" w:rsidRDefault="001312EC">
      <w:pPr>
        <w:pStyle w:val="Footer"/>
      </w:pPr>
    </w:p>
  </w:endnote>
  <w:endnote w:type="continuationSeparator" w:id="0">
    <w:p w:rsidR="001312EC" w:rsidRDefault="001312EC">
      <w:pPr>
        <w:spacing w:after="0"/>
      </w:pPr>
    </w:p>
  </w:endnote>
  <w:endnote w:type="continuationNotice" w:id="1">
    <w:p w:rsidR="001312EC" w:rsidRDefault="001312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D0" w:rsidRDefault="000653D0" w:rsidP="000653D0">
    <w:pPr>
      <w:suppressAutoHyphens/>
      <w:spacing w:after="0"/>
      <w:jc w:val="right"/>
    </w:pPr>
    <w:r w:rsidRPr="000653D0">
      <w:rPr>
        <w:rFonts w:ascii="Arial" w:hAnsi="Arial"/>
        <w:noProof/>
        <w:snapToGrid w:val="0"/>
        <w:sz w:val="12"/>
        <w:szCs w:val="24"/>
        <w:lang w:val="fr-FR" w:eastAsia="fr-FR"/>
      </w:rPr>
      <w:t>mm/adn_wp15_ac2_2019_</w:t>
    </w:r>
    <w:r w:rsidR="009B3B57">
      <w:rPr>
        <w:rFonts w:ascii="Arial" w:hAnsi="Arial"/>
        <w:noProof/>
        <w:snapToGrid w:val="0"/>
        <w:sz w:val="12"/>
        <w:szCs w:val="24"/>
        <w:lang w:val="fr-FR" w:eastAsia="fr-FR"/>
      </w:rPr>
      <w:t>28</w:t>
    </w:r>
    <w:r w:rsidR="00A17077">
      <w:rPr>
        <w:rFonts w:ascii="Arial" w:hAnsi="Arial"/>
        <w:noProof/>
        <w:snapToGrid w:val="0"/>
        <w:sz w:val="12"/>
        <w:szCs w:val="24"/>
        <w:lang w:val="fr-FR" w:eastAsia="fr-FR"/>
      </w:rPr>
      <w:t>d</w:t>
    </w:r>
    <w:r w:rsidRPr="000653D0">
      <w:rPr>
        <w:rFonts w:ascii="Arial" w:hAnsi="Arial"/>
        <w:noProof/>
        <w:snapToGrid w:val="0"/>
        <w:sz w:val="12"/>
        <w:szCs w:val="24"/>
        <w:lang w:val="fr-FR" w:eastAsia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EC" w:rsidRDefault="001312EC">
      <w:pPr>
        <w:spacing w:after="0"/>
      </w:pPr>
      <w:r>
        <w:separator/>
      </w:r>
    </w:p>
  </w:footnote>
  <w:footnote w:type="continuationSeparator" w:id="0">
    <w:p w:rsidR="001312EC" w:rsidRDefault="001312E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1312EC" w:rsidRDefault="001312EC">
      <w:pPr>
        <w:spacing w:after="0"/>
      </w:pPr>
    </w:p>
  </w:footnote>
  <w:footnote w:id="2">
    <w:p w:rsidR="000653D0" w:rsidRPr="00107088" w:rsidRDefault="000653D0" w:rsidP="000653D0">
      <w:pPr>
        <w:pStyle w:val="FootnoteText"/>
        <w:spacing w:after="0"/>
        <w:ind w:left="567" w:hanging="567"/>
        <w:rPr>
          <w:sz w:val="16"/>
          <w:szCs w:val="16"/>
          <w:lang w:val="de-DE"/>
        </w:rPr>
      </w:pPr>
      <w:r w:rsidRPr="000653D0">
        <w:rPr>
          <w:rStyle w:val="FootnoteReference"/>
          <w:sz w:val="20"/>
          <w:lang w:val="de-DE"/>
        </w:rPr>
        <w:t>*</w:t>
      </w:r>
      <w:r w:rsidRPr="00107088">
        <w:rPr>
          <w:sz w:val="16"/>
          <w:szCs w:val="16"/>
          <w:lang w:val="de-DE"/>
        </w:rPr>
        <w:tab/>
        <w:t>Von der UN-ECE in Englisch, Französisch und Russisch unter dem Aktenzeichen CCNR-ZKR/ADN/WP.15/AC.2/2019/</w:t>
      </w:r>
      <w:r w:rsidR="009B3B57">
        <w:rPr>
          <w:sz w:val="16"/>
          <w:szCs w:val="16"/>
          <w:lang w:val="de-DE"/>
        </w:rPr>
        <w:t xml:space="preserve">28 </w:t>
      </w:r>
      <w:r w:rsidRPr="00107088">
        <w:rPr>
          <w:sz w:val="16"/>
          <w:szCs w:val="16"/>
          <w:lang w:val="de-DE"/>
        </w:rPr>
        <w:t>verteilt.</w:t>
      </w:r>
    </w:p>
  </w:footnote>
  <w:footnote w:id="3">
    <w:p w:rsidR="000653D0" w:rsidRPr="00107088" w:rsidRDefault="000653D0" w:rsidP="000653D0">
      <w:pPr>
        <w:pStyle w:val="FootnoteText"/>
        <w:spacing w:after="0"/>
        <w:ind w:left="567" w:hanging="567"/>
        <w:rPr>
          <w:sz w:val="16"/>
          <w:szCs w:val="16"/>
          <w:lang w:val="de-DE"/>
        </w:rPr>
      </w:pPr>
      <w:r w:rsidRPr="000653D0">
        <w:rPr>
          <w:rStyle w:val="FootnoteReference"/>
          <w:sz w:val="20"/>
          <w:lang w:val="de-DE"/>
        </w:rPr>
        <w:t>**</w:t>
      </w:r>
      <w:r w:rsidRPr="000653D0">
        <w:rPr>
          <w:sz w:val="20"/>
          <w:lang w:val="de-DE"/>
        </w:rPr>
        <w:tab/>
      </w:r>
      <w:r w:rsidRPr="00107088">
        <w:rPr>
          <w:sz w:val="16"/>
          <w:szCs w:val="16"/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D0" w:rsidRPr="000653D0" w:rsidRDefault="000653D0" w:rsidP="000653D0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0653D0">
      <w:rPr>
        <w:rFonts w:ascii="Arial" w:hAnsi="Arial"/>
        <w:snapToGrid w:val="0"/>
        <w:sz w:val="16"/>
        <w:szCs w:val="16"/>
        <w:lang w:val="de-DE" w:eastAsia="fr-FR"/>
      </w:rPr>
      <w:t>CCNR-ZKR/ADN/WP.15/AC.2/2019/</w:t>
    </w:r>
    <w:r w:rsidR="009B3B57">
      <w:rPr>
        <w:rFonts w:ascii="Arial" w:hAnsi="Arial"/>
        <w:snapToGrid w:val="0"/>
        <w:sz w:val="16"/>
        <w:szCs w:val="16"/>
        <w:lang w:val="de-DE" w:eastAsia="fr-FR"/>
      </w:rPr>
      <w:t>28</w:t>
    </w:r>
  </w:p>
  <w:p w:rsidR="000653D0" w:rsidRPr="000653D0" w:rsidRDefault="000653D0" w:rsidP="000653D0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0653D0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0653D0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0653D0">
      <w:rPr>
        <w:rFonts w:ascii="Arial" w:hAnsi="Arial"/>
        <w:snapToGrid w:val="0"/>
        <w:sz w:val="16"/>
        <w:szCs w:val="16"/>
        <w:lang w:val="de-DE" w:eastAsia="fr-FR"/>
      </w:rPr>
      <w:t>2</w: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D0" w:rsidRPr="000653D0" w:rsidRDefault="000653D0" w:rsidP="000653D0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0653D0">
      <w:rPr>
        <w:rFonts w:ascii="Arial" w:hAnsi="Arial"/>
        <w:snapToGrid w:val="0"/>
        <w:sz w:val="16"/>
        <w:szCs w:val="16"/>
        <w:lang w:val="de-DE" w:eastAsia="fr-FR"/>
      </w:rPr>
      <w:t>CCNR-ZKR/ADN/WP.15/AC.2/2019/</w:t>
    </w:r>
    <w:r w:rsidR="009B3B57">
      <w:rPr>
        <w:rFonts w:ascii="Arial" w:hAnsi="Arial"/>
        <w:snapToGrid w:val="0"/>
        <w:sz w:val="16"/>
        <w:szCs w:val="16"/>
        <w:lang w:val="de-DE" w:eastAsia="fr-FR"/>
      </w:rPr>
      <w:t>28</w:t>
    </w:r>
  </w:p>
  <w:p w:rsidR="000653D0" w:rsidRPr="000653D0" w:rsidRDefault="000653D0" w:rsidP="000653D0">
    <w:pPr>
      <w:suppressAutoHyphens/>
      <w:spacing w:after="0"/>
      <w:jc w:val="right"/>
      <w:rPr>
        <w:rFonts w:ascii="Arial" w:hAnsi="Arial"/>
        <w:snapToGrid w:val="0"/>
        <w:sz w:val="16"/>
        <w:szCs w:val="16"/>
        <w:lang w:val="de-DE" w:eastAsia="fr-FR"/>
      </w:rPr>
    </w:pPr>
    <w:r w:rsidRPr="000653D0">
      <w:rPr>
        <w:rFonts w:ascii="Arial" w:hAnsi="Arial"/>
        <w:snapToGrid w:val="0"/>
        <w:sz w:val="16"/>
        <w:szCs w:val="16"/>
        <w:lang w:val="de-DE" w:eastAsia="fr-FR"/>
      </w:rPr>
      <w:t xml:space="preserve">Seite </w: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begin"/>
    </w:r>
    <w:r w:rsidRPr="000653D0">
      <w:rPr>
        <w:rFonts w:ascii="Arial" w:hAnsi="Arial"/>
        <w:snapToGrid w:val="0"/>
        <w:sz w:val="16"/>
        <w:szCs w:val="16"/>
        <w:lang w:val="de-DE" w:eastAsia="fr-FR"/>
      </w:rPr>
      <w:instrText xml:space="preserve"> PAGE  \* MERGEFORMAT </w:instrTex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separate"/>
    </w:r>
    <w:r w:rsidRPr="000653D0">
      <w:rPr>
        <w:rFonts w:ascii="Arial" w:hAnsi="Arial"/>
        <w:snapToGrid w:val="0"/>
        <w:sz w:val="16"/>
        <w:szCs w:val="16"/>
        <w:lang w:val="de-DE" w:eastAsia="fr-FR"/>
      </w:rPr>
      <w:t>2</w:t>
    </w:r>
    <w:r w:rsidRPr="000653D0">
      <w:rPr>
        <w:rFonts w:ascii="Arial" w:hAnsi="Arial"/>
        <w:snapToGrid w:val="0"/>
        <w:sz w:val="16"/>
        <w:szCs w:val="16"/>
        <w:lang w:val="de-DE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3663371"/>
    <w:multiLevelType w:val="multilevel"/>
    <w:tmpl w:val="040C001D"/>
    <w:numStyleLink w:val="1ai"/>
  </w:abstractNum>
  <w:abstractNum w:abstractNumId="21" w15:restartNumberingAfterBreak="0">
    <w:nsid w:val="57F46F74"/>
    <w:multiLevelType w:val="hybridMultilevel"/>
    <w:tmpl w:val="AF0CD774"/>
    <w:lvl w:ilvl="0" w:tplc="9740E728"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5C475568"/>
    <w:multiLevelType w:val="hybridMultilevel"/>
    <w:tmpl w:val="AD90D7B8"/>
    <w:lvl w:ilvl="0" w:tplc="D4345D24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FD5C2F"/>
    <w:multiLevelType w:val="hybridMultilevel"/>
    <w:tmpl w:val="5BBC914A"/>
    <w:lvl w:ilvl="0" w:tplc="1B8E824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8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7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4"/>
  </w:num>
  <w:num w:numId="22">
    <w:abstractNumId w:val="18"/>
  </w:num>
  <w:num w:numId="23">
    <w:abstractNumId w:val="16"/>
  </w:num>
  <w:num w:numId="24">
    <w:abstractNumId w:val="6"/>
  </w:num>
  <w:num w:numId="25">
    <w:abstractNumId w:val="26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2"/>
    <w:rsid w:val="00001E90"/>
    <w:rsid w:val="0000299C"/>
    <w:rsid w:val="00014411"/>
    <w:rsid w:val="00014463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53D0"/>
    <w:rsid w:val="00066138"/>
    <w:rsid w:val="000667CE"/>
    <w:rsid w:val="00070E56"/>
    <w:rsid w:val="00077F19"/>
    <w:rsid w:val="000811C0"/>
    <w:rsid w:val="00082C21"/>
    <w:rsid w:val="000866CE"/>
    <w:rsid w:val="00093086"/>
    <w:rsid w:val="000933A5"/>
    <w:rsid w:val="00095010"/>
    <w:rsid w:val="000A1F33"/>
    <w:rsid w:val="000A4580"/>
    <w:rsid w:val="000A590A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46C7"/>
    <w:rsid w:val="000C618B"/>
    <w:rsid w:val="000C63F9"/>
    <w:rsid w:val="000D561F"/>
    <w:rsid w:val="000E06E4"/>
    <w:rsid w:val="000E09F2"/>
    <w:rsid w:val="000E33FE"/>
    <w:rsid w:val="000E5406"/>
    <w:rsid w:val="000F2999"/>
    <w:rsid w:val="000F3755"/>
    <w:rsid w:val="000F3B3B"/>
    <w:rsid w:val="000F574C"/>
    <w:rsid w:val="00101181"/>
    <w:rsid w:val="00103619"/>
    <w:rsid w:val="00106C1B"/>
    <w:rsid w:val="00107088"/>
    <w:rsid w:val="00110BAC"/>
    <w:rsid w:val="00114717"/>
    <w:rsid w:val="00114C05"/>
    <w:rsid w:val="001162B6"/>
    <w:rsid w:val="001168E3"/>
    <w:rsid w:val="0012049D"/>
    <w:rsid w:val="00122163"/>
    <w:rsid w:val="0012596F"/>
    <w:rsid w:val="001309F5"/>
    <w:rsid w:val="001312EC"/>
    <w:rsid w:val="00131898"/>
    <w:rsid w:val="00135481"/>
    <w:rsid w:val="00137616"/>
    <w:rsid w:val="00141BE2"/>
    <w:rsid w:val="00143FA2"/>
    <w:rsid w:val="001442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2DB"/>
    <w:rsid w:val="001853A3"/>
    <w:rsid w:val="00186BF8"/>
    <w:rsid w:val="00186CCD"/>
    <w:rsid w:val="001875F2"/>
    <w:rsid w:val="00190D46"/>
    <w:rsid w:val="00192271"/>
    <w:rsid w:val="0019252F"/>
    <w:rsid w:val="00192DC1"/>
    <w:rsid w:val="001A04FA"/>
    <w:rsid w:val="001A6F70"/>
    <w:rsid w:val="001A705C"/>
    <w:rsid w:val="001B2E45"/>
    <w:rsid w:val="001B387B"/>
    <w:rsid w:val="001B731A"/>
    <w:rsid w:val="001C024F"/>
    <w:rsid w:val="001C6029"/>
    <w:rsid w:val="001D0337"/>
    <w:rsid w:val="001D2866"/>
    <w:rsid w:val="001D33BE"/>
    <w:rsid w:val="001E6C4F"/>
    <w:rsid w:val="001F09CC"/>
    <w:rsid w:val="001F1079"/>
    <w:rsid w:val="001F1F05"/>
    <w:rsid w:val="001F42B0"/>
    <w:rsid w:val="001F4523"/>
    <w:rsid w:val="001F516B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26E5"/>
    <w:rsid w:val="002A5AC5"/>
    <w:rsid w:val="002A5D74"/>
    <w:rsid w:val="002B0370"/>
    <w:rsid w:val="002B1104"/>
    <w:rsid w:val="002B1169"/>
    <w:rsid w:val="002B22DA"/>
    <w:rsid w:val="002B5575"/>
    <w:rsid w:val="002C34CD"/>
    <w:rsid w:val="002C7555"/>
    <w:rsid w:val="002D43AB"/>
    <w:rsid w:val="002D48DF"/>
    <w:rsid w:val="002E1922"/>
    <w:rsid w:val="002E274C"/>
    <w:rsid w:val="002E340B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71B3"/>
    <w:rsid w:val="0034481F"/>
    <w:rsid w:val="0035078B"/>
    <w:rsid w:val="00350F80"/>
    <w:rsid w:val="00354712"/>
    <w:rsid w:val="00357395"/>
    <w:rsid w:val="00357FB2"/>
    <w:rsid w:val="003642B3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0EE3"/>
    <w:rsid w:val="003C1B4B"/>
    <w:rsid w:val="003C242B"/>
    <w:rsid w:val="003C2B9A"/>
    <w:rsid w:val="003C2D68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E5055"/>
    <w:rsid w:val="003E6FB7"/>
    <w:rsid w:val="003F1078"/>
    <w:rsid w:val="003F3660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35CFA"/>
    <w:rsid w:val="00442372"/>
    <w:rsid w:val="00444CFD"/>
    <w:rsid w:val="004554A5"/>
    <w:rsid w:val="0045718A"/>
    <w:rsid w:val="004669B8"/>
    <w:rsid w:val="00467EB8"/>
    <w:rsid w:val="00470EAF"/>
    <w:rsid w:val="00471621"/>
    <w:rsid w:val="00473011"/>
    <w:rsid w:val="00474E24"/>
    <w:rsid w:val="0048327E"/>
    <w:rsid w:val="00484775"/>
    <w:rsid w:val="004867AC"/>
    <w:rsid w:val="0048680A"/>
    <w:rsid w:val="00487574"/>
    <w:rsid w:val="00491BBA"/>
    <w:rsid w:val="00496C00"/>
    <w:rsid w:val="00497080"/>
    <w:rsid w:val="004A62A6"/>
    <w:rsid w:val="004A70B5"/>
    <w:rsid w:val="004A712F"/>
    <w:rsid w:val="004B0AC6"/>
    <w:rsid w:val="004B2DFD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05878"/>
    <w:rsid w:val="00510DAE"/>
    <w:rsid w:val="00511992"/>
    <w:rsid w:val="00520195"/>
    <w:rsid w:val="005241F0"/>
    <w:rsid w:val="00525173"/>
    <w:rsid w:val="00526388"/>
    <w:rsid w:val="00526C17"/>
    <w:rsid w:val="005275C4"/>
    <w:rsid w:val="00530A8E"/>
    <w:rsid w:val="00532AC5"/>
    <w:rsid w:val="00532AFB"/>
    <w:rsid w:val="00532CD7"/>
    <w:rsid w:val="00534113"/>
    <w:rsid w:val="00534523"/>
    <w:rsid w:val="00534E7A"/>
    <w:rsid w:val="00535D55"/>
    <w:rsid w:val="00545230"/>
    <w:rsid w:val="00550ADC"/>
    <w:rsid w:val="00550D9B"/>
    <w:rsid w:val="005525CA"/>
    <w:rsid w:val="00552F76"/>
    <w:rsid w:val="00553406"/>
    <w:rsid w:val="00556D9C"/>
    <w:rsid w:val="00557DAC"/>
    <w:rsid w:val="005604C0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87BCC"/>
    <w:rsid w:val="00591CEB"/>
    <w:rsid w:val="005930D9"/>
    <w:rsid w:val="00593BD5"/>
    <w:rsid w:val="005948EF"/>
    <w:rsid w:val="005962CC"/>
    <w:rsid w:val="00597B92"/>
    <w:rsid w:val="005A02C4"/>
    <w:rsid w:val="005A1286"/>
    <w:rsid w:val="005A517F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339B"/>
    <w:rsid w:val="005E39A8"/>
    <w:rsid w:val="005E4558"/>
    <w:rsid w:val="005F04A2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647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A9B"/>
    <w:rsid w:val="00673E42"/>
    <w:rsid w:val="006803B8"/>
    <w:rsid w:val="00681318"/>
    <w:rsid w:val="0068283F"/>
    <w:rsid w:val="00690BDD"/>
    <w:rsid w:val="006913C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D7ECA"/>
    <w:rsid w:val="006E0282"/>
    <w:rsid w:val="006E1B7B"/>
    <w:rsid w:val="006E1DEF"/>
    <w:rsid w:val="006E21E7"/>
    <w:rsid w:val="006E2B98"/>
    <w:rsid w:val="006E4FB2"/>
    <w:rsid w:val="006E6D0B"/>
    <w:rsid w:val="006F12ED"/>
    <w:rsid w:val="006F7B0D"/>
    <w:rsid w:val="00700978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27EF9"/>
    <w:rsid w:val="00730EC5"/>
    <w:rsid w:val="00733040"/>
    <w:rsid w:val="00736396"/>
    <w:rsid w:val="007371FA"/>
    <w:rsid w:val="00737F74"/>
    <w:rsid w:val="00742407"/>
    <w:rsid w:val="00755AD5"/>
    <w:rsid w:val="00765C89"/>
    <w:rsid w:val="00766C3D"/>
    <w:rsid w:val="00766E86"/>
    <w:rsid w:val="00767C40"/>
    <w:rsid w:val="007708ED"/>
    <w:rsid w:val="007741AF"/>
    <w:rsid w:val="007771AD"/>
    <w:rsid w:val="0077743D"/>
    <w:rsid w:val="00777C93"/>
    <w:rsid w:val="007854E8"/>
    <w:rsid w:val="00790543"/>
    <w:rsid w:val="0079054B"/>
    <w:rsid w:val="0079250B"/>
    <w:rsid w:val="00792A40"/>
    <w:rsid w:val="00793B03"/>
    <w:rsid w:val="00794385"/>
    <w:rsid w:val="00795A5A"/>
    <w:rsid w:val="00796034"/>
    <w:rsid w:val="007A121E"/>
    <w:rsid w:val="007A4191"/>
    <w:rsid w:val="007A76E2"/>
    <w:rsid w:val="007B3035"/>
    <w:rsid w:val="007B4161"/>
    <w:rsid w:val="007B5F64"/>
    <w:rsid w:val="007B63AB"/>
    <w:rsid w:val="007B6660"/>
    <w:rsid w:val="007C5820"/>
    <w:rsid w:val="007C68C9"/>
    <w:rsid w:val="007C76BD"/>
    <w:rsid w:val="007D4FA9"/>
    <w:rsid w:val="007D75CB"/>
    <w:rsid w:val="007D7B56"/>
    <w:rsid w:val="007E0DBD"/>
    <w:rsid w:val="007E2631"/>
    <w:rsid w:val="007E2C7E"/>
    <w:rsid w:val="007E5972"/>
    <w:rsid w:val="007E68C0"/>
    <w:rsid w:val="00801740"/>
    <w:rsid w:val="00801BA4"/>
    <w:rsid w:val="0080210F"/>
    <w:rsid w:val="00802C7E"/>
    <w:rsid w:val="00803493"/>
    <w:rsid w:val="0080530A"/>
    <w:rsid w:val="00805BE6"/>
    <w:rsid w:val="00805FA0"/>
    <w:rsid w:val="008135B4"/>
    <w:rsid w:val="00817619"/>
    <w:rsid w:val="0082034F"/>
    <w:rsid w:val="008210C8"/>
    <w:rsid w:val="00821A94"/>
    <w:rsid w:val="008247C4"/>
    <w:rsid w:val="0082770C"/>
    <w:rsid w:val="00834E6B"/>
    <w:rsid w:val="00835CE3"/>
    <w:rsid w:val="008435F0"/>
    <w:rsid w:val="00843972"/>
    <w:rsid w:val="00845810"/>
    <w:rsid w:val="00845B47"/>
    <w:rsid w:val="00851F78"/>
    <w:rsid w:val="00853BD3"/>
    <w:rsid w:val="008548F1"/>
    <w:rsid w:val="008601F4"/>
    <w:rsid w:val="008620F0"/>
    <w:rsid w:val="00862626"/>
    <w:rsid w:val="00866FEE"/>
    <w:rsid w:val="00871AE4"/>
    <w:rsid w:val="00872CE5"/>
    <w:rsid w:val="00872F22"/>
    <w:rsid w:val="00874480"/>
    <w:rsid w:val="008757CE"/>
    <w:rsid w:val="00876E72"/>
    <w:rsid w:val="00886550"/>
    <w:rsid w:val="008902DA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1E1"/>
    <w:rsid w:val="008F0210"/>
    <w:rsid w:val="008F2013"/>
    <w:rsid w:val="008F3F20"/>
    <w:rsid w:val="008F5EB6"/>
    <w:rsid w:val="008F602B"/>
    <w:rsid w:val="008F6848"/>
    <w:rsid w:val="008F6979"/>
    <w:rsid w:val="008F73B3"/>
    <w:rsid w:val="008F7780"/>
    <w:rsid w:val="008F7EF3"/>
    <w:rsid w:val="00905493"/>
    <w:rsid w:val="00912349"/>
    <w:rsid w:val="0091294F"/>
    <w:rsid w:val="00912DF3"/>
    <w:rsid w:val="009145E4"/>
    <w:rsid w:val="00916F16"/>
    <w:rsid w:val="00917269"/>
    <w:rsid w:val="00922188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45A7"/>
    <w:rsid w:val="009466A6"/>
    <w:rsid w:val="009468B6"/>
    <w:rsid w:val="0095070F"/>
    <w:rsid w:val="009507F2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0DC6"/>
    <w:rsid w:val="009B271F"/>
    <w:rsid w:val="009B3B57"/>
    <w:rsid w:val="009B4B28"/>
    <w:rsid w:val="009B6193"/>
    <w:rsid w:val="009C1299"/>
    <w:rsid w:val="009C6A78"/>
    <w:rsid w:val="009C7262"/>
    <w:rsid w:val="009D03B7"/>
    <w:rsid w:val="009D2078"/>
    <w:rsid w:val="009E0D70"/>
    <w:rsid w:val="009E5EB9"/>
    <w:rsid w:val="009F0E21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14ACA"/>
    <w:rsid w:val="00A17077"/>
    <w:rsid w:val="00A20B30"/>
    <w:rsid w:val="00A24DD5"/>
    <w:rsid w:val="00A25F3A"/>
    <w:rsid w:val="00A27BA8"/>
    <w:rsid w:val="00A30A34"/>
    <w:rsid w:val="00A3253C"/>
    <w:rsid w:val="00A3778C"/>
    <w:rsid w:val="00A407F3"/>
    <w:rsid w:val="00A45655"/>
    <w:rsid w:val="00A472DE"/>
    <w:rsid w:val="00A47FBC"/>
    <w:rsid w:val="00A5282A"/>
    <w:rsid w:val="00A540B2"/>
    <w:rsid w:val="00A57B14"/>
    <w:rsid w:val="00A65313"/>
    <w:rsid w:val="00A65A4D"/>
    <w:rsid w:val="00A72BED"/>
    <w:rsid w:val="00A73820"/>
    <w:rsid w:val="00A752F4"/>
    <w:rsid w:val="00A80734"/>
    <w:rsid w:val="00A81382"/>
    <w:rsid w:val="00A832D0"/>
    <w:rsid w:val="00A836B9"/>
    <w:rsid w:val="00A83CAE"/>
    <w:rsid w:val="00A861EE"/>
    <w:rsid w:val="00A909D8"/>
    <w:rsid w:val="00A91D1F"/>
    <w:rsid w:val="00A95548"/>
    <w:rsid w:val="00A9588A"/>
    <w:rsid w:val="00AA1B28"/>
    <w:rsid w:val="00AA3F46"/>
    <w:rsid w:val="00AA50EE"/>
    <w:rsid w:val="00AB4F31"/>
    <w:rsid w:val="00AC1BD0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744"/>
    <w:rsid w:val="00AF6B91"/>
    <w:rsid w:val="00AF72D9"/>
    <w:rsid w:val="00B0003E"/>
    <w:rsid w:val="00B00518"/>
    <w:rsid w:val="00B072D2"/>
    <w:rsid w:val="00B1098C"/>
    <w:rsid w:val="00B13AEA"/>
    <w:rsid w:val="00B1574C"/>
    <w:rsid w:val="00B15995"/>
    <w:rsid w:val="00B170AC"/>
    <w:rsid w:val="00B17473"/>
    <w:rsid w:val="00B2289B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4575"/>
    <w:rsid w:val="00B85E8E"/>
    <w:rsid w:val="00B85FED"/>
    <w:rsid w:val="00B946CB"/>
    <w:rsid w:val="00B94A02"/>
    <w:rsid w:val="00B94D10"/>
    <w:rsid w:val="00B95E0B"/>
    <w:rsid w:val="00BA0FB9"/>
    <w:rsid w:val="00BA5BE3"/>
    <w:rsid w:val="00BA5EE2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3EF9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94701"/>
    <w:rsid w:val="00CA1DEE"/>
    <w:rsid w:val="00CA47C6"/>
    <w:rsid w:val="00CB3215"/>
    <w:rsid w:val="00CB3E88"/>
    <w:rsid w:val="00CB427F"/>
    <w:rsid w:val="00CC29FA"/>
    <w:rsid w:val="00CC32DC"/>
    <w:rsid w:val="00CC3E37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043E1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958E4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37F3"/>
    <w:rsid w:val="00DD4465"/>
    <w:rsid w:val="00DD5852"/>
    <w:rsid w:val="00DD6A7A"/>
    <w:rsid w:val="00DD78CE"/>
    <w:rsid w:val="00DE018E"/>
    <w:rsid w:val="00DE1210"/>
    <w:rsid w:val="00DE35F2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EAB"/>
    <w:rsid w:val="00E27F28"/>
    <w:rsid w:val="00E3740A"/>
    <w:rsid w:val="00E43CB2"/>
    <w:rsid w:val="00E46234"/>
    <w:rsid w:val="00E46E69"/>
    <w:rsid w:val="00E510CC"/>
    <w:rsid w:val="00E51DDC"/>
    <w:rsid w:val="00E5694E"/>
    <w:rsid w:val="00E5797E"/>
    <w:rsid w:val="00E61511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512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B716A"/>
    <w:rsid w:val="00EC296E"/>
    <w:rsid w:val="00ED09DF"/>
    <w:rsid w:val="00ED41E1"/>
    <w:rsid w:val="00ED6D59"/>
    <w:rsid w:val="00EE0C12"/>
    <w:rsid w:val="00EE351C"/>
    <w:rsid w:val="00EF1AA4"/>
    <w:rsid w:val="00EF5115"/>
    <w:rsid w:val="00EF6B93"/>
    <w:rsid w:val="00EF771E"/>
    <w:rsid w:val="00F04031"/>
    <w:rsid w:val="00F046C5"/>
    <w:rsid w:val="00F0659D"/>
    <w:rsid w:val="00F1213F"/>
    <w:rsid w:val="00F122E2"/>
    <w:rsid w:val="00F20225"/>
    <w:rsid w:val="00F233E1"/>
    <w:rsid w:val="00F253B3"/>
    <w:rsid w:val="00F25B2F"/>
    <w:rsid w:val="00F26AD9"/>
    <w:rsid w:val="00F27152"/>
    <w:rsid w:val="00F2779E"/>
    <w:rsid w:val="00F31DE0"/>
    <w:rsid w:val="00F326FE"/>
    <w:rsid w:val="00F34976"/>
    <w:rsid w:val="00F35183"/>
    <w:rsid w:val="00F36C92"/>
    <w:rsid w:val="00F42CA9"/>
    <w:rsid w:val="00F4711A"/>
    <w:rsid w:val="00F529CD"/>
    <w:rsid w:val="00F532FA"/>
    <w:rsid w:val="00F53F96"/>
    <w:rsid w:val="00F54000"/>
    <w:rsid w:val="00F620A4"/>
    <w:rsid w:val="00F6259B"/>
    <w:rsid w:val="00F62CF1"/>
    <w:rsid w:val="00F63F69"/>
    <w:rsid w:val="00F64728"/>
    <w:rsid w:val="00F649EB"/>
    <w:rsid w:val="00F71A42"/>
    <w:rsid w:val="00F71D86"/>
    <w:rsid w:val="00F72932"/>
    <w:rsid w:val="00F773D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363"/>
    <w:rsid w:val="00FB65A3"/>
    <w:rsid w:val="00FC36A8"/>
    <w:rsid w:val="00FC4D2A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docId w15:val="{ED74B249-A7DF-45B4-B100-1016778B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0B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E340B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2E340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340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340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E340B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E340B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2E340B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E340B"/>
    <w:pPr>
      <w:keepNext/>
      <w:outlineLvl w:val="7"/>
    </w:pPr>
  </w:style>
  <w:style w:type="paragraph" w:styleId="Heading9">
    <w:name w:val="heading 9"/>
    <w:basedOn w:val="Normal"/>
    <w:next w:val="Normal"/>
    <w:qFormat/>
    <w:rsid w:val="002E340B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2E340B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2E340B"/>
  </w:style>
  <w:style w:type="paragraph" w:customStyle="1" w:styleId="Rom2">
    <w:name w:val="Rom2"/>
    <w:basedOn w:val="Normal"/>
    <w:rsid w:val="002E340B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2E340B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sid w:val="002E340B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2E340B"/>
  </w:style>
  <w:style w:type="character" w:styleId="PageNumber">
    <w:name w:val="page number"/>
    <w:basedOn w:val="DefaultParagraphFont"/>
    <w:rsid w:val="002E340B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2E340B"/>
  </w:style>
  <w:style w:type="character" w:styleId="EndnoteReference">
    <w:name w:val="endnote reference"/>
    <w:rsid w:val="002E340B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uiPriority w:val="3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SingleTxtG">
    <w:name w:val="_ Single Txt_G"/>
    <w:basedOn w:val="Normal"/>
    <w:link w:val="SingleTxtGChar"/>
    <w:qFormat/>
    <w:rsid w:val="00AA50EE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character" w:customStyle="1" w:styleId="SingleTxtGChar">
    <w:name w:val="_ Single Txt_G Char"/>
    <w:link w:val="SingleTxtG"/>
    <w:qFormat/>
    <w:rsid w:val="00AA50EE"/>
    <w:rPr>
      <w:lang w:val="en-GB" w:eastAsia="en-US"/>
    </w:rPr>
  </w:style>
  <w:style w:type="paragraph" w:customStyle="1" w:styleId="Plattetekst21">
    <w:name w:val="Platte tekst 21"/>
    <w:basedOn w:val="Normal"/>
    <w:rsid w:val="005604C0"/>
    <w:pPr>
      <w:tabs>
        <w:tab w:val="left" w:pos="-1698"/>
        <w:tab w:val="left" w:pos="-847"/>
        <w:tab w:val="left" w:pos="-340"/>
        <w:tab w:val="left" w:pos="0"/>
        <w:tab w:val="left" w:pos="284"/>
        <w:tab w:val="left" w:pos="454"/>
        <w:tab w:val="left" w:pos="680"/>
        <w:tab w:val="left" w:pos="851"/>
        <w:tab w:val="left" w:pos="1134"/>
        <w:tab w:val="left" w:pos="1418"/>
        <w:tab w:val="left" w:pos="1702"/>
        <w:tab w:val="left" w:pos="2410"/>
        <w:tab w:val="left" w:pos="2834"/>
        <w:tab w:val="left" w:pos="3402"/>
        <w:tab w:val="left" w:pos="3968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</w:tabs>
      <w:suppressAutoHyphens/>
      <w:overflowPunct w:val="0"/>
      <w:autoSpaceDE w:val="0"/>
      <w:autoSpaceDN w:val="0"/>
      <w:adjustRightInd w:val="0"/>
      <w:spacing w:after="0" w:line="226" w:lineRule="auto"/>
      <w:ind w:left="1134" w:hanging="1134"/>
      <w:textAlignment w:val="baseline"/>
    </w:pPr>
    <w:rPr>
      <w:sz w:val="2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E152-41BB-493A-930E-AE0F927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3</Pages>
  <Words>639</Words>
  <Characters>3644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Marie-Claude Collet</cp:lastModifiedBy>
  <cp:revision>2</cp:revision>
  <cp:lastPrinted>2019-06-17T08:13:00Z</cp:lastPrinted>
  <dcterms:created xsi:type="dcterms:W3CDTF">2019-06-17T10:27:00Z</dcterms:created>
  <dcterms:modified xsi:type="dcterms:W3CDTF">2019-06-17T10:27:00Z</dcterms:modified>
</cp:coreProperties>
</file>