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62AD" w14:textId="77777777" w:rsidR="004F60A5" w:rsidRPr="00441B09" w:rsidRDefault="004F60A5" w:rsidP="0027147D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/>
        </w:rPr>
      </w:pPr>
      <w:bookmarkStart w:id="0" w:name="_GoBack"/>
      <w:bookmarkEnd w:id="0"/>
      <w:r w:rsidRPr="00441B09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3E406ACC" wp14:editId="484DDBD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B09">
        <w:rPr>
          <w:rFonts w:ascii="Arial" w:eastAsia="Arial" w:hAnsi="Arial" w:cs="Arial"/>
          <w:bCs/>
          <w:szCs w:val="24"/>
          <w:lang w:val="en-GB" w:eastAsia="de-DE"/>
        </w:rPr>
        <w:t>CCNR-ZKR/ADN/WP.15/AC.2/2019/</w:t>
      </w:r>
      <w:r w:rsidR="00C700B9" w:rsidRPr="00441B09">
        <w:rPr>
          <w:rFonts w:ascii="Arial" w:eastAsia="Arial" w:hAnsi="Arial" w:cs="Arial"/>
          <w:bCs/>
          <w:szCs w:val="24"/>
          <w:lang w:val="en-GB" w:eastAsia="de-DE"/>
        </w:rPr>
        <w:t>20</w:t>
      </w:r>
    </w:p>
    <w:p w14:paraId="31E453A6" w14:textId="77777777" w:rsidR="007363C1" w:rsidRPr="00441B09" w:rsidRDefault="007363C1" w:rsidP="007363C1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441B09">
        <w:rPr>
          <w:rFonts w:ascii="Arial" w:eastAsia="Arial" w:hAnsi="Arial" w:cs="Arial"/>
          <w:bCs/>
          <w:szCs w:val="24"/>
          <w:lang w:eastAsia="de-DE"/>
        </w:rPr>
        <w:t>Allgemeine Verteilung</w:t>
      </w:r>
    </w:p>
    <w:p w14:paraId="1F69E81D" w14:textId="77777777" w:rsidR="004F60A5" w:rsidRPr="00441B09" w:rsidRDefault="00C700B9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firstLine="0"/>
        <w:jc w:val="left"/>
        <w:textAlignment w:val="auto"/>
        <w:rPr>
          <w:rFonts w:ascii="Arial" w:eastAsia="Arial" w:hAnsi="Arial" w:cs="Arial"/>
          <w:szCs w:val="24"/>
          <w:lang w:eastAsia="de-DE"/>
        </w:rPr>
      </w:pPr>
      <w:r w:rsidRPr="00441B09">
        <w:rPr>
          <w:rFonts w:ascii="Arial" w:eastAsia="Arial" w:hAnsi="Arial" w:cs="Arial"/>
          <w:szCs w:val="24"/>
          <w:lang w:eastAsia="de-DE"/>
        </w:rPr>
        <w:t>7</w:t>
      </w:r>
      <w:r w:rsidR="004F60A5" w:rsidRPr="00441B09">
        <w:rPr>
          <w:rFonts w:ascii="Arial" w:eastAsia="Arial" w:hAnsi="Arial" w:cs="Arial"/>
          <w:szCs w:val="24"/>
          <w:lang w:eastAsia="de-DE"/>
        </w:rPr>
        <w:t xml:space="preserve">. </w:t>
      </w:r>
      <w:r w:rsidRPr="00441B09">
        <w:rPr>
          <w:rFonts w:ascii="Arial" w:eastAsia="Arial" w:hAnsi="Arial" w:cs="Arial"/>
          <w:szCs w:val="24"/>
          <w:lang w:eastAsia="de-DE"/>
        </w:rPr>
        <w:t>Juni</w:t>
      </w:r>
      <w:r w:rsidR="004F60A5" w:rsidRPr="00441B09">
        <w:rPr>
          <w:rFonts w:ascii="Arial" w:eastAsia="Arial" w:hAnsi="Arial" w:cs="Arial"/>
          <w:szCs w:val="24"/>
          <w:lang w:eastAsia="de-DE"/>
        </w:rPr>
        <w:t xml:space="preserve"> 201</w:t>
      </w:r>
      <w:r w:rsidRPr="00441B09">
        <w:rPr>
          <w:rFonts w:ascii="Arial" w:eastAsia="Arial" w:hAnsi="Arial" w:cs="Arial"/>
          <w:szCs w:val="24"/>
          <w:lang w:eastAsia="de-DE"/>
        </w:rPr>
        <w:t>9</w:t>
      </w:r>
    </w:p>
    <w:p w14:paraId="3CFA6E16" w14:textId="77777777" w:rsidR="004F60A5" w:rsidRPr="00441B09" w:rsidRDefault="008048EC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right="565" w:firstLine="0"/>
        <w:jc w:val="left"/>
        <w:textAlignment w:val="auto"/>
        <w:rPr>
          <w:rFonts w:ascii="Arial" w:hAnsi="Arial" w:cs="Arial"/>
          <w:sz w:val="16"/>
          <w:szCs w:val="24"/>
        </w:rPr>
      </w:pPr>
      <w:proofErr w:type="spellStart"/>
      <w:r w:rsidRPr="00441B09">
        <w:rPr>
          <w:rFonts w:ascii="Arial" w:eastAsia="Arial" w:hAnsi="Arial" w:cs="Arial"/>
          <w:sz w:val="16"/>
          <w:szCs w:val="24"/>
        </w:rPr>
        <w:t>Or</w:t>
      </w:r>
      <w:proofErr w:type="spellEnd"/>
      <w:r w:rsidRPr="00441B09">
        <w:rPr>
          <w:rFonts w:ascii="Arial" w:eastAsia="Arial" w:hAnsi="Arial" w:cs="Arial"/>
          <w:sz w:val="16"/>
          <w:szCs w:val="24"/>
        </w:rPr>
        <w:t xml:space="preserve">. </w:t>
      </w:r>
      <w:r w:rsidR="00C700B9" w:rsidRPr="00441B09">
        <w:rPr>
          <w:rFonts w:ascii="Arial" w:eastAsia="Arial" w:hAnsi="Arial" w:cs="Arial"/>
          <w:sz w:val="16"/>
          <w:szCs w:val="24"/>
        </w:rPr>
        <w:t>FRANZÖSISCH</w:t>
      </w:r>
    </w:p>
    <w:p w14:paraId="6E5E1BC1" w14:textId="77777777" w:rsidR="004F60A5" w:rsidRPr="00441B09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2B5BAC2F" w14:textId="77777777" w:rsidR="004F60A5" w:rsidRPr="00441B09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6E93E4B" w14:textId="77777777" w:rsidR="00C700B9" w:rsidRPr="00441B09" w:rsidRDefault="00C700B9" w:rsidP="00345C7B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41B09">
        <w:rPr>
          <w:rFonts w:ascii="Arial" w:hAnsi="Arial"/>
          <w:noProof/>
          <w:snapToGrid w:val="0"/>
          <w:sz w:val="16"/>
          <w:szCs w:val="24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6D07BE6D" w14:textId="77777777" w:rsidR="00C700B9" w:rsidRPr="00441B09" w:rsidRDefault="00C700B9" w:rsidP="00C700B9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41B09">
        <w:rPr>
          <w:rFonts w:ascii="Arial" w:hAnsi="Arial"/>
          <w:noProof/>
          <w:snapToGrid w:val="0"/>
          <w:sz w:val="16"/>
          <w:szCs w:val="24"/>
        </w:rPr>
        <w:t>(35. Tagung, Genf, 26.-30. August 2019)</w:t>
      </w:r>
    </w:p>
    <w:p w14:paraId="5D214D1D" w14:textId="77777777" w:rsidR="00C700B9" w:rsidRPr="00441B09" w:rsidRDefault="00C700B9" w:rsidP="00C700B9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41B09">
        <w:rPr>
          <w:rFonts w:ascii="Arial" w:hAnsi="Arial"/>
          <w:noProof/>
          <w:snapToGrid w:val="0"/>
          <w:sz w:val="16"/>
          <w:szCs w:val="24"/>
        </w:rPr>
        <w:t xml:space="preserve">Punkt </w:t>
      </w:r>
      <w:r w:rsidR="007C13F7" w:rsidRPr="00441B09">
        <w:rPr>
          <w:rFonts w:ascii="Arial" w:hAnsi="Arial"/>
          <w:noProof/>
          <w:snapToGrid w:val="0"/>
          <w:sz w:val="16"/>
          <w:szCs w:val="24"/>
        </w:rPr>
        <w:t>3 c</w:t>
      </w:r>
      <w:r w:rsidRPr="00441B09">
        <w:rPr>
          <w:rFonts w:ascii="Arial" w:hAnsi="Arial"/>
          <w:noProof/>
          <w:snapToGrid w:val="0"/>
          <w:sz w:val="16"/>
          <w:szCs w:val="24"/>
        </w:rPr>
        <w:t xml:space="preserve">) </w:t>
      </w:r>
      <w:r w:rsidR="00345C7B" w:rsidRPr="00441B09">
        <w:rPr>
          <w:rFonts w:ascii="Arial" w:hAnsi="Arial"/>
          <w:noProof/>
          <w:snapToGrid w:val="0"/>
          <w:sz w:val="16"/>
          <w:szCs w:val="24"/>
        </w:rPr>
        <w:t>der</w:t>
      </w:r>
      <w:r w:rsidRPr="00441B09">
        <w:rPr>
          <w:rFonts w:ascii="Arial" w:hAnsi="Arial"/>
          <w:noProof/>
          <w:snapToGrid w:val="0"/>
          <w:sz w:val="16"/>
          <w:szCs w:val="24"/>
        </w:rPr>
        <w:t xml:space="preserve"> vorläufigen Tagesordnung</w:t>
      </w:r>
    </w:p>
    <w:p w14:paraId="61983291" w14:textId="77777777" w:rsidR="004F60A5" w:rsidRPr="00441B09" w:rsidRDefault="00FE4D6D" w:rsidP="00C854BD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 w:cs="Arial"/>
          <w:b/>
          <w:sz w:val="16"/>
          <w:szCs w:val="16"/>
          <w:lang w:eastAsia="en-US"/>
        </w:rPr>
      </w:pPr>
      <w:r w:rsidRPr="00441B09">
        <w:rPr>
          <w:rFonts w:ascii="Arial" w:hAnsi="Arial" w:cs="Arial"/>
          <w:b/>
          <w:sz w:val="16"/>
          <w:szCs w:val="16"/>
          <w:lang w:eastAsia="en-US"/>
        </w:rPr>
        <w:t>Durchführung des Europäischen Übereinkommens über die internationale Beförderung von gefährlichen Gütern auf Binnenwasserstraßen (ADN): Auslegung der dem ADN beigefügten Verordnung</w:t>
      </w:r>
    </w:p>
    <w:p w14:paraId="26D8C722" w14:textId="77777777" w:rsidR="007C13F7" w:rsidRPr="00441B09" w:rsidRDefault="008048EC" w:rsidP="007C13F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567"/>
        <w:textAlignment w:val="auto"/>
        <w:rPr>
          <w:b/>
          <w:sz w:val="28"/>
          <w:lang w:eastAsia="en-US"/>
        </w:rPr>
      </w:pPr>
      <w:r w:rsidRPr="00441B09">
        <w:tab/>
      </w:r>
      <w:r w:rsidR="001C1D5A" w:rsidRPr="00441B09">
        <w:tab/>
      </w:r>
      <w:r w:rsidR="007C13F7" w:rsidRPr="00441B09">
        <w:rPr>
          <w:b/>
          <w:sz w:val="28"/>
          <w:lang w:eastAsia="en-US"/>
        </w:rPr>
        <w:t xml:space="preserve">Feuerlöscheinrichtung an Bord eines Verbandes (schiebendes Fahrzeug oder nicht motorisierter Leichter) oder an Bord eines einzelnen (nicht motorisierten) </w:t>
      </w:r>
      <w:proofErr w:type="spellStart"/>
      <w:r w:rsidR="007C13F7" w:rsidRPr="00441B09">
        <w:rPr>
          <w:b/>
          <w:sz w:val="28"/>
          <w:lang w:eastAsia="en-US"/>
        </w:rPr>
        <w:t>Leichters</w:t>
      </w:r>
      <w:proofErr w:type="spellEnd"/>
    </w:p>
    <w:p w14:paraId="655C30C0" w14:textId="77777777" w:rsidR="007C13F7" w:rsidRPr="007C13F7" w:rsidRDefault="001C1D5A" w:rsidP="007C13F7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bCs/>
          <w:vertAlign w:val="superscript"/>
          <w:lang w:eastAsia="en-US"/>
        </w:rPr>
      </w:pPr>
      <w:r w:rsidRPr="00441B09">
        <w:rPr>
          <w:b/>
          <w:sz w:val="24"/>
          <w:lang w:eastAsia="en-US"/>
        </w:rPr>
        <w:t xml:space="preserve">Eingereicht von </w:t>
      </w:r>
      <w:r w:rsidR="00C700B9" w:rsidRPr="00441B09">
        <w:rPr>
          <w:b/>
          <w:sz w:val="24"/>
          <w:lang w:eastAsia="en-US"/>
        </w:rPr>
        <w:t>Frankreich</w:t>
      </w:r>
      <w:proofErr w:type="gramStart"/>
      <w:r w:rsidR="007C13F7" w:rsidRPr="00441B09">
        <w:rPr>
          <w:b/>
          <w:bCs/>
          <w:vertAlign w:val="superscript"/>
          <w:lang w:eastAsia="en-US"/>
        </w:rPr>
        <w:footnoteReference w:customMarkFollows="1" w:id="1"/>
        <w:t>*,</w:t>
      </w:r>
      <w:r w:rsidR="007C13F7" w:rsidRPr="00441B09">
        <w:rPr>
          <w:b/>
          <w:bCs/>
          <w:vertAlign w:val="superscript"/>
          <w:lang w:eastAsia="en-US"/>
        </w:rPr>
        <w:footnoteReference w:customMarkFollows="1" w:id="2"/>
        <w:t>*</w:t>
      </w:r>
      <w:proofErr w:type="gramEnd"/>
      <w:r w:rsidR="007C13F7" w:rsidRPr="00441B09">
        <w:rPr>
          <w:b/>
          <w:bCs/>
          <w:vertAlign w:val="superscript"/>
          <w:lang w:eastAsia="en-US"/>
        </w:rPr>
        <w:t>*</w:t>
      </w:r>
    </w:p>
    <w:p w14:paraId="1CC727F1" w14:textId="77777777" w:rsidR="00C700B9" w:rsidRPr="00C700B9" w:rsidRDefault="00C700B9" w:rsidP="00C700B9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lang w:val="fr-CH"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C700B9" w:rsidRPr="00441B09" w14:paraId="07955374" w14:textId="77777777" w:rsidTr="00525F55">
        <w:trPr>
          <w:jc w:val="center"/>
        </w:trPr>
        <w:tc>
          <w:tcPr>
            <w:tcW w:w="2330" w:type="dxa"/>
            <w:tcBorders>
              <w:bottom w:val="nil"/>
            </w:tcBorders>
          </w:tcPr>
          <w:p w14:paraId="1F541B80" w14:textId="77777777" w:rsidR="00C700B9" w:rsidRPr="00441B09" w:rsidRDefault="007C13F7" w:rsidP="00C700B9">
            <w:pPr>
              <w:tabs>
                <w:tab w:val="left" w:pos="284"/>
              </w:tabs>
              <w:spacing w:before="120" w:after="120"/>
              <w:rPr>
                <w:i/>
                <w:lang w:val="fr-FR"/>
              </w:rPr>
            </w:pPr>
            <w:bookmarkStart w:id="1" w:name="_Hlk515009299"/>
            <w:proofErr w:type="spellStart"/>
            <w:r w:rsidRPr="00441B09">
              <w:rPr>
                <w:i/>
                <w:sz w:val="24"/>
                <w:szCs w:val="24"/>
                <w:lang w:val="fr-FR"/>
              </w:rPr>
              <w:t>Zusammenfassung</w:t>
            </w:r>
            <w:proofErr w:type="spellEnd"/>
          </w:p>
        </w:tc>
        <w:tc>
          <w:tcPr>
            <w:tcW w:w="7309" w:type="dxa"/>
            <w:tcBorders>
              <w:bottom w:val="nil"/>
            </w:tcBorders>
          </w:tcPr>
          <w:p w14:paraId="78AFB3E5" w14:textId="77777777" w:rsidR="00C700B9" w:rsidRPr="00441B09" w:rsidRDefault="00C700B9" w:rsidP="00C700B9">
            <w:pPr>
              <w:spacing w:before="120" w:after="120"/>
              <w:rPr>
                <w:lang w:val="fr-FR"/>
              </w:rPr>
            </w:pPr>
          </w:p>
        </w:tc>
      </w:tr>
      <w:tr w:rsidR="00C700B9" w:rsidRPr="00441B09" w14:paraId="54FF9A14" w14:textId="77777777" w:rsidTr="00525F55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14:paraId="06AF34FA" w14:textId="77777777" w:rsidR="00C700B9" w:rsidRPr="00441B09" w:rsidRDefault="007C13F7" w:rsidP="00C700B9">
            <w:pPr>
              <w:spacing w:before="40" w:after="120"/>
              <w:ind w:left="0" w:firstLine="0"/>
              <w:jc w:val="left"/>
              <w:rPr>
                <w:b/>
                <w:lang w:val="fr-FR"/>
              </w:rPr>
            </w:pPr>
            <w:proofErr w:type="spellStart"/>
            <w:r w:rsidRPr="00441B09">
              <w:rPr>
                <w:b/>
                <w:lang w:val="fr-FR"/>
              </w:rPr>
              <w:t>Analytische</w:t>
            </w:r>
            <w:proofErr w:type="spellEnd"/>
            <w:r w:rsidRPr="00441B09"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 w:rsidRPr="00441B09">
              <w:rPr>
                <w:b/>
                <w:lang w:val="fr-FR"/>
              </w:rPr>
              <w:t>Zusammenfassung</w:t>
            </w:r>
            <w:proofErr w:type="spellEnd"/>
            <w:r w:rsidRPr="00441B09">
              <w:rPr>
                <w:b/>
                <w:lang w:val="fr-FR"/>
              </w:rPr>
              <w:t>:</w:t>
            </w:r>
            <w:proofErr w:type="gramEnd"/>
          </w:p>
        </w:tc>
        <w:tc>
          <w:tcPr>
            <w:tcW w:w="7309" w:type="dxa"/>
            <w:tcBorders>
              <w:top w:val="nil"/>
              <w:bottom w:val="nil"/>
            </w:tcBorders>
            <w:shd w:val="clear" w:color="auto" w:fill="auto"/>
          </w:tcPr>
          <w:p w14:paraId="0A901844" w14:textId="77777777" w:rsidR="00C700B9" w:rsidRPr="00441B09" w:rsidRDefault="00525F55" w:rsidP="00525F55">
            <w:pPr>
              <w:widowControl/>
              <w:overflowPunct/>
              <w:spacing w:before="40" w:after="120"/>
              <w:ind w:left="0" w:firstLine="0"/>
              <w:jc w:val="left"/>
              <w:textAlignment w:val="auto"/>
              <w:rPr>
                <w:rFonts w:cs="Arial"/>
                <w:lang w:val="fr-FR"/>
              </w:rPr>
            </w:pPr>
            <w:r w:rsidRPr="00441B09">
              <w:rPr>
                <w:lang w:eastAsia="en-US"/>
              </w:rPr>
              <w:t xml:space="preserve">Dieses Dokument </w:t>
            </w:r>
            <w:r w:rsidR="00D3035F" w:rsidRPr="00441B09">
              <w:rPr>
                <w:lang w:eastAsia="en-US"/>
              </w:rPr>
              <w:t>behandelt</w:t>
            </w:r>
            <w:r w:rsidRPr="00441B09">
              <w:rPr>
                <w:lang w:eastAsia="en-US"/>
              </w:rPr>
              <w:t xml:space="preserve"> das weitere Vorgehen in Bezug auf Dokument ECE/TRANS/WP.15/AC.2/2018/33, das auf der 33. Tagung vorgelegt wurde.</w:t>
            </w:r>
          </w:p>
        </w:tc>
      </w:tr>
      <w:tr w:rsidR="00C700B9" w:rsidRPr="00441B09" w14:paraId="36C072E6" w14:textId="77777777" w:rsidTr="00525F55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14:paraId="6CC6E600" w14:textId="77777777" w:rsidR="00C700B9" w:rsidRPr="00441B09" w:rsidRDefault="007C13F7" w:rsidP="00C700B9">
            <w:pPr>
              <w:spacing w:before="40" w:after="120"/>
              <w:ind w:left="0" w:firstLine="0"/>
              <w:jc w:val="left"/>
              <w:rPr>
                <w:b/>
                <w:lang w:val="fr-FR"/>
              </w:rPr>
            </w:pPr>
            <w:proofErr w:type="spellStart"/>
            <w:r w:rsidRPr="00441B09">
              <w:rPr>
                <w:b/>
                <w:lang w:val="fr-FR"/>
              </w:rPr>
              <w:t>Zu</w:t>
            </w:r>
            <w:proofErr w:type="spellEnd"/>
            <w:r w:rsidRPr="00441B09">
              <w:rPr>
                <w:b/>
                <w:lang w:val="fr-FR"/>
              </w:rPr>
              <w:t xml:space="preserve"> </w:t>
            </w:r>
            <w:proofErr w:type="spellStart"/>
            <w:r w:rsidRPr="00441B09">
              <w:rPr>
                <w:b/>
                <w:lang w:val="fr-FR"/>
              </w:rPr>
              <w:t>ergreifende</w:t>
            </w:r>
            <w:proofErr w:type="spellEnd"/>
            <w:r w:rsidRPr="00441B09"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 w:rsidRPr="00441B09">
              <w:rPr>
                <w:b/>
                <w:lang w:val="fr-FR"/>
              </w:rPr>
              <w:t>Maßnahme</w:t>
            </w:r>
            <w:proofErr w:type="spellEnd"/>
            <w:r w:rsidR="00C700B9" w:rsidRPr="00441B09">
              <w:rPr>
                <w:b/>
                <w:lang w:val="fr-FR"/>
              </w:rPr>
              <w:t>:</w:t>
            </w:r>
            <w:proofErr w:type="gramEnd"/>
          </w:p>
        </w:tc>
        <w:tc>
          <w:tcPr>
            <w:tcW w:w="7309" w:type="dxa"/>
            <w:tcBorders>
              <w:top w:val="nil"/>
              <w:bottom w:val="nil"/>
            </w:tcBorders>
            <w:shd w:val="clear" w:color="auto" w:fill="auto"/>
          </w:tcPr>
          <w:p w14:paraId="25728E0E" w14:textId="77777777" w:rsidR="00C700B9" w:rsidRPr="00441B09" w:rsidRDefault="007C13F7" w:rsidP="00C700B9">
            <w:pPr>
              <w:spacing w:before="40" w:after="120"/>
              <w:ind w:left="11" w:firstLine="0"/>
              <w:rPr>
                <w:lang w:val="fr-FR"/>
              </w:rPr>
            </w:pPr>
            <w:proofErr w:type="spellStart"/>
            <w:r w:rsidRPr="00441B09">
              <w:rPr>
                <w:lang w:val="fr-FR" w:eastAsia="en-US"/>
              </w:rPr>
              <w:t>Siehe</w:t>
            </w:r>
            <w:proofErr w:type="spellEnd"/>
            <w:r w:rsidRPr="00441B09">
              <w:rPr>
                <w:lang w:val="fr-FR" w:eastAsia="en-US"/>
              </w:rPr>
              <w:t xml:space="preserve"> </w:t>
            </w:r>
            <w:proofErr w:type="spellStart"/>
            <w:r w:rsidRPr="00441B09">
              <w:rPr>
                <w:lang w:val="fr-FR" w:eastAsia="en-US"/>
              </w:rPr>
              <w:t>Absatz</w:t>
            </w:r>
            <w:proofErr w:type="spellEnd"/>
            <w:r w:rsidR="00C700B9" w:rsidRPr="00441B09">
              <w:rPr>
                <w:lang w:val="fr-FR" w:eastAsia="en-US"/>
              </w:rPr>
              <w:t xml:space="preserve"> 6</w:t>
            </w:r>
          </w:p>
        </w:tc>
      </w:tr>
      <w:tr w:rsidR="00C700B9" w:rsidRPr="00441B09" w14:paraId="0ACDEDED" w14:textId="77777777" w:rsidTr="00525F55">
        <w:trPr>
          <w:jc w:val="center"/>
        </w:trPr>
        <w:tc>
          <w:tcPr>
            <w:tcW w:w="2330" w:type="dxa"/>
            <w:tcBorders>
              <w:top w:val="nil"/>
            </w:tcBorders>
          </w:tcPr>
          <w:p w14:paraId="1004A3CB" w14:textId="77777777" w:rsidR="00C700B9" w:rsidRPr="00441B09" w:rsidRDefault="007C13F7" w:rsidP="00C700B9">
            <w:pPr>
              <w:tabs>
                <w:tab w:val="left" w:pos="284"/>
              </w:tabs>
              <w:spacing w:before="40" w:after="120"/>
              <w:ind w:left="0" w:firstLine="0"/>
              <w:jc w:val="left"/>
              <w:rPr>
                <w:b/>
                <w:lang w:val="fr-FR"/>
              </w:rPr>
            </w:pPr>
            <w:proofErr w:type="spellStart"/>
            <w:r w:rsidRPr="00441B09">
              <w:rPr>
                <w:b/>
                <w:lang w:val="fr-FR"/>
              </w:rPr>
              <w:t>Verbundene</w:t>
            </w:r>
            <w:proofErr w:type="spellEnd"/>
            <w:r w:rsidRPr="00441B09"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 w:rsidRPr="00441B09">
              <w:rPr>
                <w:b/>
                <w:lang w:val="fr-FR"/>
              </w:rPr>
              <w:t>Dokumente</w:t>
            </w:r>
            <w:proofErr w:type="spellEnd"/>
            <w:r w:rsidR="00C700B9" w:rsidRPr="00441B09">
              <w:rPr>
                <w:b/>
                <w:lang w:val="fr-FR"/>
              </w:rPr>
              <w:t>:</w:t>
            </w:r>
            <w:proofErr w:type="gramEnd"/>
          </w:p>
        </w:tc>
        <w:tc>
          <w:tcPr>
            <w:tcW w:w="7309" w:type="dxa"/>
            <w:tcBorders>
              <w:top w:val="nil"/>
            </w:tcBorders>
          </w:tcPr>
          <w:p w14:paraId="1D0C6C1A" w14:textId="77777777" w:rsidR="00C700B9" w:rsidRPr="00441B09" w:rsidRDefault="00C700B9" w:rsidP="00C700B9">
            <w:pPr>
              <w:spacing w:before="40"/>
              <w:ind w:left="11" w:firstLine="0"/>
              <w:rPr>
                <w:lang w:eastAsia="de-DE"/>
              </w:rPr>
            </w:pPr>
            <w:r w:rsidRPr="00441B09">
              <w:rPr>
                <w:lang w:eastAsia="de-DE"/>
              </w:rPr>
              <w:t>ECE/TRANS/WP.15/AC.2/2018/33</w:t>
            </w:r>
          </w:p>
          <w:p w14:paraId="009BF49F" w14:textId="77777777" w:rsidR="00C700B9" w:rsidRPr="00441B09" w:rsidRDefault="007C13F7" w:rsidP="00C700B9">
            <w:pPr>
              <w:spacing w:before="40"/>
              <w:ind w:left="11" w:firstLine="0"/>
              <w:rPr>
                <w:lang w:eastAsia="de-DE"/>
              </w:rPr>
            </w:pPr>
            <w:r w:rsidRPr="00441B09">
              <w:rPr>
                <w:lang w:eastAsia="de-DE"/>
              </w:rPr>
              <w:t>Informelles Dokument</w:t>
            </w:r>
            <w:r w:rsidR="00C700B9" w:rsidRPr="00441B09">
              <w:rPr>
                <w:lang w:eastAsia="de-DE"/>
              </w:rPr>
              <w:t xml:space="preserve"> INF.7 </w:t>
            </w:r>
            <w:r w:rsidRPr="00441B09">
              <w:rPr>
                <w:lang w:eastAsia="de-DE"/>
              </w:rPr>
              <w:t>der 33. Sitzung</w:t>
            </w:r>
            <w:r w:rsidR="00C700B9" w:rsidRPr="00441B09">
              <w:rPr>
                <w:lang w:eastAsia="de-DE"/>
              </w:rPr>
              <w:t xml:space="preserve"> (</w:t>
            </w:r>
            <w:r w:rsidRPr="00441B09">
              <w:rPr>
                <w:lang w:eastAsia="de-DE"/>
              </w:rPr>
              <w:t>Absatz</w:t>
            </w:r>
            <w:r w:rsidR="00C700B9" w:rsidRPr="00441B09">
              <w:rPr>
                <w:lang w:eastAsia="de-DE"/>
              </w:rPr>
              <w:t xml:space="preserve"> 4 b))</w:t>
            </w:r>
          </w:p>
          <w:p w14:paraId="7A041CB3" w14:textId="77777777" w:rsidR="00C700B9" w:rsidRPr="00441B09" w:rsidRDefault="00C700B9" w:rsidP="00C700B9">
            <w:pPr>
              <w:spacing w:before="40" w:after="120"/>
              <w:ind w:left="11" w:firstLine="0"/>
              <w:rPr>
                <w:lang w:eastAsia="de-DE"/>
              </w:rPr>
            </w:pPr>
            <w:r w:rsidRPr="00441B09">
              <w:rPr>
                <w:lang w:eastAsia="de-DE"/>
              </w:rPr>
              <w:t>ECE/TRANS/WP.15/AC.2/68 (</w:t>
            </w:r>
            <w:r w:rsidR="007C13F7" w:rsidRPr="00441B09">
              <w:rPr>
                <w:lang w:eastAsia="de-DE"/>
              </w:rPr>
              <w:t>Nr.</w:t>
            </w:r>
            <w:r w:rsidRPr="00441B09">
              <w:rPr>
                <w:lang w:eastAsia="de-DE"/>
              </w:rPr>
              <w:t xml:space="preserve"> 16 </w:t>
            </w:r>
            <w:r w:rsidR="007C13F7" w:rsidRPr="00441B09">
              <w:rPr>
                <w:lang w:eastAsia="de-DE"/>
              </w:rPr>
              <w:t>und</w:t>
            </w:r>
            <w:r w:rsidRPr="00441B09">
              <w:rPr>
                <w:lang w:eastAsia="de-DE"/>
              </w:rPr>
              <w:t xml:space="preserve"> 17)</w:t>
            </w:r>
          </w:p>
        </w:tc>
      </w:tr>
      <w:bookmarkEnd w:id="1"/>
    </w:tbl>
    <w:p w14:paraId="56852BBC" w14:textId="77777777" w:rsidR="00520F6D" w:rsidRDefault="00520F6D" w:rsidP="00C700B9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</w:p>
    <w:p w14:paraId="64F43855" w14:textId="77777777" w:rsidR="00520F6D" w:rsidRDefault="00520F6D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br w:type="page"/>
      </w:r>
    </w:p>
    <w:p w14:paraId="192D5585" w14:textId="4DEBAA61" w:rsidR="00C700B9" w:rsidRPr="00C700B9" w:rsidRDefault="00C700B9" w:rsidP="00C700B9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fr-CH" w:eastAsia="en-US"/>
        </w:rPr>
      </w:pPr>
      <w:r w:rsidRPr="00441B09">
        <w:rPr>
          <w:b/>
          <w:sz w:val="28"/>
          <w:lang w:eastAsia="en-US"/>
        </w:rPr>
        <w:lastRenderedPageBreak/>
        <w:tab/>
      </w:r>
      <w:r w:rsidRPr="00441B09">
        <w:rPr>
          <w:b/>
          <w:sz w:val="28"/>
          <w:lang w:eastAsia="en-US"/>
        </w:rPr>
        <w:tab/>
      </w:r>
      <w:proofErr w:type="spellStart"/>
      <w:r w:rsidR="007C13F7" w:rsidRPr="00441B09">
        <w:rPr>
          <w:b/>
          <w:sz w:val="28"/>
          <w:lang w:val="fr-CH" w:eastAsia="en-US"/>
        </w:rPr>
        <w:t>Einleitung</w:t>
      </w:r>
      <w:proofErr w:type="spellEnd"/>
    </w:p>
    <w:p w14:paraId="7B36A089" w14:textId="77777777" w:rsidR="00C700B9" w:rsidRPr="00441B09" w:rsidRDefault="00C700B9" w:rsidP="0027147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de-DE"/>
        </w:rPr>
      </w:pPr>
      <w:r w:rsidRPr="00441B09">
        <w:rPr>
          <w:lang w:eastAsia="en-US"/>
        </w:rPr>
        <w:t>1.</w:t>
      </w:r>
      <w:r w:rsidRPr="00441B09">
        <w:rPr>
          <w:lang w:eastAsia="en-US"/>
        </w:rPr>
        <w:tab/>
      </w:r>
      <w:r w:rsidR="00525F55" w:rsidRPr="0027147D">
        <w:rPr>
          <w:lang w:eastAsia="en-US"/>
        </w:rPr>
        <w:t>Das Dokument ECE/TRANS/WP.15/AC.2/2018/33, das im August 2018 auf der 33.</w:t>
      </w:r>
      <w:r w:rsidR="0027147D" w:rsidRPr="0027147D">
        <w:rPr>
          <w:lang w:eastAsia="en-US"/>
        </w:rPr>
        <w:t> </w:t>
      </w:r>
      <w:r w:rsidR="00525F55" w:rsidRPr="0027147D">
        <w:rPr>
          <w:lang w:eastAsia="en-US"/>
        </w:rPr>
        <w:t>Sitzung vorgelegt wurde, hatte die Frage aufg</w:t>
      </w:r>
      <w:r w:rsidR="00D3035F" w:rsidRPr="0027147D">
        <w:rPr>
          <w:lang w:eastAsia="en-US"/>
        </w:rPr>
        <w:t>e</w:t>
      </w:r>
      <w:r w:rsidR="00525F55" w:rsidRPr="0027147D">
        <w:rPr>
          <w:lang w:eastAsia="en-US"/>
        </w:rPr>
        <w:t>worfen, ob die Anforderungen an Feuerlöscheinrichtungen in Absatz 9.3.X.40.1 auf nicht motorisierte Tankleichter anwendbar sind.</w:t>
      </w:r>
    </w:p>
    <w:p w14:paraId="79B9A413" w14:textId="77777777" w:rsidR="00C700B9" w:rsidRPr="006C0459" w:rsidRDefault="00C700B9" w:rsidP="0027147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de-DE"/>
        </w:rPr>
      </w:pPr>
      <w:r w:rsidRPr="006C0459">
        <w:rPr>
          <w:lang w:eastAsia="de-DE"/>
        </w:rPr>
        <w:t>2.</w:t>
      </w:r>
      <w:r w:rsidRPr="006C0459">
        <w:rPr>
          <w:lang w:eastAsia="de-DE"/>
        </w:rPr>
        <w:tab/>
      </w:r>
      <w:r w:rsidR="00525F55" w:rsidRPr="0027147D">
        <w:rPr>
          <w:lang w:eastAsia="de-DE"/>
        </w:rPr>
        <w:t xml:space="preserve">Die Frage betraf insbesondere die Möglichkeit, </w:t>
      </w:r>
      <w:proofErr w:type="gramStart"/>
      <w:r w:rsidR="005F75B6" w:rsidRPr="0027147D">
        <w:rPr>
          <w:lang w:eastAsia="de-DE"/>
        </w:rPr>
        <w:t>solche Leichter</w:t>
      </w:r>
      <w:proofErr w:type="gramEnd"/>
      <w:r w:rsidR="00525F55" w:rsidRPr="0027147D">
        <w:rPr>
          <w:lang w:eastAsia="de-DE"/>
        </w:rPr>
        <w:t xml:space="preserve"> </w:t>
      </w:r>
      <w:r w:rsidR="005F75B6" w:rsidRPr="0027147D">
        <w:rPr>
          <w:lang w:eastAsia="de-DE"/>
        </w:rPr>
        <w:t xml:space="preserve">im Hinblick auf die Bestimmungen des Absatzes 7.2.2.19.2 der beigefügten Verordnung </w:t>
      </w:r>
      <w:r w:rsidR="00525F55" w:rsidRPr="0027147D">
        <w:rPr>
          <w:lang w:eastAsia="de-DE"/>
        </w:rPr>
        <w:t xml:space="preserve">von der </w:t>
      </w:r>
      <w:r w:rsidR="005F75B6" w:rsidRPr="0027147D">
        <w:rPr>
          <w:lang w:eastAsia="de-DE"/>
        </w:rPr>
        <w:t>P</w:t>
      </w:r>
      <w:r w:rsidR="00525F55" w:rsidRPr="0027147D">
        <w:rPr>
          <w:lang w:eastAsia="de-DE"/>
        </w:rPr>
        <w:t>flicht zu</w:t>
      </w:r>
      <w:r w:rsidR="005F75B6" w:rsidRPr="0027147D">
        <w:rPr>
          <w:lang w:eastAsia="de-DE"/>
        </w:rPr>
        <w:t>m</w:t>
      </w:r>
      <w:r w:rsidR="00525F55" w:rsidRPr="0027147D">
        <w:rPr>
          <w:lang w:eastAsia="de-DE"/>
        </w:rPr>
        <w:t xml:space="preserve"> </w:t>
      </w:r>
      <w:r w:rsidR="005F75B6" w:rsidRPr="0027147D">
        <w:rPr>
          <w:lang w:eastAsia="de-DE"/>
        </w:rPr>
        <w:t>Vorhandensein</w:t>
      </w:r>
      <w:r w:rsidR="00525F55" w:rsidRPr="0027147D">
        <w:rPr>
          <w:lang w:eastAsia="de-DE"/>
        </w:rPr>
        <w:t xml:space="preserve"> zwei</w:t>
      </w:r>
      <w:r w:rsidR="005F75B6" w:rsidRPr="0027147D">
        <w:rPr>
          <w:lang w:eastAsia="de-DE"/>
        </w:rPr>
        <w:t>er</w:t>
      </w:r>
      <w:r w:rsidR="00525F55" w:rsidRPr="0027147D">
        <w:rPr>
          <w:lang w:eastAsia="de-DE"/>
        </w:rPr>
        <w:t xml:space="preserve"> Pumpen an Bord auszunehmen</w:t>
      </w:r>
      <w:r w:rsidR="005F75B6" w:rsidRPr="0027147D">
        <w:rPr>
          <w:lang w:eastAsia="de-DE"/>
        </w:rPr>
        <w:t>.</w:t>
      </w:r>
    </w:p>
    <w:p w14:paraId="61D853ED" w14:textId="77777777" w:rsidR="00C700B9" w:rsidRPr="00441B09" w:rsidRDefault="00C700B9" w:rsidP="0027147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de-DE"/>
        </w:rPr>
      </w:pPr>
      <w:r w:rsidRPr="00441B09">
        <w:rPr>
          <w:lang w:eastAsia="de-DE"/>
        </w:rPr>
        <w:t>3.</w:t>
      </w:r>
      <w:r w:rsidRPr="00441B09">
        <w:rPr>
          <w:lang w:eastAsia="de-DE"/>
        </w:rPr>
        <w:tab/>
      </w:r>
      <w:r w:rsidR="005F75B6" w:rsidRPr="0027147D">
        <w:rPr>
          <w:lang w:eastAsia="de-DE"/>
        </w:rPr>
        <w:t xml:space="preserve">Im Protokoll über die 33. Sitzung </w:t>
      </w:r>
      <w:r w:rsidR="00D3035F" w:rsidRPr="0027147D">
        <w:rPr>
          <w:lang w:eastAsia="de-DE"/>
        </w:rPr>
        <w:t>wird festgestellt</w:t>
      </w:r>
      <w:r w:rsidR="005F75B6" w:rsidRPr="0027147D">
        <w:rPr>
          <w:lang w:eastAsia="de-DE"/>
        </w:rPr>
        <w:t>, dass der Sicherheitsausschuss detailliertere Informationen benötigt, weshalb insbesondere die Vertragsparteien und die empfohlenen Klassifikationsgesellschaften ersucht wurden, die französische Delegation über die</w:t>
      </w:r>
      <w:r w:rsidR="00D3035F" w:rsidRPr="0027147D">
        <w:rPr>
          <w:lang w:eastAsia="de-DE"/>
        </w:rPr>
        <w:t xml:space="preserve"> entsprechenden</w:t>
      </w:r>
      <w:r w:rsidR="005F75B6" w:rsidRPr="0027147D">
        <w:rPr>
          <w:lang w:eastAsia="de-DE"/>
        </w:rPr>
        <w:t xml:space="preserve"> bestehenden Praktiken zu </w:t>
      </w:r>
      <w:r w:rsidR="00D3035F" w:rsidRPr="0027147D">
        <w:rPr>
          <w:lang w:eastAsia="de-DE"/>
        </w:rPr>
        <w:t>unterrichten</w:t>
      </w:r>
      <w:r w:rsidR="005F75B6" w:rsidRPr="0027147D">
        <w:rPr>
          <w:lang w:eastAsia="de-DE"/>
        </w:rPr>
        <w:t>.</w:t>
      </w:r>
    </w:p>
    <w:p w14:paraId="230C0AAF" w14:textId="77777777" w:rsidR="00C700B9" w:rsidRPr="0027147D" w:rsidRDefault="00C700B9" w:rsidP="0027147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CH" w:eastAsia="de-DE"/>
        </w:rPr>
      </w:pPr>
      <w:r w:rsidRPr="00441B09">
        <w:rPr>
          <w:lang w:eastAsia="de-DE"/>
        </w:rPr>
        <w:t>4.</w:t>
      </w:r>
      <w:r w:rsidRPr="00441B09">
        <w:rPr>
          <w:lang w:eastAsia="de-DE"/>
        </w:rPr>
        <w:tab/>
      </w:r>
      <w:r w:rsidR="00D33BA2" w:rsidRPr="0027147D">
        <w:rPr>
          <w:lang w:eastAsia="de-DE"/>
        </w:rPr>
        <w:t xml:space="preserve">Seit der </w:t>
      </w:r>
      <w:r w:rsidR="0039429F" w:rsidRPr="0027147D">
        <w:rPr>
          <w:lang w:eastAsia="de-DE"/>
        </w:rPr>
        <w:t>33.</w:t>
      </w:r>
      <w:r w:rsidR="00D33BA2" w:rsidRPr="0027147D">
        <w:rPr>
          <w:lang w:eastAsia="de-DE"/>
        </w:rPr>
        <w:t xml:space="preserve"> Sitzung wurden keine Informationen vorgelegt, mit Ausnahme de</w:t>
      </w:r>
      <w:r w:rsidR="0039429F" w:rsidRPr="0027147D">
        <w:rPr>
          <w:lang w:eastAsia="de-DE"/>
        </w:rPr>
        <w:t>s</w:t>
      </w:r>
      <w:r w:rsidR="00D33BA2" w:rsidRPr="0027147D">
        <w:rPr>
          <w:lang w:eastAsia="de-DE"/>
        </w:rPr>
        <w:t xml:space="preserve"> </w:t>
      </w:r>
      <w:r w:rsidR="0039429F" w:rsidRPr="0027147D">
        <w:rPr>
          <w:lang w:eastAsia="de-DE"/>
        </w:rPr>
        <w:t>Standpunkt</w:t>
      </w:r>
      <w:r w:rsidR="00501BA2">
        <w:rPr>
          <w:lang w:eastAsia="de-DE"/>
        </w:rPr>
        <w:t>s</w:t>
      </w:r>
      <w:r w:rsidR="00D33BA2" w:rsidRPr="0027147D">
        <w:rPr>
          <w:lang w:eastAsia="de-DE"/>
        </w:rPr>
        <w:t xml:space="preserve"> der empfohlenen Klassifikationsgesellschaften, de</w:t>
      </w:r>
      <w:r w:rsidR="0039429F" w:rsidRPr="0027147D">
        <w:rPr>
          <w:lang w:eastAsia="de-DE"/>
        </w:rPr>
        <w:t>r</w:t>
      </w:r>
      <w:r w:rsidR="00D33BA2" w:rsidRPr="0027147D">
        <w:rPr>
          <w:lang w:eastAsia="de-DE"/>
        </w:rPr>
        <w:t xml:space="preserve"> in Absatz 4 b) des informellen Dokuments INF.7 der </w:t>
      </w:r>
      <w:r w:rsidR="0039429F" w:rsidRPr="0027147D">
        <w:rPr>
          <w:lang w:eastAsia="de-DE"/>
        </w:rPr>
        <w:t>33.</w:t>
      </w:r>
      <w:r w:rsidR="00D33BA2" w:rsidRPr="0027147D">
        <w:rPr>
          <w:lang w:eastAsia="de-DE"/>
        </w:rPr>
        <w:t xml:space="preserve"> Sitzung </w:t>
      </w:r>
      <w:r w:rsidR="0039429F" w:rsidRPr="0027147D">
        <w:rPr>
          <w:lang w:eastAsia="de-DE"/>
        </w:rPr>
        <w:t>dargelegt</w:t>
      </w:r>
      <w:r w:rsidR="00D33BA2" w:rsidRPr="0027147D">
        <w:rPr>
          <w:lang w:eastAsia="de-DE"/>
        </w:rPr>
        <w:t xml:space="preserve"> i</w:t>
      </w:r>
      <w:r w:rsidR="0039429F" w:rsidRPr="0027147D">
        <w:rPr>
          <w:lang w:eastAsia="de-DE"/>
        </w:rPr>
        <w:t>st</w:t>
      </w:r>
      <w:r w:rsidR="00E05486" w:rsidRPr="0027147D">
        <w:rPr>
          <w:lang w:eastAsia="de-DE"/>
        </w:rPr>
        <w:t>.</w:t>
      </w:r>
      <w:r w:rsidR="00D33BA2" w:rsidRPr="0027147D">
        <w:rPr>
          <w:lang w:eastAsia="de-DE"/>
        </w:rPr>
        <w:t xml:space="preserve"> </w:t>
      </w:r>
      <w:r w:rsidR="00E05486" w:rsidRPr="0027147D">
        <w:rPr>
          <w:lang w:eastAsia="de-DE"/>
        </w:rPr>
        <w:t xml:space="preserve">Aus diesem </w:t>
      </w:r>
      <w:r w:rsidR="00501BA2">
        <w:rPr>
          <w:lang w:eastAsia="de-DE"/>
        </w:rPr>
        <w:t>Standpunkt</w:t>
      </w:r>
      <w:r w:rsidR="00E05486" w:rsidRPr="0027147D">
        <w:rPr>
          <w:lang w:eastAsia="de-DE"/>
        </w:rPr>
        <w:t>, d</w:t>
      </w:r>
      <w:r w:rsidR="00501BA2">
        <w:rPr>
          <w:lang w:eastAsia="de-DE"/>
        </w:rPr>
        <w:t>er</w:t>
      </w:r>
      <w:r w:rsidR="00D33BA2" w:rsidRPr="0027147D">
        <w:rPr>
          <w:lang w:eastAsia="de-DE"/>
        </w:rPr>
        <w:t xml:space="preserve"> ebenfalls auf der </w:t>
      </w:r>
      <w:r w:rsidR="0039429F" w:rsidRPr="0027147D">
        <w:rPr>
          <w:lang w:eastAsia="de-DE"/>
        </w:rPr>
        <w:t>33.</w:t>
      </w:r>
      <w:r w:rsidR="00D33BA2" w:rsidRPr="0027147D">
        <w:rPr>
          <w:lang w:eastAsia="de-DE"/>
        </w:rPr>
        <w:t xml:space="preserve"> Sitzung vorge</w:t>
      </w:r>
      <w:r w:rsidR="0039429F" w:rsidRPr="0027147D">
        <w:rPr>
          <w:lang w:eastAsia="de-DE"/>
        </w:rPr>
        <w:t>legt</w:t>
      </w:r>
      <w:r w:rsidR="00D33BA2" w:rsidRPr="0027147D">
        <w:rPr>
          <w:lang w:eastAsia="de-DE"/>
        </w:rPr>
        <w:t xml:space="preserve"> wurde, </w:t>
      </w:r>
      <w:r w:rsidR="00E05486" w:rsidRPr="0027147D">
        <w:rPr>
          <w:lang w:eastAsia="de-DE"/>
        </w:rPr>
        <w:t>geht Folgendes hervor:</w:t>
      </w:r>
    </w:p>
    <w:p w14:paraId="20029AE4" w14:textId="77777777" w:rsidR="0027147D" w:rsidRPr="00441B09" w:rsidRDefault="0027147D" w:rsidP="0027147D">
      <w:pPr>
        <w:pStyle w:val="ListParagraph"/>
        <w:widowControl/>
        <w:numPr>
          <w:ilvl w:val="0"/>
          <w:numId w:val="6"/>
        </w:numPr>
        <w:suppressAutoHyphens/>
        <w:autoSpaceDE/>
        <w:autoSpaceDN/>
        <w:spacing w:after="120" w:line="240" w:lineRule="atLeast"/>
        <w:ind w:left="1418" w:right="1134" w:hanging="284"/>
        <w:jc w:val="both"/>
        <w:rPr>
          <w:sz w:val="20"/>
          <w:szCs w:val="20"/>
          <w:lang w:val="de-DE" w:eastAsia="de-DE"/>
        </w:rPr>
      </w:pPr>
      <w:r w:rsidRPr="00501BA2">
        <w:rPr>
          <w:sz w:val="20"/>
          <w:szCs w:val="20"/>
          <w:lang w:val="de-DE" w:eastAsia="de-DE"/>
        </w:rPr>
        <w:t>Die Tatsache, dass der ganze Schubverband oder die gekuppelten Schiffe als ein einziges Schiff angesehen wird/werden, gilt nur für Kapitel 7.2 (Wortlaut des Absatzes 7.2.2.19.2);</w:t>
      </w:r>
    </w:p>
    <w:p w14:paraId="1EFCE2F7" w14:textId="77777777" w:rsidR="0027147D" w:rsidRPr="00441B09" w:rsidRDefault="0027147D" w:rsidP="0027147D">
      <w:pPr>
        <w:pStyle w:val="ListParagraph"/>
        <w:widowControl/>
        <w:numPr>
          <w:ilvl w:val="0"/>
          <w:numId w:val="6"/>
        </w:numPr>
        <w:suppressAutoHyphens/>
        <w:autoSpaceDE/>
        <w:autoSpaceDN/>
        <w:spacing w:after="120" w:line="240" w:lineRule="atLeast"/>
        <w:ind w:left="1418" w:right="1134" w:hanging="284"/>
        <w:jc w:val="both"/>
        <w:rPr>
          <w:sz w:val="20"/>
          <w:szCs w:val="20"/>
          <w:lang w:val="de-DE" w:eastAsia="de-DE"/>
        </w:rPr>
      </w:pPr>
      <w:r w:rsidRPr="00501BA2">
        <w:rPr>
          <w:sz w:val="20"/>
          <w:szCs w:val="20"/>
          <w:lang w:val="de-DE" w:eastAsia="de-DE"/>
        </w:rPr>
        <w:t xml:space="preserve">Die Möglichkeit, in Absatz 7.2.2.19.3, nur eine Feuerlösch- oder Ballastpumpe gemäß Absatz 9.3.3.40.1 </w:t>
      </w:r>
      <w:r w:rsidRPr="00216288">
        <w:rPr>
          <w:sz w:val="20"/>
          <w:szCs w:val="20"/>
          <w:lang w:val="de-DE" w:eastAsia="de-DE"/>
        </w:rPr>
        <w:t>an Bord zu haben</w:t>
      </w:r>
      <w:r w:rsidRPr="00501BA2">
        <w:rPr>
          <w:sz w:val="20"/>
          <w:szCs w:val="20"/>
          <w:lang w:val="de-DE" w:eastAsia="de-DE"/>
        </w:rPr>
        <w:t>, gilt nur für Schiffe, die für die Fortbewegung verwendet werden;</w:t>
      </w:r>
    </w:p>
    <w:p w14:paraId="669BD1CE" w14:textId="77777777" w:rsidR="0027147D" w:rsidRPr="00441B09" w:rsidRDefault="0027147D" w:rsidP="0027147D">
      <w:pPr>
        <w:pStyle w:val="ListParagraph"/>
        <w:widowControl/>
        <w:numPr>
          <w:ilvl w:val="0"/>
          <w:numId w:val="6"/>
        </w:numPr>
        <w:suppressAutoHyphens/>
        <w:autoSpaceDE/>
        <w:autoSpaceDN/>
        <w:spacing w:after="120" w:line="240" w:lineRule="atLeast"/>
        <w:ind w:left="1418" w:right="1134" w:hanging="284"/>
        <w:jc w:val="both"/>
        <w:rPr>
          <w:sz w:val="20"/>
          <w:szCs w:val="20"/>
          <w:lang w:val="de-DE" w:eastAsia="de-DE"/>
        </w:rPr>
      </w:pPr>
      <w:r w:rsidRPr="00501BA2">
        <w:rPr>
          <w:sz w:val="20"/>
          <w:szCs w:val="20"/>
          <w:lang w:val="de-DE" w:eastAsia="de-DE"/>
        </w:rPr>
        <w:t>Es gibt keinen Grund, die Vorschriften des Teils 9, insbesondere die des Absatzes 9.3.X.40.1, nicht vollständig auf nicht motorisierte Tankleichter anzuwenden.</w:t>
      </w:r>
    </w:p>
    <w:p w14:paraId="02CCAEE5" w14:textId="77777777" w:rsidR="00C700B9" w:rsidRPr="00441B09" w:rsidRDefault="00C700B9" w:rsidP="0027147D">
      <w:pPr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441B09">
        <w:rPr>
          <w:b/>
          <w:sz w:val="28"/>
          <w:lang w:eastAsia="en-US"/>
        </w:rPr>
        <w:tab/>
      </w:r>
      <w:r w:rsidRPr="00441B09">
        <w:rPr>
          <w:b/>
          <w:sz w:val="28"/>
          <w:lang w:eastAsia="en-US"/>
        </w:rPr>
        <w:tab/>
      </w:r>
      <w:r w:rsidR="002830E8" w:rsidRPr="0027147D">
        <w:rPr>
          <w:b/>
          <w:sz w:val="28"/>
          <w:lang w:eastAsia="en-US"/>
        </w:rPr>
        <w:t>Analyse</w:t>
      </w:r>
    </w:p>
    <w:p w14:paraId="015E3F9E" w14:textId="77777777" w:rsidR="00C700B9" w:rsidRPr="00441B09" w:rsidRDefault="00C700B9" w:rsidP="00E84FD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441B09">
        <w:rPr>
          <w:lang w:eastAsia="en-US"/>
        </w:rPr>
        <w:t>5.</w:t>
      </w:r>
      <w:r w:rsidRPr="00441B09">
        <w:rPr>
          <w:lang w:eastAsia="en-US"/>
        </w:rPr>
        <w:tab/>
      </w:r>
      <w:r w:rsidR="002830E8" w:rsidRPr="00E84FD5">
        <w:rPr>
          <w:lang w:eastAsia="en-US"/>
        </w:rPr>
        <w:t>Angesichts der vorstehenden Erwägungen erscheint es nicht angebracht, die mit Dokument ECE/TRANS/WP.15/AC.2/2018/33 eingeleiteten Untersuchungen fortzusetzen, um Änderungen an der dem ADN beigefügten Verordnung vorzubereiten. Frankreich schlägt daher vor, keine weiteren Maßnahmen zu diesem Dokument zu ergreifen.</w:t>
      </w:r>
    </w:p>
    <w:p w14:paraId="17BB3B43" w14:textId="77777777" w:rsidR="00C700B9" w:rsidRPr="00441B09" w:rsidRDefault="00C700B9" w:rsidP="00E84FD5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441B09">
        <w:rPr>
          <w:b/>
          <w:sz w:val="28"/>
          <w:lang w:eastAsia="en-US"/>
        </w:rPr>
        <w:tab/>
      </w:r>
      <w:r w:rsidRPr="00441B09">
        <w:rPr>
          <w:b/>
          <w:sz w:val="28"/>
          <w:lang w:eastAsia="en-US"/>
        </w:rPr>
        <w:tab/>
      </w:r>
      <w:r w:rsidR="00481292" w:rsidRPr="00E84FD5">
        <w:rPr>
          <w:b/>
          <w:sz w:val="28"/>
          <w:lang w:eastAsia="en-US"/>
        </w:rPr>
        <w:t>Weiteres Vorgehen</w:t>
      </w:r>
    </w:p>
    <w:p w14:paraId="04DD3FEC" w14:textId="77777777" w:rsidR="00C700B9" w:rsidRPr="00441B09" w:rsidRDefault="00C700B9" w:rsidP="00E84FD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441B09">
        <w:rPr>
          <w:lang w:eastAsia="en-US"/>
        </w:rPr>
        <w:t>6.</w:t>
      </w:r>
      <w:r w:rsidRPr="00441B09">
        <w:rPr>
          <w:lang w:eastAsia="en-US"/>
        </w:rPr>
        <w:tab/>
      </w:r>
      <w:r w:rsidR="00481292" w:rsidRPr="00E84FD5">
        <w:rPr>
          <w:lang w:eastAsia="en-US"/>
        </w:rPr>
        <w:t>Der Sicherheitsausschuss wird gebeten, den Vorschlag in Absatz 5 zu prüfen und die aus seiner Sicht notwendigen Maßnahmen zu treffen.</w:t>
      </w:r>
    </w:p>
    <w:p w14:paraId="36E9E522" w14:textId="77777777" w:rsidR="00C700B9" w:rsidRPr="00441B09" w:rsidRDefault="00C700B9" w:rsidP="00114DBA">
      <w:pPr>
        <w:spacing w:before="120"/>
        <w:ind w:left="0" w:firstLine="0"/>
        <w:jc w:val="center"/>
        <w:rPr>
          <w:lang w:eastAsia="en-US"/>
        </w:rPr>
      </w:pPr>
    </w:p>
    <w:p w14:paraId="46080F51" w14:textId="77777777" w:rsidR="00CE5EB3" w:rsidRPr="00114DBA" w:rsidRDefault="004F60A5" w:rsidP="00114DBA">
      <w:pPr>
        <w:spacing w:before="120"/>
        <w:ind w:left="0" w:firstLine="0"/>
        <w:jc w:val="center"/>
        <w:rPr>
          <w:lang w:eastAsia="en-US"/>
        </w:rPr>
      </w:pPr>
      <w:r w:rsidRPr="004F60A5">
        <w:rPr>
          <w:lang w:eastAsia="en-US"/>
        </w:rPr>
        <w:t>***</w:t>
      </w:r>
    </w:p>
    <w:sectPr w:rsidR="00CE5EB3" w:rsidRPr="00114DBA" w:rsidSect="004F6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DD80" w14:textId="77777777" w:rsidR="004221FE" w:rsidRDefault="004221FE" w:rsidP="004221FE">
      <w:r>
        <w:separator/>
      </w:r>
    </w:p>
  </w:endnote>
  <w:endnote w:type="continuationSeparator" w:id="0">
    <w:p w14:paraId="4B120F51" w14:textId="77777777" w:rsidR="004221FE" w:rsidRDefault="004221FE" w:rsidP="004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8CB5" w14:textId="77777777" w:rsidR="00114DBA" w:rsidRPr="00C700B9" w:rsidRDefault="00114DBA" w:rsidP="00114DB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 w:rsidRPr="00C700B9">
      <w:rPr>
        <w:rFonts w:ascii="Arial" w:hAnsi="Arial"/>
        <w:noProof/>
        <w:snapToGrid w:val="0"/>
        <w:sz w:val="12"/>
        <w:szCs w:val="24"/>
        <w:lang w:val="fr-FR"/>
      </w:rPr>
      <w:t>mm_ba/adn_wp15_ac2_2019_</w:t>
    </w:r>
    <w:r w:rsidR="007C13F7">
      <w:rPr>
        <w:rFonts w:ascii="Arial" w:hAnsi="Arial"/>
        <w:noProof/>
        <w:snapToGrid w:val="0"/>
        <w:sz w:val="12"/>
        <w:szCs w:val="24"/>
        <w:lang w:val="fr-FR"/>
      </w:rPr>
      <w:t>20</w:t>
    </w:r>
    <w:r w:rsidRPr="00C700B9">
      <w:rPr>
        <w:rFonts w:ascii="Arial" w:hAnsi="Arial"/>
        <w:noProof/>
        <w:snapToGrid w:val="0"/>
        <w:sz w:val="12"/>
        <w:szCs w:val="24"/>
        <w:lang w:val="fr-FR"/>
      </w:rPr>
      <w:t>de</w:t>
    </w:r>
  </w:p>
  <w:p w14:paraId="1339CC01" w14:textId="77777777" w:rsidR="00114DBA" w:rsidRPr="00114DBA" w:rsidRDefault="00114DBA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8736" w14:textId="77777777" w:rsidR="004221FE" w:rsidRPr="004F60A5" w:rsidRDefault="004221FE" w:rsidP="004F60A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 w:rsidRPr="004F60A5">
      <w:rPr>
        <w:rFonts w:ascii="Arial" w:hAnsi="Arial"/>
        <w:noProof/>
        <w:snapToGrid w:val="0"/>
        <w:sz w:val="12"/>
        <w:szCs w:val="24"/>
        <w:lang w:val="en-US"/>
      </w:rPr>
      <w:t>mm/adn_wp15_ac2_2019_</w:t>
    </w:r>
    <w:r w:rsidR="002036D6">
      <w:rPr>
        <w:rFonts w:ascii="Arial" w:hAnsi="Arial"/>
        <w:noProof/>
        <w:snapToGrid w:val="0"/>
        <w:sz w:val="12"/>
        <w:szCs w:val="24"/>
        <w:lang w:val="en-US"/>
      </w:rPr>
      <w:t>06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3031" w14:textId="77777777" w:rsidR="00501BA2" w:rsidRDefault="00501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B43E" w14:textId="77777777" w:rsidR="004221FE" w:rsidRDefault="004221FE" w:rsidP="004221FE">
      <w:r>
        <w:separator/>
      </w:r>
    </w:p>
  </w:footnote>
  <w:footnote w:type="continuationSeparator" w:id="0">
    <w:p w14:paraId="06BDE85B" w14:textId="77777777" w:rsidR="004221FE" w:rsidRDefault="004221FE" w:rsidP="004221FE">
      <w:r>
        <w:continuationSeparator/>
      </w:r>
    </w:p>
  </w:footnote>
  <w:footnote w:id="1">
    <w:p w14:paraId="38707A69" w14:textId="2361AD71" w:rsidR="007C13F7" w:rsidRPr="00441B09" w:rsidRDefault="007C13F7" w:rsidP="007C13F7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441B09">
        <w:rPr>
          <w:rStyle w:val="FootnoteReference"/>
          <w:sz w:val="16"/>
          <w:szCs w:val="16"/>
        </w:rPr>
        <w:t>*</w:t>
      </w:r>
      <w:r w:rsidRPr="00441B09">
        <w:rPr>
          <w:sz w:val="16"/>
          <w:szCs w:val="16"/>
        </w:rPr>
        <w:tab/>
      </w:r>
      <w:r w:rsidRPr="00441B09">
        <w:rPr>
          <w:rFonts w:ascii="Times New Roman" w:hAnsi="Times New Roman" w:cs="Times New Roman"/>
          <w:sz w:val="16"/>
          <w:szCs w:val="16"/>
        </w:rPr>
        <w:t xml:space="preserve">Von der UN-ECE in Englisch, Französisch und Russisch unter dem Aktenzeichen </w:t>
      </w:r>
      <w:r w:rsidR="00441B09" w:rsidRPr="00441B09">
        <w:rPr>
          <w:rFonts w:ascii="Times New Roman" w:hAnsi="Times New Roman" w:cs="Times New Roman"/>
          <w:sz w:val="16"/>
          <w:szCs w:val="16"/>
        </w:rPr>
        <w:t>ECE/</w:t>
      </w:r>
      <w:r w:rsidR="00520F6D">
        <w:rPr>
          <w:rFonts w:ascii="Times New Roman" w:hAnsi="Times New Roman" w:cs="Times New Roman"/>
          <w:sz w:val="16"/>
          <w:szCs w:val="16"/>
        </w:rPr>
        <w:t>TRANS</w:t>
      </w:r>
      <w:r w:rsidRPr="00441B09">
        <w:rPr>
          <w:rFonts w:ascii="Times New Roman" w:hAnsi="Times New Roman" w:cs="Times New Roman"/>
          <w:sz w:val="16"/>
          <w:szCs w:val="16"/>
        </w:rPr>
        <w:t>/WP.15/AC.2/2019/</w:t>
      </w:r>
      <w:r w:rsidR="00441B09" w:rsidRPr="00441B09">
        <w:rPr>
          <w:rFonts w:ascii="Times New Roman" w:hAnsi="Times New Roman" w:cs="Times New Roman"/>
          <w:sz w:val="16"/>
          <w:szCs w:val="16"/>
        </w:rPr>
        <w:t>20</w:t>
      </w:r>
      <w:r w:rsidRPr="00441B09">
        <w:rPr>
          <w:rFonts w:ascii="Times New Roman" w:hAnsi="Times New Roman" w:cs="Times New Roman"/>
          <w:sz w:val="16"/>
          <w:szCs w:val="16"/>
        </w:rPr>
        <w:t xml:space="preserve"> verteilt.</w:t>
      </w:r>
    </w:p>
  </w:footnote>
  <w:footnote w:id="2">
    <w:p w14:paraId="4E14F04D" w14:textId="77777777" w:rsidR="007C13F7" w:rsidRPr="007C13F7" w:rsidRDefault="007C13F7" w:rsidP="007C13F7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441B09">
        <w:rPr>
          <w:rStyle w:val="FootnoteReference"/>
          <w:rFonts w:ascii="Arial" w:hAnsi="Arial" w:cs="Arial"/>
          <w:sz w:val="16"/>
          <w:szCs w:val="16"/>
        </w:rPr>
        <w:t>**</w:t>
      </w:r>
      <w:r w:rsidRPr="00441B09">
        <w:rPr>
          <w:sz w:val="16"/>
          <w:szCs w:val="16"/>
        </w:rPr>
        <w:tab/>
      </w:r>
      <w:r w:rsidRPr="00441B09">
        <w:rPr>
          <w:rFonts w:ascii="Times New Roman" w:hAnsi="Times New Roman" w:cs="Times New Roman"/>
          <w:sz w:val="16"/>
          <w:szCs w:val="16"/>
        </w:rPr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214E" w14:textId="77777777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C700B9">
      <w:rPr>
        <w:rFonts w:ascii="Arial" w:hAnsi="Arial" w:cs="Arial"/>
        <w:sz w:val="16"/>
        <w:szCs w:val="16"/>
        <w:lang w:val="en-GB" w:eastAsia="en-US"/>
      </w:rPr>
      <w:t>20</w:t>
    </w:r>
  </w:p>
  <w:p w14:paraId="258B7FD5" w14:textId="77777777" w:rsidR="004F60A5" w:rsidRDefault="007C13F7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proofErr w:type="spellStart"/>
    <w:r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="004F60A5"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="004F60A5"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4142F9">
      <w:rPr>
        <w:rFonts w:ascii="Arial" w:hAnsi="Arial" w:cs="Arial"/>
        <w:noProof/>
        <w:sz w:val="16"/>
        <w:szCs w:val="16"/>
        <w:lang w:val="en-GB" w:eastAsia="en-US"/>
      </w:rPr>
      <w:t>2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  <w:p w14:paraId="73B3E7B1" w14:textId="77777777" w:rsidR="004F60A5" w:rsidRDefault="004F6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53AF" w14:textId="77777777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2036D6">
      <w:rPr>
        <w:rFonts w:ascii="Arial" w:hAnsi="Arial" w:cs="Arial"/>
        <w:sz w:val="16"/>
        <w:szCs w:val="16"/>
        <w:lang w:val="en-GB" w:eastAsia="en-US"/>
      </w:rPr>
      <w:t>6</w:t>
    </w:r>
  </w:p>
  <w:p w14:paraId="15313326" w14:textId="77777777" w:rsid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</w:pPr>
    <w:proofErr w:type="spellStart"/>
    <w:r w:rsidRPr="004F60A5"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9647DB">
      <w:rPr>
        <w:rFonts w:ascii="Arial" w:hAnsi="Arial" w:cs="Arial"/>
        <w:noProof/>
        <w:sz w:val="16"/>
        <w:szCs w:val="16"/>
        <w:lang w:val="en-GB" w:eastAsia="en-US"/>
      </w:rPr>
      <w:t>3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2890" w14:textId="77777777" w:rsidR="00501BA2" w:rsidRDefault="00501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405"/>
    <w:multiLevelType w:val="hybridMultilevel"/>
    <w:tmpl w:val="1BFC1076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2FB20ADD"/>
    <w:multiLevelType w:val="hybridMultilevel"/>
    <w:tmpl w:val="FAE23972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46665"/>
    <w:multiLevelType w:val="hybridMultilevel"/>
    <w:tmpl w:val="EAB8428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548627C"/>
    <w:multiLevelType w:val="hybridMultilevel"/>
    <w:tmpl w:val="1772DAB0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6BFC7B11"/>
    <w:multiLevelType w:val="hybridMultilevel"/>
    <w:tmpl w:val="FE906882"/>
    <w:lvl w:ilvl="0" w:tplc="2F32E522">
      <w:start w:val="8"/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7F2E688C"/>
    <w:multiLevelType w:val="hybridMultilevel"/>
    <w:tmpl w:val="174C0024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0D"/>
    <w:rsid w:val="00007D61"/>
    <w:rsid w:val="0009215A"/>
    <w:rsid w:val="000A100D"/>
    <w:rsid w:val="000A2596"/>
    <w:rsid w:val="000C6E63"/>
    <w:rsid w:val="000E2B38"/>
    <w:rsid w:val="001048FB"/>
    <w:rsid w:val="00114DBA"/>
    <w:rsid w:val="00117A9C"/>
    <w:rsid w:val="00135EED"/>
    <w:rsid w:val="001765A8"/>
    <w:rsid w:val="001C1D5A"/>
    <w:rsid w:val="001D04CD"/>
    <w:rsid w:val="001D3C53"/>
    <w:rsid w:val="001D4EA7"/>
    <w:rsid w:val="002036D6"/>
    <w:rsid w:val="00216288"/>
    <w:rsid w:val="0027147D"/>
    <w:rsid w:val="002830E8"/>
    <w:rsid w:val="003000BA"/>
    <w:rsid w:val="00345C7B"/>
    <w:rsid w:val="00381F75"/>
    <w:rsid w:val="0039429F"/>
    <w:rsid w:val="00403268"/>
    <w:rsid w:val="004142F9"/>
    <w:rsid w:val="004221FE"/>
    <w:rsid w:val="00441B09"/>
    <w:rsid w:val="00451B35"/>
    <w:rsid w:val="00481292"/>
    <w:rsid w:val="00497849"/>
    <w:rsid w:val="004D5B60"/>
    <w:rsid w:val="004E60AF"/>
    <w:rsid w:val="004F3526"/>
    <w:rsid w:val="004F60A5"/>
    <w:rsid w:val="00501BA2"/>
    <w:rsid w:val="00520494"/>
    <w:rsid w:val="00520F6D"/>
    <w:rsid w:val="00525F55"/>
    <w:rsid w:val="00533BB3"/>
    <w:rsid w:val="0058057D"/>
    <w:rsid w:val="00591A7D"/>
    <w:rsid w:val="005A4D75"/>
    <w:rsid w:val="005C7FB3"/>
    <w:rsid w:val="005F75B6"/>
    <w:rsid w:val="00640D42"/>
    <w:rsid w:val="00643AEA"/>
    <w:rsid w:val="00654B8D"/>
    <w:rsid w:val="006C0459"/>
    <w:rsid w:val="007363C1"/>
    <w:rsid w:val="00751575"/>
    <w:rsid w:val="00766F2D"/>
    <w:rsid w:val="007A0E7A"/>
    <w:rsid w:val="007C13F7"/>
    <w:rsid w:val="007C1591"/>
    <w:rsid w:val="007F4763"/>
    <w:rsid w:val="008048EC"/>
    <w:rsid w:val="0080642F"/>
    <w:rsid w:val="0084193A"/>
    <w:rsid w:val="00845690"/>
    <w:rsid w:val="00875D76"/>
    <w:rsid w:val="008814DD"/>
    <w:rsid w:val="00897993"/>
    <w:rsid w:val="008A57A1"/>
    <w:rsid w:val="0090054D"/>
    <w:rsid w:val="009078F3"/>
    <w:rsid w:val="009647DB"/>
    <w:rsid w:val="00983F93"/>
    <w:rsid w:val="009C616D"/>
    <w:rsid w:val="00A30734"/>
    <w:rsid w:val="00A41413"/>
    <w:rsid w:val="00A76D20"/>
    <w:rsid w:val="00A8353C"/>
    <w:rsid w:val="00A933F3"/>
    <w:rsid w:val="00B4533C"/>
    <w:rsid w:val="00B72D27"/>
    <w:rsid w:val="00BE32D8"/>
    <w:rsid w:val="00C13835"/>
    <w:rsid w:val="00C33BD8"/>
    <w:rsid w:val="00C700B9"/>
    <w:rsid w:val="00C854BD"/>
    <w:rsid w:val="00CA7730"/>
    <w:rsid w:val="00CE5EB3"/>
    <w:rsid w:val="00D3035F"/>
    <w:rsid w:val="00D33BA2"/>
    <w:rsid w:val="00D53DC3"/>
    <w:rsid w:val="00D54645"/>
    <w:rsid w:val="00DB57E7"/>
    <w:rsid w:val="00DC3843"/>
    <w:rsid w:val="00DD5FF2"/>
    <w:rsid w:val="00DE7A06"/>
    <w:rsid w:val="00DF22B9"/>
    <w:rsid w:val="00E05486"/>
    <w:rsid w:val="00E45CFC"/>
    <w:rsid w:val="00E84FD5"/>
    <w:rsid w:val="00EB6449"/>
    <w:rsid w:val="00ED557F"/>
    <w:rsid w:val="00F62AB0"/>
    <w:rsid w:val="00F904E1"/>
    <w:rsid w:val="00FE4D6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249D6A08"/>
  <w15:docId w15:val="{AC26D101-1CFD-4202-8DAB-2EF5656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00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1413"/>
    <w:pPr>
      <w:overflowPunct/>
      <w:adjustRightInd/>
      <w:spacing w:before="122"/>
      <w:ind w:left="1266" w:right="1337" w:firstLine="0"/>
      <w:jc w:val="left"/>
      <w:textAlignment w:val="auto"/>
    </w:pPr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A4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A41413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A41413"/>
    <w:rPr>
      <w:lang w:val="fr-CH" w:eastAsia="en-US"/>
    </w:rPr>
  </w:style>
  <w:style w:type="paragraph" w:customStyle="1" w:styleId="N5">
    <w:name w:val="N5"/>
    <w:basedOn w:val="Normal"/>
    <w:rsid w:val="001048FB"/>
    <w:pPr>
      <w:ind w:left="1418" w:hanging="284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D5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645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422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21FE"/>
    <w:rPr>
      <w:lang w:eastAsia="fr-FR"/>
    </w:rPr>
  </w:style>
  <w:style w:type="paragraph" w:styleId="Footer">
    <w:name w:val="footer"/>
    <w:basedOn w:val="Normal"/>
    <w:link w:val="FooterChar"/>
    <w:rsid w:val="00422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21FE"/>
    <w:rPr>
      <w:lang w:eastAsia="fr-FR"/>
    </w:rPr>
  </w:style>
  <w:style w:type="character" w:styleId="FootnoteReference">
    <w:name w:val="footnote reference"/>
    <w:aliases w:val="4_G,Footnote Reference/"/>
    <w:rsid w:val="001D04CD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D04C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Arial" w:hAnsi="Arial" w:cs="Arial"/>
      <w:lang w:eastAsia="de-DE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D04CD"/>
    <w:rPr>
      <w:rFonts w:ascii="Arial" w:hAnsi="Arial" w:cs="Arial"/>
    </w:rPr>
  </w:style>
  <w:style w:type="paragraph" w:customStyle="1" w:styleId="HChG">
    <w:name w:val="_ H _Ch_G"/>
    <w:basedOn w:val="Normal"/>
    <w:next w:val="Normal"/>
    <w:rsid w:val="001C1D5A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right="1134"/>
      <w:jc w:val="left"/>
      <w:textAlignment w:val="auto"/>
    </w:pPr>
    <w:rPr>
      <w:b/>
      <w:sz w:val="28"/>
      <w:lang w:val="en-GB" w:eastAsia="en-US"/>
    </w:rPr>
  </w:style>
  <w:style w:type="paragraph" w:customStyle="1" w:styleId="H1G">
    <w:name w:val="_ H_1_G"/>
    <w:basedOn w:val="Normal"/>
    <w:next w:val="Normal"/>
    <w:rsid w:val="00520494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right="1134"/>
      <w:jc w:val="left"/>
      <w:textAlignment w:val="auto"/>
    </w:pPr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2848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2019-06-21T12:12:00Z</cp:lastPrinted>
  <dcterms:created xsi:type="dcterms:W3CDTF">2019-06-24T05:59:00Z</dcterms:created>
  <dcterms:modified xsi:type="dcterms:W3CDTF">2019-06-24T05:59:00Z</dcterms:modified>
</cp:coreProperties>
</file>