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5A1B" w:rsidRPr="00560572" w:rsidRDefault="00215A1B" w:rsidP="00F5390C">
      <w:pPr>
        <w:spacing w:before="120" w:after="0" w:line="240" w:lineRule="atLeast"/>
        <w:rPr>
          <w:b/>
          <w:sz w:val="28"/>
          <w:szCs w:val="28"/>
        </w:rPr>
      </w:pPr>
      <w:r w:rsidRPr="00560572">
        <w:rPr>
          <w:b/>
          <w:sz w:val="28"/>
          <w:szCs w:val="28"/>
        </w:rPr>
        <w:t xml:space="preserve">Economic Commission for </w:t>
      </w:r>
      <w:smartTag w:uri="urn:schemas-microsoft-com:office:smarttags" w:element="place">
        <w:r w:rsidRPr="00560572">
          <w:rPr>
            <w:b/>
            <w:sz w:val="28"/>
            <w:szCs w:val="28"/>
          </w:rPr>
          <w:t>Europe</w:t>
        </w:r>
      </w:smartTag>
    </w:p>
    <w:p w:rsidR="00215A1B" w:rsidRPr="00560572" w:rsidRDefault="00215A1B" w:rsidP="00F5390C">
      <w:pPr>
        <w:spacing w:before="120" w:after="0" w:line="240" w:lineRule="atLeast"/>
        <w:rPr>
          <w:sz w:val="28"/>
          <w:szCs w:val="28"/>
        </w:rPr>
      </w:pPr>
      <w:r w:rsidRPr="00560572">
        <w:rPr>
          <w:sz w:val="28"/>
          <w:szCs w:val="28"/>
        </w:rPr>
        <w:t>Inland Transport Committee</w:t>
      </w:r>
    </w:p>
    <w:p w:rsidR="00215A1B" w:rsidRPr="00560572" w:rsidRDefault="00215A1B" w:rsidP="001C3A25">
      <w:pPr>
        <w:tabs>
          <w:tab w:val="left" w:pos="7938"/>
        </w:tabs>
        <w:spacing w:before="120" w:after="0" w:line="240" w:lineRule="atLeast"/>
        <w:rPr>
          <w:b/>
          <w:szCs w:val="24"/>
        </w:rPr>
      </w:pPr>
      <w:r w:rsidRPr="00560572">
        <w:rPr>
          <w:b/>
          <w:szCs w:val="24"/>
        </w:rPr>
        <w:t>Working Party on the Transport of Dangerous Goods</w:t>
      </w:r>
      <w:r w:rsidR="001C3A25" w:rsidRPr="00560572">
        <w:rPr>
          <w:b/>
          <w:szCs w:val="24"/>
        </w:rPr>
        <w:tab/>
      </w:r>
      <w:r w:rsidR="002E0C3F">
        <w:rPr>
          <w:b/>
        </w:rPr>
        <w:t>29</w:t>
      </w:r>
      <w:r w:rsidR="00C03A88">
        <w:rPr>
          <w:b/>
        </w:rPr>
        <w:t xml:space="preserve"> </w:t>
      </w:r>
      <w:r w:rsidR="0046357A">
        <w:rPr>
          <w:b/>
        </w:rPr>
        <w:t>August</w:t>
      </w:r>
      <w:r w:rsidR="00FA3269">
        <w:rPr>
          <w:b/>
        </w:rPr>
        <w:t xml:space="preserve"> 201</w:t>
      </w:r>
      <w:r w:rsidR="007408A0">
        <w:rPr>
          <w:b/>
        </w:rPr>
        <w:t>9</w:t>
      </w:r>
    </w:p>
    <w:p w:rsidR="00215A1B" w:rsidRPr="00560572" w:rsidRDefault="00215A1B" w:rsidP="00AC7298">
      <w:pPr>
        <w:spacing w:before="120" w:after="120" w:line="240" w:lineRule="atLeast"/>
        <w:rPr>
          <w:b/>
        </w:rPr>
      </w:pPr>
      <w:r w:rsidRPr="00560572">
        <w:rPr>
          <w:b/>
        </w:rPr>
        <w:t xml:space="preserve">Joint Meeting of the RID Committee of Experts and the </w:t>
      </w:r>
      <w:r w:rsidRPr="00560572">
        <w:rPr>
          <w:b/>
        </w:rPr>
        <w:br/>
        <w:t>Working Party on the Transport of Dangerous Goods</w:t>
      </w:r>
    </w:p>
    <w:p w:rsidR="006643C6" w:rsidRPr="00AD79E9" w:rsidRDefault="00097793" w:rsidP="00DC584A">
      <w:pPr>
        <w:spacing w:after="0" w:line="240" w:lineRule="atLeast"/>
        <w:rPr>
          <w:b/>
          <w:bCs/>
        </w:rPr>
      </w:pPr>
      <w:r w:rsidRPr="00560572">
        <w:t>Geneva</w:t>
      </w:r>
      <w:r w:rsidR="00215A1B" w:rsidRPr="00560572">
        <w:t xml:space="preserve">, </w:t>
      </w:r>
      <w:r w:rsidR="00DC584A" w:rsidRPr="00560572">
        <w:t>1</w:t>
      </w:r>
      <w:r w:rsidR="007408A0">
        <w:t>7</w:t>
      </w:r>
      <w:r w:rsidR="00DC584A" w:rsidRPr="00560572">
        <w:t>–</w:t>
      </w:r>
      <w:r w:rsidR="00FA28CC">
        <w:t>2</w:t>
      </w:r>
      <w:r w:rsidR="007408A0">
        <w:t>7</w:t>
      </w:r>
      <w:r w:rsidRPr="00560572">
        <w:t xml:space="preserve"> </w:t>
      </w:r>
      <w:r w:rsidR="007D5759" w:rsidRPr="00560572">
        <w:t xml:space="preserve">September </w:t>
      </w:r>
      <w:r w:rsidR="00FA3269">
        <w:t>201</w:t>
      </w:r>
      <w:r w:rsidR="007408A0">
        <w:t>9</w:t>
      </w:r>
      <w:r w:rsidR="00215A1B" w:rsidRPr="00560572">
        <w:br/>
        <w:t xml:space="preserve">Item </w:t>
      </w:r>
      <w:r w:rsidR="0046357A">
        <w:t>2</w:t>
      </w:r>
      <w:r w:rsidR="00215A1B" w:rsidRPr="00560572">
        <w:t xml:space="preserve"> of the provisional agenda</w:t>
      </w:r>
      <w:r w:rsidR="00AD79E9">
        <w:t>:</w:t>
      </w:r>
      <w:r w:rsidR="00215A1B" w:rsidRPr="00560572">
        <w:br/>
      </w:r>
      <w:r w:rsidR="0046357A">
        <w:rPr>
          <w:b/>
          <w:bCs/>
        </w:rPr>
        <w:t>Tanks</w:t>
      </w:r>
    </w:p>
    <w:p w:rsidR="006B364D" w:rsidRPr="00E70778" w:rsidRDefault="002574B9" w:rsidP="006B364D">
      <w:pPr>
        <w:pStyle w:val="HChG"/>
        <w:rPr>
          <w:bCs/>
        </w:rPr>
      </w:pPr>
      <w:r w:rsidRPr="00560572">
        <w:tab/>
      </w:r>
      <w:r w:rsidR="00C03A88">
        <w:tab/>
      </w:r>
      <w:r w:rsidR="006B364D">
        <w:t>Tanks: Interpretation of construction requirements applicable to the opening ends of Vacuum-Operated Waste Tanks (VOWTs)</w:t>
      </w:r>
      <w:r w:rsidR="006B364D" w:rsidRPr="00E70778">
        <w:rPr>
          <w:bCs/>
        </w:rPr>
        <w:t xml:space="preserve"> </w:t>
      </w:r>
    </w:p>
    <w:p w:rsidR="006B364D" w:rsidRDefault="006B364D" w:rsidP="006B364D">
      <w:pPr>
        <w:pStyle w:val="H1G"/>
      </w:pPr>
      <w:r>
        <w:tab/>
      </w:r>
      <w:r>
        <w:tab/>
      </w:r>
      <w:r w:rsidRPr="007C7BC4">
        <w:t xml:space="preserve">Transmitted by the Government of the </w:t>
      </w:r>
      <w:r>
        <w:t>United Kingdom</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CellMar>
          <w:left w:w="0" w:type="dxa"/>
          <w:right w:w="0" w:type="dxa"/>
        </w:tblCellMar>
        <w:tblLook w:val="05E0" w:firstRow="1" w:lastRow="1" w:firstColumn="1" w:lastColumn="1" w:noHBand="0" w:noVBand="1"/>
      </w:tblPr>
      <w:tblGrid>
        <w:gridCol w:w="9082"/>
      </w:tblGrid>
      <w:tr w:rsidR="006B364D" w:rsidRPr="007C7BC4" w:rsidTr="003140BB">
        <w:trPr>
          <w:jc w:val="center"/>
        </w:trPr>
        <w:tc>
          <w:tcPr>
            <w:tcW w:w="9082" w:type="dxa"/>
            <w:shd w:val="clear" w:color="auto" w:fill="auto"/>
          </w:tcPr>
          <w:p w:rsidR="006B364D" w:rsidRPr="003A39EA" w:rsidRDefault="006B364D" w:rsidP="003140BB">
            <w:pPr>
              <w:spacing w:before="240" w:after="120"/>
              <w:ind w:left="255"/>
              <w:rPr>
                <w:i/>
              </w:rPr>
            </w:pPr>
            <w:r w:rsidRPr="003A39EA">
              <w:rPr>
                <w:i/>
              </w:rPr>
              <w:t>Summary</w:t>
            </w:r>
          </w:p>
        </w:tc>
      </w:tr>
      <w:tr w:rsidR="006B364D" w:rsidRPr="00585E7B" w:rsidTr="003140BB">
        <w:trPr>
          <w:jc w:val="center"/>
        </w:trPr>
        <w:tc>
          <w:tcPr>
            <w:tcW w:w="9082" w:type="dxa"/>
            <w:shd w:val="clear" w:color="auto" w:fill="auto"/>
          </w:tcPr>
          <w:p w:rsidR="006B364D" w:rsidRPr="003A39EA" w:rsidRDefault="006B364D" w:rsidP="003140BB">
            <w:pPr>
              <w:tabs>
                <w:tab w:val="left" w:pos="3260"/>
              </w:tabs>
              <w:spacing w:after="120"/>
              <w:ind w:left="3260" w:right="1134" w:hanging="2126"/>
              <w:jc w:val="both"/>
            </w:pPr>
            <w:r w:rsidRPr="003A39EA">
              <w:rPr>
                <w:b/>
              </w:rPr>
              <w:t xml:space="preserve">Executive summary: </w:t>
            </w:r>
            <w:r w:rsidRPr="003A39EA">
              <w:tab/>
            </w:r>
            <w:r>
              <w:t xml:space="preserve">This paper provides delegates with additional information on the interpretation of the measures that may be taken to prevent the opening ends of VOWTs from being forced open during a roll-over incident. </w:t>
            </w:r>
          </w:p>
        </w:tc>
      </w:tr>
      <w:tr w:rsidR="006B364D" w:rsidRPr="00585E7B" w:rsidTr="003140BB">
        <w:trPr>
          <w:jc w:val="center"/>
        </w:trPr>
        <w:tc>
          <w:tcPr>
            <w:tcW w:w="9082" w:type="dxa"/>
            <w:shd w:val="clear" w:color="auto" w:fill="auto"/>
          </w:tcPr>
          <w:p w:rsidR="006B364D" w:rsidRPr="001A6463" w:rsidRDefault="006B364D" w:rsidP="006B364D">
            <w:pPr>
              <w:tabs>
                <w:tab w:val="left" w:pos="3260"/>
              </w:tabs>
              <w:ind w:left="3260" w:right="1134" w:hanging="2126"/>
              <w:rPr>
                <w:lang w:val="en-US"/>
              </w:rPr>
            </w:pPr>
            <w:r w:rsidRPr="003A39EA">
              <w:rPr>
                <w:b/>
              </w:rPr>
              <w:t>Action to be taken:</w:t>
            </w:r>
            <w:r w:rsidRPr="003A39EA">
              <w:rPr>
                <w:b/>
              </w:rPr>
              <w:tab/>
            </w:r>
            <w:r w:rsidRPr="001A6463">
              <w:t xml:space="preserve">The </w:t>
            </w:r>
            <w:r>
              <w:t xml:space="preserve">United Kingdom would welcome an exchange of views </w:t>
            </w:r>
            <w:r w:rsidRPr="00502140">
              <w:t>on the U</w:t>
            </w:r>
            <w:r>
              <w:t xml:space="preserve">nited </w:t>
            </w:r>
            <w:r w:rsidRPr="00502140">
              <w:t>K</w:t>
            </w:r>
            <w:r>
              <w:t>ingdom interpretation of ADR 6.10.3.5(e)</w:t>
            </w:r>
          </w:p>
        </w:tc>
      </w:tr>
      <w:tr w:rsidR="006B364D" w:rsidRPr="00585E7B" w:rsidTr="003140BB">
        <w:trPr>
          <w:jc w:val="center"/>
        </w:trPr>
        <w:tc>
          <w:tcPr>
            <w:tcW w:w="9082" w:type="dxa"/>
            <w:shd w:val="clear" w:color="auto" w:fill="auto"/>
          </w:tcPr>
          <w:p w:rsidR="006B364D" w:rsidRPr="003A39EA" w:rsidRDefault="006B364D" w:rsidP="003140BB">
            <w:pPr>
              <w:tabs>
                <w:tab w:val="left" w:pos="3260"/>
              </w:tabs>
              <w:ind w:left="3260" w:right="1134" w:hanging="2126"/>
              <w:rPr>
                <w:b/>
                <w:lang w:val="en-US"/>
              </w:rPr>
            </w:pPr>
            <w:r w:rsidRPr="003A39EA">
              <w:rPr>
                <w:b/>
              </w:rPr>
              <w:t>Related documents:</w:t>
            </w:r>
            <w:r w:rsidRPr="003A39EA">
              <w:rPr>
                <w:b/>
              </w:rPr>
              <w:tab/>
            </w:r>
            <w:r w:rsidRPr="00742D12">
              <w:t xml:space="preserve">Informal </w:t>
            </w:r>
            <w:r>
              <w:t>D</w:t>
            </w:r>
            <w:r w:rsidRPr="00742D12">
              <w:t>ocuments</w:t>
            </w:r>
            <w:r>
              <w:rPr>
                <w:b/>
              </w:rPr>
              <w:t xml:space="preserve"> </w:t>
            </w:r>
            <w:r w:rsidRPr="009C1439">
              <w:t>INF</w:t>
            </w:r>
            <w:r>
              <w:rPr>
                <w:bCs/>
              </w:rPr>
              <w:t>.30 and INF.39 (paragraph 2) of the March 2019 session</w:t>
            </w:r>
            <w:r w:rsidRPr="00D61A4C">
              <w:rPr>
                <w:bCs/>
                <w:color w:val="FF0000"/>
              </w:rPr>
              <w:t xml:space="preserve"> </w:t>
            </w:r>
            <w:r w:rsidRPr="00D61A4C">
              <w:rPr>
                <w:bCs/>
              </w:rPr>
              <w:t xml:space="preserve">and </w:t>
            </w:r>
            <w:r>
              <w:rPr>
                <w:bCs/>
              </w:rPr>
              <w:t>W</w:t>
            </w:r>
            <w:r w:rsidRPr="00D61A4C">
              <w:rPr>
                <w:bCs/>
              </w:rPr>
              <w:t xml:space="preserve">orking </w:t>
            </w:r>
            <w:r>
              <w:rPr>
                <w:bCs/>
              </w:rPr>
              <w:t>D</w:t>
            </w:r>
            <w:r w:rsidRPr="00D61A4C">
              <w:rPr>
                <w:bCs/>
              </w:rPr>
              <w:t xml:space="preserve">ocument </w:t>
            </w:r>
            <w:r>
              <w:rPr>
                <w:bCs/>
              </w:rPr>
              <w:t>E</w:t>
            </w:r>
            <w:r w:rsidRPr="003B5F3B">
              <w:t>CE/TRANS/WP.15/AC.1/2019/25</w:t>
            </w:r>
            <w:r>
              <w:t xml:space="preserve"> of the September 2019 session.</w:t>
            </w:r>
          </w:p>
        </w:tc>
      </w:tr>
      <w:tr w:rsidR="006B364D" w:rsidRPr="00585E7B" w:rsidTr="003140BB">
        <w:trPr>
          <w:jc w:val="center"/>
        </w:trPr>
        <w:tc>
          <w:tcPr>
            <w:tcW w:w="9082" w:type="dxa"/>
            <w:shd w:val="clear" w:color="auto" w:fill="auto"/>
          </w:tcPr>
          <w:p w:rsidR="006B364D" w:rsidRPr="003A39EA" w:rsidRDefault="006B364D" w:rsidP="003140BB">
            <w:pPr>
              <w:tabs>
                <w:tab w:val="left" w:pos="3260"/>
              </w:tabs>
              <w:ind w:left="3260" w:right="1134" w:hanging="2126"/>
              <w:rPr>
                <w:b/>
              </w:rPr>
            </w:pPr>
          </w:p>
        </w:tc>
      </w:tr>
    </w:tbl>
    <w:p w:rsidR="006B364D" w:rsidRPr="007C7BC4" w:rsidRDefault="006B364D" w:rsidP="006B364D">
      <w:pPr>
        <w:pStyle w:val="HChG"/>
        <w:jc w:val="both"/>
      </w:pPr>
      <w:r>
        <w:rPr>
          <w:lang w:val="en-US"/>
        </w:rPr>
        <w:tab/>
      </w:r>
      <w:bookmarkStart w:id="0" w:name="_Hlk532555907"/>
      <w:r>
        <w:rPr>
          <w:lang w:val="en-US"/>
        </w:rPr>
        <w:tab/>
        <w:t>Introduction</w:t>
      </w:r>
      <w:bookmarkEnd w:id="0"/>
    </w:p>
    <w:p w:rsidR="006B364D" w:rsidRDefault="006B364D" w:rsidP="006B364D">
      <w:pPr>
        <w:pStyle w:val="SingleTxtG"/>
        <w:numPr>
          <w:ilvl w:val="0"/>
          <w:numId w:val="27"/>
        </w:numPr>
        <w:suppressAutoHyphens/>
        <w:spacing w:line="240" w:lineRule="atLeast"/>
        <w:ind w:left="1134" w:firstLine="0"/>
        <w:rPr>
          <w:lang w:val="en-US"/>
        </w:rPr>
      </w:pPr>
      <w:r>
        <w:rPr>
          <w:lang w:val="en-US"/>
        </w:rPr>
        <w:t xml:space="preserve">This paper provides additional information to supplement that provided by the United Kingdom in Working Document </w:t>
      </w:r>
      <w:r w:rsidRPr="003B5F3B">
        <w:t>ECE/TRANS/WP.15/AC.1/2019/25</w:t>
      </w:r>
      <w:r w:rsidRPr="00502140">
        <w:rPr>
          <w:lang w:val="en-US"/>
        </w:rPr>
        <w:t>.</w:t>
      </w:r>
    </w:p>
    <w:p w:rsidR="006B364D" w:rsidRPr="001672AD" w:rsidRDefault="006B364D" w:rsidP="006B364D">
      <w:pPr>
        <w:pStyle w:val="SingleTxtG"/>
        <w:rPr>
          <w:bCs/>
        </w:rPr>
      </w:pPr>
      <w:r>
        <w:rPr>
          <w:lang w:val="en-US"/>
        </w:rPr>
        <w:t>2.</w:t>
      </w:r>
      <w:r>
        <w:rPr>
          <w:lang w:val="en-US"/>
        </w:rPr>
        <w:tab/>
        <w:t xml:space="preserve">Paragraph 7(c) of 2019/25 informs that </w:t>
      </w:r>
      <w:r>
        <w:rPr>
          <w:bCs/>
        </w:rPr>
        <w:t xml:space="preserve">hydraulic over centre type clamps used for clamping the opening end in the closed position are fully automatic, controlled by hydraulic linear actuators. </w:t>
      </w:r>
      <w:r w:rsidRPr="001672AD">
        <w:rPr>
          <w:bCs/>
        </w:rPr>
        <w:t>A hook style clamp is connected to a hydraulic ram with a series of linkages. When the ram extends</w:t>
      </w:r>
      <w:r>
        <w:rPr>
          <w:bCs/>
        </w:rPr>
        <w:t>,</w:t>
      </w:r>
      <w:r w:rsidRPr="001672AD">
        <w:rPr>
          <w:bCs/>
        </w:rPr>
        <w:t xml:space="preserve"> the hook clamp rotates on a pivot and clamps the door shut. </w:t>
      </w:r>
    </w:p>
    <w:p w:rsidR="006B364D" w:rsidRDefault="006B364D" w:rsidP="006B364D">
      <w:pPr>
        <w:pStyle w:val="SingleTxtG"/>
        <w:ind w:right="621" w:firstLine="426"/>
        <w:rPr>
          <w:bCs/>
        </w:rPr>
      </w:pPr>
      <w:r w:rsidRPr="001672AD">
        <w:rPr>
          <w:bCs/>
          <w:noProof/>
        </w:rPr>
        <w:drawing>
          <wp:inline distT="0" distB="0" distL="0" distR="0" wp14:anchorId="2C8E913A" wp14:editId="74663908">
            <wp:extent cx="3619500" cy="1346174"/>
            <wp:effectExtent l="19050" t="19050" r="19050" b="26035"/>
            <wp:docPr id="24" name="Picture 24" descr="Over Centre Clamp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ver Centre Clamps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304" r="2397"/>
                    <a:stretch/>
                  </pic:blipFill>
                  <pic:spPr bwMode="auto">
                    <a:xfrm>
                      <a:off x="0" y="0"/>
                      <a:ext cx="3619500" cy="1346174"/>
                    </a:xfrm>
                    <a:prstGeom prst="rect">
                      <a:avLst/>
                    </a:prstGeom>
                    <a:noFill/>
                    <a:ln w="190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6B364D" w:rsidRDefault="006B364D" w:rsidP="006B364D">
      <w:pPr>
        <w:pStyle w:val="SingleTxtG"/>
        <w:rPr>
          <w:bCs/>
        </w:rPr>
      </w:pPr>
      <w:r>
        <w:rPr>
          <w:bCs/>
        </w:rPr>
        <w:lastRenderedPageBreak/>
        <w:t>The paper advises that these types of door clamping mechanisms would appear to be vulnerable to damage that could allow the door to be forced open</w:t>
      </w:r>
      <w:r w:rsidRPr="00BD2F64">
        <w:rPr>
          <w:bCs/>
        </w:rPr>
        <w:t xml:space="preserve"> </w:t>
      </w:r>
      <w:r>
        <w:rPr>
          <w:bCs/>
        </w:rPr>
        <w:t xml:space="preserve">in the event of a roll-over incident and therefore, in our opinion, such design would not seem to meet the requirements of ADR </w:t>
      </w:r>
      <w:r w:rsidRPr="00BD2F64">
        <w:rPr>
          <w:bCs/>
          <w:lang w:val="en-US"/>
        </w:rPr>
        <w:t>6.10.3.5</w:t>
      </w:r>
      <w:r>
        <w:rPr>
          <w:bCs/>
          <w:lang w:val="en-US"/>
        </w:rPr>
        <w:t xml:space="preserve"> (e) unless additional measures were to be put in place to </w:t>
      </w:r>
      <w:r>
        <w:rPr>
          <w:bCs/>
        </w:rPr>
        <w:t>protect the locking mechanism</w:t>
      </w:r>
      <w:r>
        <w:rPr>
          <w:bCs/>
          <w:lang w:val="en-US"/>
        </w:rPr>
        <w:t>.</w:t>
      </w:r>
      <w:r w:rsidRPr="00405778">
        <w:rPr>
          <w:bCs/>
        </w:rPr>
        <w:t xml:space="preserve"> </w:t>
      </w:r>
    </w:p>
    <w:p w:rsidR="006B364D" w:rsidRPr="003B5F3B" w:rsidRDefault="006B364D" w:rsidP="006B364D">
      <w:pPr>
        <w:pStyle w:val="SingleTxtG"/>
        <w:ind w:right="621"/>
        <w:rPr>
          <w:b/>
          <w:sz w:val="28"/>
          <w:szCs w:val="28"/>
        </w:rPr>
      </w:pPr>
      <w:r>
        <w:rPr>
          <w:b/>
          <w:sz w:val="28"/>
          <w:szCs w:val="28"/>
          <w:lang w:val="en-US"/>
        </w:rPr>
        <w:t>Additional information</w:t>
      </w:r>
      <w:r w:rsidRPr="003B5F3B">
        <w:rPr>
          <w:b/>
          <w:sz w:val="28"/>
          <w:szCs w:val="28"/>
          <w:lang w:val="en-US"/>
        </w:rPr>
        <w:t xml:space="preserve"> </w:t>
      </w:r>
    </w:p>
    <w:p w:rsidR="006B364D" w:rsidRDefault="006B364D" w:rsidP="006B364D">
      <w:pPr>
        <w:pStyle w:val="SingleTxtG"/>
        <w:rPr>
          <w:bCs/>
        </w:rPr>
      </w:pPr>
      <w:r>
        <w:rPr>
          <w:bCs/>
        </w:rPr>
        <w:t>3.</w:t>
      </w:r>
      <w:r>
        <w:rPr>
          <w:bCs/>
        </w:rPr>
        <w:tab/>
        <w:t xml:space="preserve">The following image provides an indication of the protection that can be provided by additional measures to protect </w:t>
      </w:r>
      <w:r>
        <w:rPr>
          <w:lang w:val="en-US"/>
        </w:rPr>
        <w:t>h</w:t>
      </w:r>
      <w:proofErr w:type="spellStart"/>
      <w:r>
        <w:rPr>
          <w:bCs/>
        </w:rPr>
        <w:t>ydraulic</w:t>
      </w:r>
      <w:proofErr w:type="spellEnd"/>
      <w:r>
        <w:rPr>
          <w:bCs/>
        </w:rPr>
        <w:t xml:space="preserve"> over centre type clamps in order to prevent the door from being forced open during a roll-over incident. </w:t>
      </w:r>
    </w:p>
    <w:p w:rsidR="006B364D" w:rsidRDefault="006B364D" w:rsidP="006B364D">
      <w:pPr>
        <w:pStyle w:val="SingleTxtG"/>
        <w:ind w:right="621" w:firstLine="1276"/>
        <w:rPr>
          <w:bCs/>
        </w:rPr>
      </w:pPr>
      <w:r>
        <w:rPr>
          <w:noProof/>
        </w:rPr>
        <mc:AlternateContent>
          <mc:Choice Requires="wps">
            <w:drawing>
              <wp:anchor distT="0" distB="0" distL="114300" distR="114300" simplePos="0" relativeHeight="251662336" behindDoc="0" locked="0" layoutInCell="1" allowOverlap="1" wp14:anchorId="10A6D561" wp14:editId="6B54AC3F">
                <wp:simplePos x="0" y="0"/>
                <wp:positionH relativeFrom="column">
                  <wp:posOffset>3318510</wp:posOffset>
                </wp:positionH>
                <wp:positionV relativeFrom="paragraph">
                  <wp:posOffset>1598295</wp:posOffset>
                </wp:positionV>
                <wp:extent cx="927100" cy="908050"/>
                <wp:effectExtent l="0" t="0" r="25400" b="25400"/>
                <wp:wrapNone/>
                <wp:docPr id="6" name="Oval 6"/>
                <wp:cNvGraphicFramePr/>
                <a:graphic xmlns:a="http://schemas.openxmlformats.org/drawingml/2006/main">
                  <a:graphicData uri="http://schemas.microsoft.com/office/word/2010/wordprocessingShape">
                    <wps:wsp>
                      <wps:cNvSpPr/>
                      <wps:spPr>
                        <a:xfrm>
                          <a:off x="0" y="0"/>
                          <a:ext cx="927100" cy="908050"/>
                        </a:xfrm>
                        <a:prstGeom prst="ellipse">
                          <a:avLst/>
                        </a:prstGeom>
                        <a:noFill/>
                        <a:ln w="31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C41411" id="Oval 6" o:spid="_x0000_s1026" style="position:absolute;margin-left:261.3pt;margin-top:125.85pt;width:73pt;height:7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xXOWQIAAK0EAAAOAAAAZHJzL2Uyb0RvYy54bWysVMluGzEMvRfoPwi6NzN2sxoeB0YCFwWC&#10;JEBS5ExrJI8AbaVkj9OvL6UZZ2l6KuqDTIo0qff46Pnl3hq2kxi1dw2fHNWcSSd8q92m4T8eV1/O&#10;OYsJXAvGO9nwZxn55eLzp3kfZnLqO29aiYyKuDjrQ8O7lMKsqqLopIV45IN0FFQeLSRycVO1CD1V&#10;t6aa1vVp1XtsA3ohY6Tb6yHIF6W+UlKkO6WiTMw0nN6WyonlXOezWsxhtkEInRbjM+AfXmFBO2r6&#10;UuoaErAt6g+lrBboo1fpSHhbeaW0kAUDoZnUf6B56CDIgoXIieGFpvj/yorb3T0y3Tb8lDMHlkZ0&#10;twPDTjMzfYgzSngI9zh6kcwMc6/Q5m8CwPaFzecXNuU+MUGXF9OzSU2cCwpd1Of1SWG7ev1xwJi+&#10;SW9ZNhoujdEhZrwwg91NTNSTsg9Z+dr5lTamzMw41jf86+TshDoAKUcZSGTaQFii23AGZkOSFAlL&#10;xeiNbvOvc52Im/WVQUZIG75a1fTJeKnbu7Tc+hpiN+SV0JhmXC4ji8DGl2ayBnqytfbtMxGLflBc&#10;DGKlqdoNxHQPSBIjYmht0h0dyniC4keLs87jr7/d53yaPEU560myhPPnFlByZr470sTF5Pg4a7w4&#10;xydnU3LwbWT9NuK29soT/AktaBDFzPnJHEyF3j7Rdi1zVwqBE9R7YHR0rtKwSrSfQi6XJY10HSDd&#10;uIcgcvHMU+bxcf8EGMZRJ9LIrT/I+8O4h9xh4Mtt8koXLbzySqPKDu1EGdq4v3np3vol6/VfZvEb&#10;AAD//wMAUEsDBBQABgAIAAAAIQBd2Umw4gAAAAsBAAAPAAAAZHJzL2Rvd25yZXYueG1sTI/BTsMw&#10;DIbvSLxDZCRuLF2hXVeaTggNCWnSBAPuaWKabo1TNdlW3p7sBEfbn35/f7WabM9OOPrOkYD5LAGG&#10;pJzuqBXw+fFyVwDzQZKWvSMU8IMeVvX1VSVL7c70jqddaFkMIV9KASaEoeTcK4NW+pkbkOLt241W&#10;hjiOLdejPMdw2/M0SXJuZUfxg5EDPhtUh93RCtDrzLwd7EYtt+vt69deNWZfbIS4vZmeHoEFnMIf&#10;DBf9qA51dGrckbRnvYAsTfOICkiz+QJYJPK8iJtGwP3yYQG8rvj/DvUvAAAA//8DAFBLAQItABQA&#10;BgAIAAAAIQC2gziS/gAAAOEBAAATAAAAAAAAAAAAAAAAAAAAAABbQ29udGVudF9UeXBlc10ueG1s&#10;UEsBAi0AFAAGAAgAAAAhADj9If/WAAAAlAEAAAsAAAAAAAAAAAAAAAAALwEAAF9yZWxzLy5yZWxz&#10;UEsBAi0AFAAGAAgAAAAhABnzFc5ZAgAArQQAAA4AAAAAAAAAAAAAAAAALgIAAGRycy9lMm9Eb2Mu&#10;eG1sUEsBAi0AFAAGAAgAAAAhAF3ZSbDiAAAACwEAAA8AAAAAAAAAAAAAAAAAswQAAGRycy9kb3du&#10;cmV2LnhtbFBLBQYAAAAABAAEAPMAAADCBQAAAAA=&#10;" filled="f" strokecolor="red" strokeweight=".25pt"/>
            </w:pict>
          </mc:Fallback>
        </mc:AlternateContent>
      </w:r>
      <w:r>
        <w:rPr>
          <w:noProof/>
        </w:rPr>
        <mc:AlternateContent>
          <mc:Choice Requires="wps">
            <w:drawing>
              <wp:anchor distT="0" distB="0" distL="114300" distR="114300" simplePos="0" relativeHeight="251659264" behindDoc="0" locked="0" layoutInCell="1" allowOverlap="1" wp14:anchorId="2A60EE11" wp14:editId="6399BB58">
                <wp:simplePos x="0" y="0"/>
                <wp:positionH relativeFrom="column">
                  <wp:posOffset>3432810</wp:posOffset>
                </wp:positionH>
                <wp:positionV relativeFrom="paragraph">
                  <wp:posOffset>696595</wp:posOffset>
                </wp:positionV>
                <wp:extent cx="927100" cy="908050"/>
                <wp:effectExtent l="0" t="0" r="25400" b="25400"/>
                <wp:wrapNone/>
                <wp:docPr id="3" name="Oval 3"/>
                <wp:cNvGraphicFramePr/>
                <a:graphic xmlns:a="http://schemas.openxmlformats.org/drawingml/2006/main">
                  <a:graphicData uri="http://schemas.microsoft.com/office/word/2010/wordprocessingShape">
                    <wps:wsp>
                      <wps:cNvSpPr/>
                      <wps:spPr>
                        <a:xfrm>
                          <a:off x="0" y="0"/>
                          <a:ext cx="927100" cy="90805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8CD89B" id="Oval 3" o:spid="_x0000_s1026" style="position:absolute;margin-left:270.3pt;margin-top:54.85pt;width:73pt;height:7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ijcmQIAAIsFAAAOAAAAZHJzL2Uyb0RvYy54bWysVE1v2zAMvQ/YfxB0X22nydoGdYogRYYB&#10;RVu0HXpWZCkWIIuapMTJfv0o+aPBWuwwLAdHFMlH8onk9c2h0WQvnFdgSlqc5ZQIw6FSZlvSHy/r&#10;L5eU+MBMxTQYUdKj8PRm8fnTdWvnYgI16Eo4giDGz1tb0joEO88yz2vRMH8GVhhUSnANCyi6bVY5&#10;1iJ6o7NJnn/NWnCVdcCF93h72ynpIuFLKXh4kNKLQHRJMbeQvi59N/GbLa7ZfOuYrRXv02D/kEXD&#10;lMGgI9QtC4zsnHoH1SjuwIMMZxyaDKRUXKQasJoi/6Oa55pZkWpBcrwdafL/D5bf7x8dUVVJzykx&#10;rMEnetgzTc4jM631czR4to+ulzweY5kH6Zr4jwWQQ2LzOLIpDoFwvLyaXBQ5cs5RdZVf5rPEdvbm&#10;bJ0P3wQ0JB5KKrRW1sd62Zzt73zAmGg9WMVrA2uldXozbUiLSRcXs+TgQasqKqOZd9vNSjuChZR0&#10;vc7xF8tBsBMzlLTBy1hkV1Y6haMWEUObJyGRGCxk0kWILSlGWMa5MKHoVDWrRBdtdhps8EihE2BE&#10;lpjliN0DDJYdyIDd5dzbR1eROnp0zv+WWOc8eqTIYMLo3CgD7iMAjVX1kTv7gaSOmsjSBqojto2D&#10;bp685WuFb3jHfHhkDgcInx2XQnjAj9SADwX9iZIa3K+P7qM99jVqKWlxIEvqf+6YE5To7wY7/qqY&#10;TuMEJ2E6u5ig4E41m1ON2TUrwNcvcP1Yno7RPujhKB00r7g7ljEqqpjhGLukPLhBWIVuUeD24WK5&#10;TGY4tZaFO/NseQSPrMYGfTm8Mmf7Rg44AfcwDO+7Zu5so6eB5S6AVKnT33jt+caJT43Tb6e4Uk7l&#10;ZPW2Qxe/AQAA//8DAFBLAwQUAAYACAAAACEAOi3Uu+AAAAALAQAADwAAAGRycy9kb3ducmV2Lnht&#10;bEyPsU7DMBCGdyTewTokNmoTtU4IcSoEKlNU0cLC5sTGCcR2ZLtNeHuOCca7/9N/31XbxY7krEMc&#10;vBNwu2JAtOu8GpwR8Pa6uymAxCSdkqN3WsC3jrCtLy8qWSo/u4M+H5MhWOJiKQX0KU0lpbHrtZVx&#10;5SftMPvwwcqEYzBUBTljuR1pxhinVg4OL/Ry0o+97r6OJytg/fzUNMW7yV4+dzk/mCbM+30rxPXV&#10;8nAPJOkl/cHwq4/qUKNT609ORTIK2KwZRxQDdpcDQYIXHDetgGyT5UDriv7/of4BAAD//wMAUEsB&#10;Ai0AFAAGAAgAAAAhALaDOJL+AAAA4QEAABMAAAAAAAAAAAAAAAAAAAAAAFtDb250ZW50X1R5cGVz&#10;XS54bWxQSwECLQAUAAYACAAAACEAOP0h/9YAAACUAQAACwAAAAAAAAAAAAAAAAAvAQAAX3JlbHMv&#10;LnJlbHNQSwECLQAUAAYACAAAACEAdEIo3JkCAACLBQAADgAAAAAAAAAAAAAAAAAuAgAAZHJzL2Uy&#10;b0RvYy54bWxQSwECLQAUAAYACAAAACEAOi3Uu+AAAAALAQAADwAAAAAAAAAAAAAAAADzBAAAZHJz&#10;L2Rvd25yZXYueG1sUEsFBgAAAAAEAAQA8wAAAAAGAAAAAA==&#10;" filled="f" strokecolor="red" strokeweight=".25pt">
                <v:stroke joinstyle="miter"/>
              </v:oval>
            </w:pict>
          </mc:Fallback>
        </mc:AlternateContent>
      </w:r>
      <w:r>
        <w:rPr>
          <w:noProof/>
        </w:rPr>
        <mc:AlternateContent>
          <mc:Choice Requires="wps">
            <w:drawing>
              <wp:anchor distT="0" distB="0" distL="114300" distR="114300" simplePos="0" relativeHeight="251660288" behindDoc="0" locked="0" layoutInCell="1" allowOverlap="1" wp14:anchorId="1BB50F83" wp14:editId="0C20E7B0">
                <wp:simplePos x="0" y="0"/>
                <wp:positionH relativeFrom="column">
                  <wp:posOffset>1390650</wp:posOffset>
                </wp:positionH>
                <wp:positionV relativeFrom="paragraph">
                  <wp:posOffset>1536065</wp:posOffset>
                </wp:positionV>
                <wp:extent cx="927100" cy="908050"/>
                <wp:effectExtent l="0" t="0" r="25400" b="25400"/>
                <wp:wrapNone/>
                <wp:docPr id="4" name="Oval 4"/>
                <wp:cNvGraphicFramePr/>
                <a:graphic xmlns:a="http://schemas.openxmlformats.org/drawingml/2006/main">
                  <a:graphicData uri="http://schemas.microsoft.com/office/word/2010/wordprocessingShape">
                    <wps:wsp>
                      <wps:cNvSpPr/>
                      <wps:spPr>
                        <a:xfrm>
                          <a:off x="0" y="0"/>
                          <a:ext cx="927100" cy="908050"/>
                        </a:xfrm>
                        <a:prstGeom prst="ellipse">
                          <a:avLst/>
                        </a:prstGeom>
                        <a:noFill/>
                        <a:ln w="31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D6BC46" id="Oval 4" o:spid="_x0000_s1026" style="position:absolute;margin-left:109.5pt;margin-top:120.95pt;width:73pt;height:7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UHdWgIAAK0EAAAOAAAAZHJzL2Uyb0RvYy54bWysVE1PGzEQvVfqf7B8L7tJQ4GIDYpAqSoh&#10;QIKK88RrZy35q2MnG/rrO/YuCS09Vc3BmfFMZvzevMnl1d4atpMYtXcNn5zUnEknfKvdpuHfn1af&#10;zjmLCVwLxjvZ8BcZ+dXi44fLPszl1HfetBIZFXFx3oeGdymFeVVF0UkL8cQH6SioPFpI5OKmahF6&#10;qm5NNa3rL1XvsQ3ohYyRbm+GIF+U+kpJke6VijIx03B6WyonlnOdz2pxCfMNQui0GJ8B//AKC9pR&#10;00OpG0jAtqjflbJaoI9epRPhbeWV0kIWDIRmUv+B5rGDIAsWIieGA03x/5UVd7sHZLpt+IwzB5ZG&#10;dL8Dw2aZmT7EOSU8hgccvUhmhrlXaPM3AWD7wubLgU25T0zQ5cX0bFIT54JCF/V5fVrYro4/DhjT&#10;V+kty0bDpTE6xIwX5rC7jYl6UvZrVr52fqWNKTMzjvUN/zw5O6UOQMpRBhKZNhCW6DacgdmQJEXC&#10;UjF6o9v861wn4mZ9bZAR0oavVjV9Ml7q9ltabn0DsRvySmhMMy6XkUVg40szWQM92Vr79oWIRT8o&#10;Lgax0lTtFmJ6ACSJETG0NumeDmU8QfGjxVnn8eff7nM+TZ6inPUkWcL5YwsoOTPfHGniYjKbZY0X&#10;Z3Z6NiUH30bWbyNua689wZ/QggZRzJyfzKup0Ntn2q5l7kohcIJ6D4yOznUaVon2U8jlsqSRrgOk&#10;W/cYRC6eeco8Pu2fAcM46kQaufOv8n437iF3GPhym7zSRQtHXmlU2aGdKEMb9zcv3Vu/ZB3/ZRa/&#10;AAAA//8DAFBLAwQUAAYACAAAACEAf06v9uEAAAALAQAADwAAAGRycy9kb3ducmV2LnhtbEyPQU/D&#10;MAyF70j8h8hI3FjasU1taTohNCSkSRMMuKeNabo1TtVkW/n3mBPcnu2n5++V68n14oxj6DwpSGcJ&#10;CKTGm45aBR/vz3cZiBA1Gd17QgXfGGBdXV+VujD+Qm943sdWcAiFQiuwMQ6FlKGx6HSY+QGJb19+&#10;dDryOLbSjPrC4a6X8yRZSac74g9WD/hksTnuT06B2Szt69Ftm3y32b18HpraHrKtUrc30+MDiIhT&#10;/DPDLz6jQ8VMtT+RCaJXME9z7hJZLNIcBDvuV0ve1CyyRQ6yKuX/DtUPAAAA//8DAFBLAQItABQA&#10;BgAIAAAAIQC2gziS/gAAAOEBAAATAAAAAAAAAAAAAAAAAAAAAABbQ29udGVudF9UeXBlc10ueG1s&#10;UEsBAi0AFAAGAAgAAAAhADj9If/WAAAAlAEAAAsAAAAAAAAAAAAAAAAALwEAAF9yZWxzLy5yZWxz&#10;UEsBAi0AFAAGAAgAAAAhANulQd1aAgAArQQAAA4AAAAAAAAAAAAAAAAALgIAAGRycy9lMm9Eb2Mu&#10;eG1sUEsBAi0AFAAGAAgAAAAhAH9Or/bhAAAACwEAAA8AAAAAAAAAAAAAAAAAtAQAAGRycy9kb3du&#10;cmV2LnhtbFBLBQYAAAAABAAEAPMAAADCBQAAAAA=&#10;" filled="f" strokecolor="red" strokeweight=".25pt"/>
            </w:pict>
          </mc:Fallback>
        </mc:AlternateContent>
      </w:r>
      <w:r>
        <w:rPr>
          <w:noProof/>
        </w:rPr>
        <mc:AlternateContent>
          <mc:Choice Requires="wps">
            <w:drawing>
              <wp:anchor distT="0" distB="0" distL="114300" distR="114300" simplePos="0" relativeHeight="251661312" behindDoc="0" locked="0" layoutInCell="1" allowOverlap="1" wp14:anchorId="65650F45" wp14:editId="7107BD14">
                <wp:simplePos x="0" y="0"/>
                <wp:positionH relativeFrom="column">
                  <wp:posOffset>1270000</wp:posOffset>
                </wp:positionH>
                <wp:positionV relativeFrom="paragraph">
                  <wp:posOffset>628015</wp:posOffset>
                </wp:positionV>
                <wp:extent cx="927100" cy="908050"/>
                <wp:effectExtent l="0" t="0" r="25400" b="25400"/>
                <wp:wrapNone/>
                <wp:docPr id="5" name="Oval 5"/>
                <wp:cNvGraphicFramePr/>
                <a:graphic xmlns:a="http://schemas.openxmlformats.org/drawingml/2006/main">
                  <a:graphicData uri="http://schemas.microsoft.com/office/word/2010/wordprocessingShape">
                    <wps:wsp>
                      <wps:cNvSpPr/>
                      <wps:spPr>
                        <a:xfrm>
                          <a:off x="0" y="0"/>
                          <a:ext cx="927100" cy="908050"/>
                        </a:xfrm>
                        <a:prstGeom prst="ellipse">
                          <a:avLst/>
                        </a:prstGeom>
                        <a:noFill/>
                        <a:ln w="31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B7B692" id="Oval 5" o:spid="_x0000_s1026" style="position:absolute;margin-left:100pt;margin-top:49.45pt;width:73pt;height:7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uvUWgIAAK0EAAAOAAAAZHJzL2Uyb0RvYy54bWysVFFPGzEMfp+0/xDlfdy1owMqrqgCdZqE&#10;AAkmnt1c0ouUxFmS9sp+/Zzc0bKxp2l9SO3YtfN9/tzLq701bCdD1OgaPjmpOZNOYKvdpuHfn1af&#10;zjmLCVwLBp1s+IuM/Grx8cNl7+dyih2aVgZGRVyc977hXUp+XlVRdNJCPEEvHQUVBguJ3LCp2gA9&#10;Vbemmtb1l6rH0PqAQsZItzdDkC9KfaWkSPdKRZmYaTi9LZUzlHOdz2pxCfNNAN9pMT4D/uEVFrSj&#10;podSN5CAbYN+V8pqETCiSicCbYVKaSELBkIzqf9A89iBlwULkRP9gab4/8qKu91DYLpt+IwzB5ZG&#10;dL8Dw2aZmd7HOSU8+ocwepHMDHOvgs3fBIDtC5svBzblPjFBlxfTs0lNnAsKXdTn9aywXR1/7ENM&#10;XyValo2GS2O0jxkvzGF3GxP1pOzXrHztcKWNKTMzjvUN/zw5o3cLIOUoA4lM6wlLdBvOwGxIkiKF&#10;UjGi0W3+da4Tw2Z9bQIjpA1frWr6ZLzU7be03PoGYjfkldCYZlwuI4vAxpdmsgZ6srXG9oWIDTgo&#10;Lnqx0lTtFmJ6gEASI2JobdI9HcogQcHR4qzD8PNv9zmfJk9RznqSLOH8sYUgOTPfHGniYnJ6mjVe&#10;nNPZ2ZSc8DayfhtxW3uNBH9CC+pFMXN+Mq+mCmifabuWuSuFwAnqPTA6OtdpWCXaTyGXy5JGuvaQ&#10;bt2jF7l45inz+LR/huDHUSfSyB2+yvvduIfcYeDLbUKlixaOvNKoskM7UYY27m9eurd+yTr+yyx+&#10;AQAA//8DAFBLAwQUAAYACAAAACEAd8Ecv98AAAAKAQAADwAAAGRycy9kb3ducmV2LnhtbEyPwU7D&#10;MBBE70j8g7VI3KhTKFUS4lQIFQmpUgUF7o69xGnjdRS7bfh7lhMcd2b0dqZaTb4XJxxjF0jBfJaB&#10;QDLBdtQq+Hh/vslBxKTJ6j4QKvjGCKv68qLSpQ1nesPTLrWCIRRLrcClNJRSRuPQ6zgLAxJ7X2H0&#10;OvE5ttKO+sxw38vbLFtKrzviD04P+OTQHHZHr8Cu793rwW9MsV1vXz73pnH7fKPU9dX0+AAi4ZT+&#10;wvBbn6tDzZ2acCQbRa+A6bwlKSjyAgQH7hZLFhp2FvMCZF3J/xPqHwAAAP//AwBQSwECLQAUAAYA&#10;CAAAACEAtoM4kv4AAADhAQAAEwAAAAAAAAAAAAAAAAAAAAAAW0NvbnRlbnRfVHlwZXNdLnhtbFBL&#10;AQItABQABgAIAAAAIQA4/SH/1gAAAJQBAAALAAAAAAAAAAAAAAAAAC8BAABfcmVscy8ucmVsc1BL&#10;AQItABQABgAIAAAAIQC6juvUWgIAAK0EAAAOAAAAAAAAAAAAAAAAAC4CAABkcnMvZTJvRG9jLnht&#10;bFBLAQItABQABgAIAAAAIQB3wRy/3wAAAAoBAAAPAAAAAAAAAAAAAAAAALQEAABkcnMvZG93bnJl&#10;di54bWxQSwUGAAAAAAQABADzAAAAwAUAAAAA&#10;" filled="f" strokecolor="red" strokeweight=".25pt"/>
            </w:pict>
          </mc:Fallback>
        </mc:AlternateContent>
      </w:r>
      <w:r>
        <w:rPr>
          <w:noProof/>
        </w:rPr>
        <w:drawing>
          <wp:inline distT="0" distB="0" distL="0" distR="0" wp14:anchorId="50EDA180" wp14:editId="47598171">
            <wp:extent cx="2584450" cy="2535289"/>
            <wp:effectExtent l="19050" t="19050" r="25400"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328" t="5845" r="43348" b="23827"/>
                    <a:stretch/>
                  </pic:blipFill>
                  <pic:spPr bwMode="auto">
                    <a:xfrm>
                      <a:off x="0" y="0"/>
                      <a:ext cx="2586831" cy="2537624"/>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6B364D" w:rsidRDefault="006B364D" w:rsidP="006B364D">
      <w:pPr>
        <w:pStyle w:val="SingleTxtG"/>
        <w:rPr>
          <w:bCs/>
        </w:rPr>
      </w:pPr>
      <w:r>
        <w:rPr>
          <w:bCs/>
        </w:rPr>
        <w:t>4.</w:t>
      </w:r>
      <w:r>
        <w:rPr>
          <w:bCs/>
        </w:rPr>
        <w:tab/>
        <w:t xml:space="preserve">In our opinion, providing this additional protection to </w:t>
      </w:r>
      <w:r>
        <w:rPr>
          <w:lang w:val="en-US"/>
        </w:rPr>
        <w:t>h</w:t>
      </w:r>
      <w:proofErr w:type="spellStart"/>
      <w:r>
        <w:rPr>
          <w:bCs/>
        </w:rPr>
        <w:t>ydraulic</w:t>
      </w:r>
      <w:proofErr w:type="spellEnd"/>
      <w:r>
        <w:rPr>
          <w:bCs/>
        </w:rPr>
        <w:t xml:space="preserve"> over centre type clamps results in the requirements of ADR </w:t>
      </w:r>
      <w:r w:rsidRPr="00BD2F64">
        <w:rPr>
          <w:bCs/>
          <w:lang w:val="en-US"/>
        </w:rPr>
        <w:t>6.10.3.5</w:t>
      </w:r>
      <w:r>
        <w:rPr>
          <w:bCs/>
          <w:lang w:val="en-US"/>
        </w:rPr>
        <w:t xml:space="preserve"> (e) being fulfilled.</w:t>
      </w:r>
      <w:r w:rsidRPr="00E14D60">
        <w:rPr>
          <w:bCs/>
          <w:lang w:val="en-US"/>
        </w:rPr>
        <w:t xml:space="preserve"> </w:t>
      </w:r>
      <w:r w:rsidRPr="004C7F0D">
        <w:rPr>
          <w:bCs/>
          <w:lang w:val="en-US"/>
        </w:rPr>
        <w:t xml:space="preserve">However, as an alternative to this additional protection, it has been suggested that it would be acceptable for a </w:t>
      </w:r>
      <w:proofErr w:type="gramStart"/>
      <w:r w:rsidRPr="004C7F0D">
        <w:rPr>
          <w:bCs/>
          <w:lang w:val="en-US"/>
        </w:rPr>
        <w:t>sufficient number of</w:t>
      </w:r>
      <w:proofErr w:type="gramEnd"/>
      <w:r w:rsidRPr="004C7F0D">
        <w:rPr>
          <w:bCs/>
          <w:lang w:val="en-US"/>
        </w:rPr>
        <w:t xml:space="preserve"> unprotected </w:t>
      </w:r>
      <w:r w:rsidRPr="004C7F0D">
        <w:rPr>
          <w:bCs/>
        </w:rPr>
        <w:t xml:space="preserve">over centre type clamps to be used to clamp the rear door </w:t>
      </w:r>
      <w:r>
        <w:rPr>
          <w:bCs/>
        </w:rPr>
        <w:t xml:space="preserve">in the </w:t>
      </w:r>
      <w:r w:rsidRPr="004C7F0D">
        <w:rPr>
          <w:bCs/>
        </w:rPr>
        <w:t>closed</w:t>
      </w:r>
      <w:r>
        <w:rPr>
          <w:bCs/>
        </w:rPr>
        <w:t xml:space="preserve"> position</w:t>
      </w:r>
      <w:r w:rsidRPr="004C7F0D">
        <w:rPr>
          <w:bCs/>
        </w:rPr>
        <w:t xml:space="preserve">. The number of clamps would need to be such that, if those on either the left, right and/or top sides of the rear door were damaged in a roll-over, it </w:t>
      </w:r>
      <w:r>
        <w:rPr>
          <w:bCs/>
        </w:rPr>
        <w:t>would be</w:t>
      </w:r>
      <w:r w:rsidRPr="004C7F0D">
        <w:rPr>
          <w:bCs/>
        </w:rPr>
        <w:t xml:space="preserve"> possible for the remaining clamps on the undamaged sides, provided they are so designed, to </w:t>
      </w:r>
      <w:r>
        <w:rPr>
          <w:bCs/>
        </w:rPr>
        <w:t xml:space="preserve">prevent </w:t>
      </w:r>
      <w:r w:rsidRPr="004C7F0D">
        <w:rPr>
          <w:bCs/>
        </w:rPr>
        <w:t xml:space="preserve">the rear door </w:t>
      </w:r>
      <w:r>
        <w:rPr>
          <w:bCs/>
        </w:rPr>
        <w:t xml:space="preserve">from being </w:t>
      </w:r>
      <w:r w:rsidRPr="004C7F0D">
        <w:rPr>
          <w:bCs/>
        </w:rPr>
        <w:t>forced open.</w:t>
      </w:r>
    </w:p>
    <w:p w:rsidR="006B364D" w:rsidRDefault="006B364D" w:rsidP="006B364D">
      <w:pPr>
        <w:pStyle w:val="SingleTxtG"/>
        <w:rPr>
          <w:lang w:val="en-US"/>
        </w:rPr>
      </w:pPr>
      <w:r>
        <w:rPr>
          <w:lang w:val="en-US"/>
        </w:rPr>
        <w:t>5.</w:t>
      </w:r>
      <w:r>
        <w:rPr>
          <w:lang w:val="en-US"/>
        </w:rPr>
        <w:tab/>
        <w:t>As we have previously stated, we are aware of a number of incidents in the United Kingdom where Vacuum-Operated Waste Tanks have been subject to an overturn of 90</w:t>
      </w:r>
      <w:r w:rsidRPr="005E0180">
        <w:rPr>
          <w:vertAlign w:val="superscript"/>
          <w:lang w:val="en-US"/>
        </w:rPr>
        <w:t>0</w:t>
      </w:r>
      <w:r>
        <w:rPr>
          <w:lang w:val="en-US"/>
        </w:rPr>
        <w:t xml:space="preserve">. We are not aware of any incidents that have involved in </w:t>
      </w:r>
      <w:proofErr w:type="gramStart"/>
      <w:r>
        <w:rPr>
          <w:lang w:val="en-US"/>
        </w:rPr>
        <w:t>a</w:t>
      </w:r>
      <w:proofErr w:type="gramEnd"/>
      <w:r>
        <w:rPr>
          <w:lang w:val="en-US"/>
        </w:rPr>
        <w:t xml:space="preserve"> 180</w:t>
      </w:r>
      <w:r w:rsidRPr="005E0180">
        <w:rPr>
          <w:vertAlign w:val="superscript"/>
          <w:lang w:val="en-US"/>
        </w:rPr>
        <w:t>0</w:t>
      </w:r>
      <w:r>
        <w:rPr>
          <w:lang w:val="en-US"/>
        </w:rPr>
        <w:t xml:space="preserve"> overturn but nevertheless, in 90</w:t>
      </w:r>
      <w:r w:rsidRPr="005E0180">
        <w:rPr>
          <w:vertAlign w:val="superscript"/>
          <w:lang w:val="en-US"/>
        </w:rPr>
        <w:t>0</w:t>
      </w:r>
      <w:r>
        <w:rPr>
          <w:vertAlign w:val="superscript"/>
          <w:lang w:val="en-US"/>
        </w:rPr>
        <w:t xml:space="preserve"> </w:t>
      </w:r>
      <w:r>
        <w:rPr>
          <w:lang w:val="en-US"/>
        </w:rPr>
        <w:t>overturns the top of these tanks may still be subject to damage.</w:t>
      </w:r>
    </w:p>
    <w:p w:rsidR="006B364D" w:rsidRPr="00DB3512" w:rsidRDefault="006B364D" w:rsidP="006B364D">
      <w:pPr>
        <w:pStyle w:val="SingleTxtG"/>
        <w:rPr>
          <w:bCs/>
        </w:rPr>
      </w:pPr>
      <w:r>
        <w:rPr>
          <w:lang w:val="en-US"/>
        </w:rPr>
        <w:t>6.</w:t>
      </w:r>
      <w:r>
        <w:rPr>
          <w:lang w:val="en-US"/>
        </w:rPr>
        <w:tab/>
        <w:t xml:space="preserve">Given that in real world incidents damage would seem to predominantly occur to one side of the tank and the top, this solution would in the view of the United Kingdom be acceptable </w:t>
      </w:r>
      <w:r>
        <w:rPr>
          <w:bCs/>
        </w:rPr>
        <w:t xml:space="preserve">provided it was demonstrated either by test or by calculation that the absence of clamps on either side and/or the top of the rear door would still result in the door not being forced open. </w:t>
      </w:r>
    </w:p>
    <w:p w:rsidR="006B364D" w:rsidRPr="008556E6" w:rsidRDefault="006B364D" w:rsidP="006B364D">
      <w:pPr>
        <w:pStyle w:val="SingleTxtG"/>
        <w:ind w:right="621"/>
        <w:rPr>
          <w:b/>
          <w:bCs/>
          <w:sz w:val="28"/>
          <w:szCs w:val="28"/>
        </w:rPr>
      </w:pPr>
      <w:r>
        <w:rPr>
          <w:b/>
          <w:bCs/>
          <w:sz w:val="28"/>
          <w:szCs w:val="28"/>
        </w:rPr>
        <w:t xml:space="preserve">Conclusion  </w:t>
      </w:r>
      <w:r w:rsidRPr="008556E6">
        <w:rPr>
          <w:b/>
          <w:bCs/>
          <w:sz w:val="28"/>
          <w:szCs w:val="28"/>
        </w:rPr>
        <w:t xml:space="preserve"> </w:t>
      </w:r>
      <w:r w:rsidRPr="004850BD">
        <w:rPr>
          <w:bCs/>
        </w:rPr>
        <w:t xml:space="preserve"> </w:t>
      </w:r>
    </w:p>
    <w:p w:rsidR="006B364D" w:rsidRDefault="006B364D" w:rsidP="006B364D">
      <w:pPr>
        <w:pStyle w:val="SingleTxtG"/>
      </w:pPr>
      <w:r>
        <w:rPr>
          <w:bCs/>
        </w:rPr>
        <w:t>7.</w:t>
      </w:r>
      <w:r>
        <w:rPr>
          <w:bCs/>
        </w:rPr>
        <w:tab/>
        <w:t xml:space="preserve">To ensure a consistent approach to interpreting the requirements of 6.10.3.5 (e), </w:t>
      </w:r>
      <w:r w:rsidR="000642F3">
        <w:rPr>
          <w:bCs/>
        </w:rPr>
        <w:t>the United Kingdom</w:t>
      </w:r>
      <w:bookmarkStart w:id="1" w:name="_GoBack"/>
      <w:bookmarkEnd w:id="1"/>
      <w:r>
        <w:rPr>
          <w:bCs/>
        </w:rPr>
        <w:t xml:space="preserve"> </w:t>
      </w:r>
      <w:r>
        <w:rPr>
          <w:lang w:val="en-US"/>
        </w:rPr>
        <w:t xml:space="preserve">would welcome an exchange of views with other </w:t>
      </w:r>
      <w:r w:rsidRPr="00F90641">
        <w:t>member countries as to whether</w:t>
      </w:r>
      <w:r>
        <w:t xml:space="preserve">, in their </w:t>
      </w:r>
      <w:r w:rsidRPr="00F90641">
        <w:t>opinion</w:t>
      </w:r>
      <w:r>
        <w:t xml:space="preserve">, the United Kingdom interpretation of this section concurs with their understanding of the requirements. </w:t>
      </w:r>
    </w:p>
    <w:p w:rsidR="006B364D" w:rsidRPr="00A11D2E" w:rsidRDefault="006B364D" w:rsidP="006B364D">
      <w:pPr>
        <w:pStyle w:val="SingleTxtG"/>
        <w:ind w:right="621"/>
        <w:rPr>
          <w:b/>
          <w:u w:val="single"/>
        </w:rPr>
      </w:pPr>
      <w:r>
        <w:tab/>
      </w:r>
      <w:r>
        <w:tab/>
      </w:r>
      <w:r>
        <w:tab/>
      </w:r>
      <w:r>
        <w:tab/>
      </w:r>
      <w:r>
        <w:tab/>
      </w:r>
      <w:r>
        <w:tab/>
      </w:r>
      <w:r>
        <w:rPr>
          <w:b/>
          <w:u w:val="single"/>
        </w:rPr>
        <w:tab/>
      </w:r>
      <w:r>
        <w:rPr>
          <w:b/>
          <w:u w:val="single"/>
        </w:rPr>
        <w:tab/>
      </w:r>
    </w:p>
    <w:sectPr w:rsidR="006B364D" w:rsidRPr="00A11D2E" w:rsidSect="00956238">
      <w:headerReference w:type="even" r:id="rId10"/>
      <w:headerReference w:type="default" r:id="rId11"/>
      <w:footerReference w:type="even" r:id="rId12"/>
      <w:footerReference w:type="default" r:id="rId13"/>
      <w:headerReference w:type="first" r:id="rId14"/>
      <w:endnotePr>
        <w:numFmt w:val="decimal"/>
      </w:endnotePr>
      <w:pgSz w:w="11907" w:h="16840" w:code="9"/>
      <w:pgMar w:top="1418" w:right="1134" w:bottom="1134" w:left="1134" w:header="851"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5D2C" w:rsidRDefault="000F5D2C"/>
  </w:endnote>
  <w:endnote w:type="continuationSeparator" w:id="0">
    <w:p w:rsidR="000F5D2C" w:rsidRDefault="000F5D2C"/>
  </w:endnote>
  <w:endnote w:type="continuationNotice" w:id="1">
    <w:p w:rsidR="000F5D2C" w:rsidRDefault="000F5D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16A1" w:rsidRPr="003B3A7E" w:rsidRDefault="002B16A1" w:rsidP="003B3A7E">
    <w:pPr>
      <w:pStyle w:val="Footer"/>
    </w:pPr>
    <w:r>
      <w:rPr>
        <w:rStyle w:val="PageNumber"/>
      </w:rPr>
      <w:fldChar w:fldCharType="begin"/>
    </w:r>
    <w:r>
      <w:rPr>
        <w:rStyle w:val="PageNumber"/>
      </w:rPr>
      <w:instrText xml:space="preserve"> PAGE </w:instrText>
    </w:r>
    <w:r>
      <w:rPr>
        <w:rStyle w:val="PageNumber"/>
      </w:rPr>
      <w:fldChar w:fldCharType="separate"/>
    </w:r>
    <w:r w:rsidR="00082FAE">
      <w:rPr>
        <w:rStyle w:val="PageNumber"/>
        <w:noProof/>
      </w:rPr>
      <w:t>4</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16A1" w:rsidRDefault="002B16A1" w:rsidP="003B3A7E">
    <w:pPr>
      <w:pStyle w:val="Footer"/>
      <w:jc w:val="right"/>
    </w:pPr>
    <w:r>
      <w:rPr>
        <w:rStyle w:val="PageNumber"/>
      </w:rPr>
      <w:fldChar w:fldCharType="begin"/>
    </w:r>
    <w:r>
      <w:rPr>
        <w:rStyle w:val="PageNumber"/>
      </w:rPr>
      <w:instrText xml:space="preserve"> PAGE </w:instrText>
    </w:r>
    <w:r>
      <w:rPr>
        <w:rStyle w:val="PageNumber"/>
      </w:rPr>
      <w:fldChar w:fldCharType="separate"/>
    </w:r>
    <w:r w:rsidR="00082FAE">
      <w:rPr>
        <w:rStyle w:val="PageNumber"/>
        <w:noProof/>
      </w:rPr>
      <w:t>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5D2C" w:rsidRPr="000B175B" w:rsidRDefault="000F5D2C" w:rsidP="000B175B">
      <w:pPr>
        <w:tabs>
          <w:tab w:val="right" w:pos="2155"/>
        </w:tabs>
        <w:spacing w:after="80"/>
        <w:ind w:left="680"/>
        <w:rPr>
          <w:u w:val="single"/>
        </w:rPr>
      </w:pPr>
      <w:r>
        <w:rPr>
          <w:u w:val="single"/>
        </w:rPr>
        <w:tab/>
      </w:r>
    </w:p>
  </w:footnote>
  <w:footnote w:type="continuationSeparator" w:id="0">
    <w:p w:rsidR="000F5D2C" w:rsidRPr="00FC68B7" w:rsidRDefault="000F5D2C" w:rsidP="00FC68B7">
      <w:pPr>
        <w:tabs>
          <w:tab w:val="left" w:pos="2155"/>
        </w:tabs>
        <w:spacing w:after="80"/>
        <w:ind w:left="680"/>
        <w:rPr>
          <w:u w:val="single"/>
        </w:rPr>
      </w:pPr>
      <w:r>
        <w:rPr>
          <w:u w:val="single"/>
        </w:rPr>
        <w:tab/>
      </w:r>
    </w:p>
  </w:footnote>
  <w:footnote w:type="continuationNotice" w:id="1">
    <w:p w:rsidR="000F5D2C" w:rsidRDefault="000F5D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16A1" w:rsidRPr="0009455D" w:rsidRDefault="002B16A1">
    <w:pPr>
      <w:pStyle w:val="Header"/>
      <w:rPr>
        <w:lang w:val="fr-CH"/>
      </w:rPr>
    </w:pPr>
    <w:r>
      <w:rPr>
        <w:lang w:val="fr-CH"/>
      </w:rPr>
      <w:t>INF.</w:t>
    </w:r>
    <w:r w:rsidR="0046357A">
      <w:rPr>
        <w:lang w:val="fr-CH"/>
      </w:rPr>
      <w:t>1</w:t>
    </w:r>
    <w:r w:rsidR="006B364D">
      <w:rPr>
        <w:lang w:val="fr-CH"/>
      </w:rPr>
      <w:t>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16A1" w:rsidRPr="00073BC9" w:rsidRDefault="002B16A1" w:rsidP="0009455D">
    <w:pPr>
      <w:pStyle w:val="Header"/>
      <w:jc w:val="right"/>
    </w:pPr>
    <w:r>
      <w:t>INF.2</w:t>
    </w:r>
    <w:r w:rsidR="007F1E0D">
      <w:t>/Rev.1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16A1" w:rsidRPr="00560572" w:rsidRDefault="002B16A1" w:rsidP="00E37495">
    <w:pPr>
      <w:pStyle w:val="Header"/>
      <w:pBdr>
        <w:bottom w:val="single" w:sz="4" w:space="1" w:color="auto"/>
      </w:pBdr>
      <w:jc w:val="right"/>
      <w:rPr>
        <w:sz w:val="28"/>
        <w:szCs w:val="28"/>
      </w:rPr>
    </w:pPr>
    <w:r w:rsidRPr="00560572">
      <w:rPr>
        <w:sz w:val="28"/>
        <w:szCs w:val="28"/>
      </w:rPr>
      <w:t>INF.</w:t>
    </w:r>
    <w:r w:rsidR="0046357A">
      <w:rPr>
        <w:sz w:val="28"/>
        <w:szCs w:val="28"/>
      </w:rPr>
      <w:t>1</w:t>
    </w:r>
    <w:r w:rsidR="006B364D">
      <w:rPr>
        <w:sz w:val="28"/>
        <w:szCs w:val="28"/>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1D211FE1"/>
    <w:multiLevelType w:val="hybridMultilevel"/>
    <w:tmpl w:val="9B185678"/>
    <w:lvl w:ilvl="0" w:tplc="872035EA">
      <w:start w:val="10"/>
      <w:numFmt w:val="decimal"/>
      <w:lvlText w:val="%1."/>
      <w:lvlJc w:val="left"/>
      <w:pPr>
        <w:tabs>
          <w:tab w:val="num" w:pos="1695"/>
        </w:tabs>
        <w:ind w:left="1695" w:hanging="555"/>
      </w:pPr>
      <w:rPr>
        <w:rFonts w:hint="default"/>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6711FA"/>
    <w:multiLevelType w:val="hybridMultilevel"/>
    <w:tmpl w:val="6AEECAFA"/>
    <w:lvl w:ilvl="0" w:tplc="8F1005A2">
      <w:start w:val="1"/>
      <w:numFmt w:val="decimal"/>
      <w:lvlText w:val="%1."/>
      <w:lvlJc w:val="left"/>
      <w:pPr>
        <w:ind w:left="1704" w:hanging="57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6"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56D5EC3"/>
    <w:multiLevelType w:val="multilevel"/>
    <w:tmpl w:val="9B185678"/>
    <w:lvl w:ilvl="0">
      <w:start w:val="10"/>
      <w:numFmt w:val="decimal"/>
      <w:lvlText w:val="%1."/>
      <w:lvlJc w:val="left"/>
      <w:pPr>
        <w:tabs>
          <w:tab w:val="num" w:pos="1695"/>
        </w:tabs>
        <w:ind w:left="1695" w:hanging="555"/>
      </w:pPr>
      <w:rPr>
        <w:rFonts w:hint="default"/>
      </w:rPr>
    </w:lvl>
    <w:lvl w:ilvl="1">
      <w:start w:val="1"/>
      <w:numFmt w:val="lowerLetter"/>
      <w:lvlText w:val="%2."/>
      <w:lvlJc w:val="left"/>
      <w:pPr>
        <w:tabs>
          <w:tab w:val="num" w:pos="2220"/>
        </w:tabs>
        <w:ind w:left="2220" w:hanging="360"/>
      </w:pPr>
    </w:lvl>
    <w:lvl w:ilvl="2">
      <w:start w:val="1"/>
      <w:numFmt w:val="lowerRoman"/>
      <w:lvlText w:val="%3."/>
      <w:lvlJc w:val="right"/>
      <w:pPr>
        <w:tabs>
          <w:tab w:val="num" w:pos="2940"/>
        </w:tabs>
        <w:ind w:left="2940" w:hanging="180"/>
      </w:pPr>
    </w:lvl>
    <w:lvl w:ilvl="3">
      <w:start w:val="1"/>
      <w:numFmt w:val="decimal"/>
      <w:lvlText w:val="%4."/>
      <w:lvlJc w:val="left"/>
      <w:pPr>
        <w:tabs>
          <w:tab w:val="num" w:pos="3660"/>
        </w:tabs>
        <w:ind w:left="3660" w:hanging="360"/>
      </w:pPr>
    </w:lvl>
    <w:lvl w:ilvl="4">
      <w:start w:val="1"/>
      <w:numFmt w:val="lowerLetter"/>
      <w:lvlText w:val="%5."/>
      <w:lvlJc w:val="left"/>
      <w:pPr>
        <w:tabs>
          <w:tab w:val="num" w:pos="4380"/>
        </w:tabs>
        <w:ind w:left="4380" w:hanging="360"/>
      </w:pPr>
    </w:lvl>
    <w:lvl w:ilvl="5">
      <w:start w:val="1"/>
      <w:numFmt w:val="lowerRoman"/>
      <w:lvlText w:val="%6."/>
      <w:lvlJc w:val="right"/>
      <w:pPr>
        <w:tabs>
          <w:tab w:val="num" w:pos="5100"/>
        </w:tabs>
        <w:ind w:left="5100" w:hanging="180"/>
      </w:pPr>
    </w:lvl>
    <w:lvl w:ilvl="6">
      <w:start w:val="1"/>
      <w:numFmt w:val="decimal"/>
      <w:lvlText w:val="%7."/>
      <w:lvlJc w:val="left"/>
      <w:pPr>
        <w:tabs>
          <w:tab w:val="num" w:pos="5820"/>
        </w:tabs>
        <w:ind w:left="5820" w:hanging="360"/>
      </w:pPr>
    </w:lvl>
    <w:lvl w:ilvl="7">
      <w:start w:val="1"/>
      <w:numFmt w:val="lowerLetter"/>
      <w:lvlText w:val="%8."/>
      <w:lvlJc w:val="left"/>
      <w:pPr>
        <w:tabs>
          <w:tab w:val="num" w:pos="6540"/>
        </w:tabs>
        <w:ind w:left="6540" w:hanging="360"/>
      </w:pPr>
    </w:lvl>
    <w:lvl w:ilvl="8">
      <w:start w:val="1"/>
      <w:numFmt w:val="lowerRoman"/>
      <w:lvlText w:val="%9."/>
      <w:lvlJc w:val="right"/>
      <w:pPr>
        <w:tabs>
          <w:tab w:val="num" w:pos="7260"/>
        </w:tabs>
        <w:ind w:left="7260" w:hanging="180"/>
      </w:pPr>
    </w:lvl>
  </w:abstractNum>
  <w:abstractNum w:abstractNumId="19" w15:restartNumberingAfterBreak="0">
    <w:nsid w:val="38B77138"/>
    <w:multiLevelType w:val="hybridMultilevel"/>
    <w:tmpl w:val="E82C8D8E"/>
    <w:lvl w:ilvl="0" w:tplc="588A3AEC">
      <w:start w:val="1"/>
      <w:numFmt w:val="decimal"/>
      <w:lvlText w:val="%1."/>
      <w:lvlJc w:val="left"/>
      <w:pPr>
        <w:tabs>
          <w:tab w:val="num" w:pos="1695"/>
        </w:tabs>
        <w:ind w:left="1695" w:hanging="555"/>
      </w:pPr>
      <w:rPr>
        <w:rFonts w:hint="default"/>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20" w15:restartNumberingAfterBreak="0">
    <w:nsid w:val="3A5E697A"/>
    <w:multiLevelType w:val="hybridMultilevel"/>
    <w:tmpl w:val="7C4847AA"/>
    <w:lvl w:ilvl="0" w:tplc="B6D49B54">
      <w:start w:val="11"/>
      <w:numFmt w:val="decimal"/>
      <w:lvlText w:val="%1."/>
      <w:lvlJc w:val="left"/>
      <w:pPr>
        <w:tabs>
          <w:tab w:val="num" w:pos="2055"/>
        </w:tabs>
        <w:ind w:left="2055" w:hanging="360"/>
      </w:pPr>
      <w:rPr>
        <w:rFonts w:hint="default"/>
      </w:rPr>
    </w:lvl>
    <w:lvl w:ilvl="1" w:tplc="04090019" w:tentative="1">
      <w:start w:val="1"/>
      <w:numFmt w:val="lowerLetter"/>
      <w:lvlText w:val="%2."/>
      <w:lvlJc w:val="left"/>
      <w:pPr>
        <w:tabs>
          <w:tab w:val="num" w:pos="2775"/>
        </w:tabs>
        <w:ind w:left="2775" w:hanging="360"/>
      </w:pPr>
    </w:lvl>
    <w:lvl w:ilvl="2" w:tplc="0409001B" w:tentative="1">
      <w:start w:val="1"/>
      <w:numFmt w:val="lowerRoman"/>
      <w:lvlText w:val="%3."/>
      <w:lvlJc w:val="right"/>
      <w:pPr>
        <w:tabs>
          <w:tab w:val="num" w:pos="3495"/>
        </w:tabs>
        <w:ind w:left="3495" w:hanging="180"/>
      </w:pPr>
    </w:lvl>
    <w:lvl w:ilvl="3" w:tplc="0409000F" w:tentative="1">
      <w:start w:val="1"/>
      <w:numFmt w:val="decimal"/>
      <w:lvlText w:val="%4."/>
      <w:lvlJc w:val="left"/>
      <w:pPr>
        <w:tabs>
          <w:tab w:val="num" w:pos="4215"/>
        </w:tabs>
        <w:ind w:left="4215" w:hanging="360"/>
      </w:pPr>
    </w:lvl>
    <w:lvl w:ilvl="4" w:tplc="04090019" w:tentative="1">
      <w:start w:val="1"/>
      <w:numFmt w:val="lowerLetter"/>
      <w:lvlText w:val="%5."/>
      <w:lvlJc w:val="left"/>
      <w:pPr>
        <w:tabs>
          <w:tab w:val="num" w:pos="4935"/>
        </w:tabs>
        <w:ind w:left="4935" w:hanging="360"/>
      </w:pPr>
    </w:lvl>
    <w:lvl w:ilvl="5" w:tplc="0409001B" w:tentative="1">
      <w:start w:val="1"/>
      <w:numFmt w:val="lowerRoman"/>
      <w:lvlText w:val="%6."/>
      <w:lvlJc w:val="right"/>
      <w:pPr>
        <w:tabs>
          <w:tab w:val="num" w:pos="5655"/>
        </w:tabs>
        <w:ind w:left="5655" w:hanging="180"/>
      </w:pPr>
    </w:lvl>
    <w:lvl w:ilvl="6" w:tplc="0409000F" w:tentative="1">
      <w:start w:val="1"/>
      <w:numFmt w:val="decimal"/>
      <w:lvlText w:val="%7."/>
      <w:lvlJc w:val="left"/>
      <w:pPr>
        <w:tabs>
          <w:tab w:val="num" w:pos="6375"/>
        </w:tabs>
        <w:ind w:left="6375" w:hanging="360"/>
      </w:pPr>
    </w:lvl>
    <w:lvl w:ilvl="7" w:tplc="04090019" w:tentative="1">
      <w:start w:val="1"/>
      <w:numFmt w:val="lowerLetter"/>
      <w:lvlText w:val="%8."/>
      <w:lvlJc w:val="left"/>
      <w:pPr>
        <w:tabs>
          <w:tab w:val="num" w:pos="7095"/>
        </w:tabs>
        <w:ind w:left="7095" w:hanging="360"/>
      </w:pPr>
    </w:lvl>
    <w:lvl w:ilvl="8" w:tplc="0409001B" w:tentative="1">
      <w:start w:val="1"/>
      <w:numFmt w:val="lowerRoman"/>
      <w:lvlText w:val="%9."/>
      <w:lvlJc w:val="right"/>
      <w:pPr>
        <w:tabs>
          <w:tab w:val="num" w:pos="7815"/>
        </w:tabs>
        <w:ind w:left="7815" w:hanging="180"/>
      </w:pPr>
    </w:lvl>
  </w:abstractNum>
  <w:abstractNum w:abstractNumId="21" w15:restartNumberingAfterBreak="0">
    <w:nsid w:val="44BF1240"/>
    <w:multiLevelType w:val="multilevel"/>
    <w:tmpl w:val="9B185678"/>
    <w:lvl w:ilvl="0">
      <w:start w:val="10"/>
      <w:numFmt w:val="decimal"/>
      <w:lvlText w:val="%1."/>
      <w:lvlJc w:val="left"/>
      <w:pPr>
        <w:tabs>
          <w:tab w:val="num" w:pos="1695"/>
        </w:tabs>
        <w:ind w:left="1695" w:hanging="555"/>
      </w:pPr>
      <w:rPr>
        <w:rFonts w:hint="default"/>
      </w:rPr>
    </w:lvl>
    <w:lvl w:ilvl="1">
      <w:start w:val="1"/>
      <w:numFmt w:val="lowerLetter"/>
      <w:lvlText w:val="%2."/>
      <w:lvlJc w:val="left"/>
      <w:pPr>
        <w:tabs>
          <w:tab w:val="num" w:pos="2220"/>
        </w:tabs>
        <w:ind w:left="2220" w:hanging="360"/>
      </w:pPr>
    </w:lvl>
    <w:lvl w:ilvl="2">
      <w:start w:val="1"/>
      <w:numFmt w:val="lowerRoman"/>
      <w:lvlText w:val="%3."/>
      <w:lvlJc w:val="right"/>
      <w:pPr>
        <w:tabs>
          <w:tab w:val="num" w:pos="2940"/>
        </w:tabs>
        <w:ind w:left="2940" w:hanging="180"/>
      </w:pPr>
    </w:lvl>
    <w:lvl w:ilvl="3">
      <w:start w:val="1"/>
      <w:numFmt w:val="decimal"/>
      <w:lvlText w:val="%4."/>
      <w:lvlJc w:val="left"/>
      <w:pPr>
        <w:tabs>
          <w:tab w:val="num" w:pos="3660"/>
        </w:tabs>
        <w:ind w:left="3660" w:hanging="360"/>
      </w:pPr>
    </w:lvl>
    <w:lvl w:ilvl="4">
      <w:start w:val="1"/>
      <w:numFmt w:val="lowerLetter"/>
      <w:lvlText w:val="%5."/>
      <w:lvlJc w:val="left"/>
      <w:pPr>
        <w:tabs>
          <w:tab w:val="num" w:pos="4380"/>
        </w:tabs>
        <w:ind w:left="4380" w:hanging="360"/>
      </w:pPr>
    </w:lvl>
    <w:lvl w:ilvl="5">
      <w:start w:val="1"/>
      <w:numFmt w:val="lowerRoman"/>
      <w:lvlText w:val="%6."/>
      <w:lvlJc w:val="right"/>
      <w:pPr>
        <w:tabs>
          <w:tab w:val="num" w:pos="5100"/>
        </w:tabs>
        <w:ind w:left="5100" w:hanging="180"/>
      </w:pPr>
    </w:lvl>
    <w:lvl w:ilvl="6">
      <w:start w:val="1"/>
      <w:numFmt w:val="decimal"/>
      <w:lvlText w:val="%7."/>
      <w:lvlJc w:val="left"/>
      <w:pPr>
        <w:tabs>
          <w:tab w:val="num" w:pos="5820"/>
        </w:tabs>
        <w:ind w:left="5820" w:hanging="360"/>
      </w:pPr>
    </w:lvl>
    <w:lvl w:ilvl="7">
      <w:start w:val="1"/>
      <w:numFmt w:val="lowerLetter"/>
      <w:lvlText w:val="%8."/>
      <w:lvlJc w:val="left"/>
      <w:pPr>
        <w:tabs>
          <w:tab w:val="num" w:pos="6540"/>
        </w:tabs>
        <w:ind w:left="6540" w:hanging="360"/>
      </w:pPr>
    </w:lvl>
    <w:lvl w:ilvl="8">
      <w:start w:val="1"/>
      <w:numFmt w:val="lowerRoman"/>
      <w:lvlText w:val="%9."/>
      <w:lvlJc w:val="right"/>
      <w:pPr>
        <w:tabs>
          <w:tab w:val="num" w:pos="7260"/>
        </w:tabs>
        <w:ind w:left="7260" w:hanging="180"/>
      </w:pPr>
    </w:lvl>
  </w:abstractNum>
  <w:abstractNum w:abstractNumId="22" w15:restartNumberingAfterBreak="0">
    <w:nsid w:val="64473BB3"/>
    <w:multiLevelType w:val="hybridMultilevel"/>
    <w:tmpl w:val="DEECA174"/>
    <w:lvl w:ilvl="0" w:tplc="5FACC2DC">
      <w:numFmt w:val="bullet"/>
      <w:lvlText w:val="-"/>
      <w:lvlJc w:val="left"/>
      <w:pPr>
        <w:tabs>
          <w:tab w:val="num" w:pos="360"/>
        </w:tabs>
        <w:ind w:left="360" w:hanging="360"/>
      </w:pPr>
      <w:rPr>
        <w:rFonts w:ascii="Arial" w:eastAsia="Times New Roman" w:hAnsi="Arial" w:cs="Arial" w:hint="default"/>
        <w:color w:val="auto"/>
      </w:rPr>
    </w:lvl>
    <w:lvl w:ilvl="1" w:tplc="100C0003" w:tentative="1">
      <w:start w:val="1"/>
      <w:numFmt w:val="bullet"/>
      <w:lvlText w:val="o"/>
      <w:lvlJc w:val="left"/>
      <w:pPr>
        <w:tabs>
          <w:tab w:val="num" w:pos="1080"/>
        </w:tabs>
        <w:ind w:left="1080" w:hanging="360"/>
      </w:pPr>
      <w:rPr>
        <w:rFonts w:ascii="Courier New" w:hAnsi="Courier New" w:cs="Courier New" w:hint="default"/>
      </w:rPr>
    </w:lvl>
    <w:lvl w:ilvl="2" w:tplc="100C0005" w:tentative="1">
      <w:start w:val="1"/>
      <w:numFmt w:val="bullet"/>
      <w:lvlText w:val=""/>
      <w:lvlJc w:val="left"/>
      <w:pPr>
        <w:tabs>
          <w:tab w:val="num" w:pos="1800"/>
        </w:tabs>
        <w:ind w:left="1800" w:hanging="360"/>
      </w:pPr>
      <w:rPr>
        <w:rFonts w:ascii="Wingdings" w:hAnsi="Wingdings" w:hint="default"/>
      </w:rPr>
    </w:lvl>
    <w:lvl w:ilvl="3" w:tplc="100C0001" w:tentative="1">
      <w:start w:val="1"/>
      <w:numFmt w:val="bullet"/>
      <w:lvlText w:val=""/>
      <w:lvlJc w:val="left"/>
      <w:pPr>
        <w:tabs>
          <w:tab w:val="num" w:pos="2520"/>
        </w:tabs>
        <w:ind w:left="2520" w:hanging="360"/>
      </w:pPr>
      <w:rPr>
        <w:rFonts w:ascii="Symbol" w:hAnsi="Symbol" w:hint="default"/>
      </w:rPr>
    </w:lvl>
    <w:lvl w:ilvl="4" w:tplc="100C0003" w:tentative="1">
      <w:start w:val="1"/>
      <w:numFmt w:val="bullet"/>
      <w:lvlText w:val="o"/>
      <w:lvlJc w:val="left"/>
      <w:pPr>
        <w:tabs>
          <w:tab w:val="num" w:pos="3240"/>
        </w:tabs>
        <w:ind w:left="3240" w:hanging="360"/>
      </w:pPr>
      <w:rPr>
        <w:rFonts w:ascii="Courier New" w:hAnsi="Courier New" w:cs="Courier New" w:hint="default"/>
      </w:rPr>
    </w:lvl>
    <w:lvl w:ilvl="5" w:tplc="100C0005" w:tentative="1">
      <w:start w:val="1"/>
      <w:numFmt w:val="bullet"/>
      <w:lvlText w:val=""/>
      <w:lvlJc w:val="left"/>
      <w:pPr>
        <w:tabs>
          <w:tab w:val="num" w:pos="3960"/>
        </w:tabs>
        <w:ind w:left="3960" w:hanging="360"/>
      </w:pPr>
      <w:rPr>
        <w:rFonts w:ascii="Wingdings" w:hAnsi="Wingdings" w:hint="default"/>
      </w:rPr>
    </w:lvl>
    <w:lvl w:ilvl="6" w:tplc="100C0001" w:tentative="1">
      <w:start w:val="1"/>
      <w:numFmt w:val="bullet"/>
      <w:lvlText w:val=""/>
      <w:lvlJc w:val="left"/>
      <w:pPr>
        <w:tabs>
          <w:tab w:val="num" w:pos="4680"/>
        </w:tabs>
        <w:ind w:left="4680" w:hanging="360"/>
      </w:pPr>
      <w:rPr>
        <w:rFonts w:ascii="Symbol" w:hAnsi="Symbol" w:hint="default"/>
      </w:rPr>
    </w:lvl>
    <w:lvl w:ilvl="7" w:tplc="100C0003" w:tentative="1">
      <w:start w:val="1"/>
      <w:numFmt w:val="bullet"/>
      <w:lvlText w:val="o"/>
      <w:lvlJc w:val="left"/>
      <w:pPr>
        <w:tabs>
          <w:tab w:val="num" w:pos="5400"/>
        </w:tabs>
        <w:ind w:left="5400" w:hanging="360"/>
      </w:pPr>
      <w:rPr>
        <w:rFonts w:ascii="Courier New" w:hAnsi="Courier New" w:cs="Courier New" w:hint="default"/>
      </w:rPr>
    </w:lvl>
    <w:lvl w:ilvl="8" w:tplc="100C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E37019"/>
    <w:multiLevelType w:val="multilevel"/>
    <w:tmpl w:val="9B185678"/>
    <w:lvl w:ilvl="0">
      <w:start w:val="10"/>
      <w:numFmt w:val="decimal"/>
      <w:lvlText w:val="%1."/>
      <w:lvlJc w:val="left"/>
      <w:pPr>
        <w:tabs>
          <w:tab w:val="num" w:pos="1695"/>
        </w:tabs>
        <w:ind w:left="1695" w:hanging="555"/>
      </w:pPr>
      <w:rPr>
        <w:rFonts w:hint="default"/>
      </w:rPr>
    </w:lvl>
    <w:lvl w:ilvl="1">
      <w:start w:val="1"/>
      <w:numFmt w:val="lowerLetter"/>
      <w:lvlText w:val="%2."/>
      <w:lvlJc w:val="left"/>
      <w:pPr>
        <w:tabs>
          <w:tab w:val="num" w:pos="2220"/>
        </w:tabs>
        <w:ind w:left="2220" w:hanging="360"/>
      </w:pPr>
    </w:lvl>
    <w:lvl w:ilvl="2">
      <w:start w:val="1"/>
      <w:numFmt w:val="lowerRoman"/>
      <w:lvlText w:val="%3."/>
      <w:lvlJc w:val="right"/>
      <w:pPr>
        <w:tabs>
          <w:tab w:val="num" w:pos="2940"/>
        </w:tabs>
        <w:ind w:left="2940" w:hanging="180"/>
      </w:pPr>
    </w:lvl>
    <w:lvl w:ilvl="3">
      <w:start w:val="1"/>
      <w:numFmt w:val="decimal"/>
      <w:lvlText w:val="%4."/>
      <w:lvlJc w:val="left"/>
      <w:pPr>
        <w:tabs>
          <w:tab w:val="num" w:pos="3660"/>
        </w:tabs>
        <w:ind w:left="3660" w:hanging="360"/>
      </w:pPr>
    </w:lvl>
    <w:lvl w:ilvl="4">
      <w:start w:val="1"/>
      <w:numFmt w:val="lowerLetter"/>
      <w:lvlText w:val="%5."/>
      <w:lvlJc w:val="left"/>
      <w:pPr>
        <w:tabs>
          <w:tab w:val="num" w:pos="4380"/>
        </w:tabs>
        <w:ind w:left="4380" w:hanging="360"/>
      </w:pPr>
    </w:lvl>
    <w:lvl w:ilvl="5">
      <w:start w:val="1"/>
      <w:numFmt w:val="lowerRoman"/>
      <w:lvlText w:val="%6."/>
      <w:lvlJc w:val="right"/>
      <w:pPr>
        <w:tabs>
          <w:tab w:val="num" w:pos="5100"/>
        </w:tabs>
        <w:ind w:left="5100" w:hanging="180"/>
      </w:pPr>
    </w:lvl>
    <w:lvl w:ilvl="6">
      <w:start w:val="1"/>
      <w:numFmt w:val="decimal"/>
      <w:lvlText w:val="%7."/>
      <w:lvlJc w:val="left"/>
      <w:pPr>
        <w:tabs>
          <w:tab w:val="num" w:pos="5820"/>
        </w:tabs>
        <w:ind w:left="5820" w:hanging="360"/>
      </w:pPr>
    </w:lvl>
    <w:lvl w:ilvl="7">
      <w:start w:val="1"/>
      <w:numFmt w:val="lowerLetter"/>
      <w:lvlText w:val="%8."/>
      <w:lvlJc w:val="left"/>
      <w:pPr>
        <w:tabs>
          <w:tab w:val="num" w:pos="6540"/>
        </w:tabs>
        <w:ind w:left="6540" w:hanging="360"/>
      </w:pPr>
    </w:lvl>
    <w:lvl w:ilvl="8">
      <w:start w:val="1"/>
      <w:numFmt w:val="lowerRoman"/>
      <w:lvlText w:val="%9."/>
      <w:lvlJc w:val="right"/>
      <w:pPr>
        <w:tabs>
          <w:tab w:val="num" w:pos="7260"/>
        </w:tabs>
        <w:ind w:left="7260" w:hanging="180"/>
      </w:pPr>
    </w:lvl>
  </w:abstractNum>
  <w:abstractNum w:abstractNumId="25"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BDA391A"/>
    <w:multiLevelType w:val="multilevel"/>
    <w:tmpl w:val="9B185678"/>
    <w:lvl w:ilvl="0">
      <w:start w:val="10"/>
      <w:numFmt w:val="decimal"/>
      <w:lvlText w:val="%1."/>
      <w:lvlJc w:val="left"/>
      <w:pPr>
        <w:tabs>
          <w:tab w:val="num" w:pos="1695"/>
        </w:tabs>
        <w:ind w:left="1695" w:hanging="555"/>
      </w:pPr>
      <w:rPr>
        <w:rFonts w:hint="default"/>
      </w:rPr>
    </w:lvl>
    <w:lvl w:ilvl="1">
      <w:start w:val="1"/>
      <w:numFmt w:val="lowerLetter"/>
      <w:lvlText w:val="%2."/>
      <w:lvlJc w:val="left"/>
      <w:pPr>
        <w:tabs>
          <w:tab w:val="num" w:pos="2220"/>
        </w:tabs>
        <w:ind w:left="2220" w:hanging="360"/>
      </w:pPr>
    </w:lvl>
    <w:lvl w:ilvl="2">
      <w:start w:val="1"/>
      <w:numFmt w:val="lowerRoman"/>
      <w:lvlText w:val="%3."/>
      <w:lvlJc w:val="right"/>
      <w:pPr>
        <w:tabs>
          <w:tab w:val="num" w:pos="2940"/>
        </w:tabs>
        <w:ind w:left="2940" w:hanging="180"/>
      </w:pPr>
    </w:lvl>
    <w:lvl w:ilvl="3">
      <w:start w:val="1"/>
      <w:numFmt w:val="decimal"/>
      <w:lvlText w:val="%4."/>
      <w:lvlJc w:val="left"/>
      <w:pPr>
        <w:tabs>
          <w:tab w:val="num" w:pos="3660"/>
        </w:tabs>
        <w:ind w:left="3660" w:hanging="360"/>
      </w:pPr>
    </w:lvl>
    <w:lvl w:ilvl="4">
      <w:start w:val="1"/>
      <w:numFmt w:val="lowerLetter"/>
      <w:lvlText w:val="%5."/>
      <w:lvlJc w:val="left"/>
      <w:pPr>
        <w:tabs>
          <w:tab w:val="num" w:pos="4380"/>
        </w:tabs>
        <w:ind w:left="4380" w:hanging="360"/>
      </w:pPr>
    </w:lvl>
    <w:lvl w:ilvl="5">
      <w:start w:val="1"/>
      <w:numFmt w:val="lowerRoman"/>
      <w:lvlText w:val="%6."/>
      <w:lvlJc w:val="right"/>
      <w:pPr>
        <w:tabs>
          <w:tab w:val="num" w:pos="5100"/>
        </w:tabs>
        <w:ind w:left="5100" w:hanging="180"/>
      </w:pPr>
    </w:lvl>
    <w:lvl w:ilvl="6">
      <w:start w:val="1"/>
      <w:numFmt w:val="decimal"/>
      <w:lvlText w:val="%7."/>
      <w:lvlJc w:val="left"/>
      <w:pPr>
        <w:tabs>
          <w:tab w:val="num" w:pos="5820"/>
        </w:tabs>
        <w:ind w:left="5820" w:hanging="360"/>
      </w:pPr>
    </w:lvl>
    <w:lvl w:ilvl="7">
      <w:start w:val="1"/>
      <w:numFmt w:val="lowerLetter"/>
      <w:lvlText w:val="%8."/>
      <w:lvlJc w:val="left"/>
      <w:pPr>
        <w:tabs>
          <w:tab w:val="num" w:pos="6540"/>
        </w:tabs>
        <w:ind w:left="6540" w:hanging="360"/>
      </w:pPr>
    </w:lvl>
    <w:lvl w:ilvl="8">
      <w:start w:val="1"/>
      <w:numFmt w:val="lowerRoman"/>
      <w:lvlText w:val="%9."/>
      <w:lvlJc w:val="right"/>
      <w:pPr>
        <w:tabs>
          <w:tab w:val="num" w:pos="7260"/>
        </w:tabs>
        <w:ind w:left="7260"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6"/>
  </w:num>
  <w:num w:numId="12">
    <w:abstractNumId w:val="14"/>
  </w:num>
  <w:num w:numId="13">
    <w:abstractNumId w:val="10"/>
  </w:num>
  <w:num w:numId="14">
    <w:abstractNumId w:val="11"/>
  </w:num>
  <w:num w:numId="15">
    <w:abstractNumId w:val="17"/>
  </w:num>
  <w:num w:numId="16">
    <w:abstractNumId w:val="13"/>
  </w:num>
  <w:num w:numId="17">
    <w:abstractNumId w:val="23"/>
  </w:num>
  <w:num w:numId="18">
    <w:abstractNumId w:val="25"/>
  </w:num>
  <w:num w:numId="19">
    <w:abstractNumId w:val="22"/>
  </w:num>
  <w:num w:numId="20">
    <w:abstractNumId w:val="12"/>
  </w:num>
  <w:num w:numId="21">
    <w:abstractNumId w:val="19"/>
  </w:num>
  <w:num w:numId="22">
    <w:abstractNumId w:val="26"/>
  </w:num>
  <w:num w:numId="23">
    <w:abstractNumId w:val="18"/>
  </w:num>
  <w:num w:numId="24">
    <w:abstractNumId w:val="21"/>
  </w:num>
  <w:num w:numId="25">
    <w:abstractNumId w:val="24"/>
  </w:num>
  <w:num w:numId="26">
    <w:abstractNumId w:val="20"/>
  </w:num>
  <w:num w:numId="27">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fr-FR" w:vendorID="64" w:dllVersion="6" w:nlCheck="1" w:checkStyle="1"/>
  <w:activeWritingStyle w:appName="MSWord" w:lang="es-ES" w:vendorID="64" w:dllVersion="6" w:nlCheck="1" w:checkStyle="0"/>
  <w:activeWritingStyle w:appName="MSWord" w:lang="fr-BE" w:vendorID="64" w:dllVersion="6" w:nlCheck="1" w:checkStyle="0"/>
  <w:activeWritingStyle w:appName="MSWord" w:lang="en-GB" w:vendorID="64" w:dllVersion="0" w:nlCheck="1" w:checkStyle="0"/>
  <w:activeWritingStyle w:appName="MSWord" w:lang="fr-CH" w:vendorID="64" w:dllVersion="0" w:nlCheck="1" w:checkStyle="0"/>
  <w:activeWritingStyle w:appName="MSWord" w:lang="de-DE" w:vendorID="64" w:dllVersion="0" w:nlCheck="1" w:checkStyle="0"/>
  <w:activeWritingStyle w:appName="MSWord" w:lang="en-US" w:vendorID="64" w:dllVersion="0" w:nlCheck="1" w:checkStyle="0"/>
  <w:activeWritingStyle w:appName="MSWord" w:lang="en-I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403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3C6"/>
    <w:rsid w:val="00002A7D"/>
    <w:rsid w:val="000038A8"/>
    <w:rsid w:val="000041B2"/>
    <w:rsid w:val="00004CB4"/>
    <w:rsid w:val="00006790"/>
    <w:rsid w:val="00017C14"/>
    <w:rsid w:val="00027624"/>
    <w:rsid w:val="00050B2C"/>
    <w:rsid w:val="00050F6B"/>
    <w:rsid w:val="00056E1C"/>
    <w:rsid w:val="00057D31"/>
    <w:rsid w:val="00057F00"/>
    <w:rsid w:val="00060675"/>
    <w:rsid w:val="00062540"/>
    <w:rsid w:val="000642F3"/>
    <w:rsid w:val="000678CD"/>
    <w:rsid w:val="00072C8C"/>
    <w:rsid w:val="00073BC9"/>
    <w:rsid w:val="00075498"/>
    <w:rsid w:val="00081CE0"/>
    <w:rsid w:val="00081E5B"/>
    <w:rsid w:val="00082FAE"/>
    <w:rsid w:val="00084D30"/>
    <w:rsid w:val="00090320"/>
    <w:rsid w:val="00091148"/>
    <w:rsid w:val="000918D7"/>
    <w:rsid w:val="000931C0"/>
    <w:rsid w:val="0009455D"/>
    <w:rsid w:val="00097793"/>
    <w:rsid w:val="000A2E09"/>
    <w:rsid w:val="000B175B"/>
    <w:rsid w:val="000B3A0F"/>
    <w:rsid w:val="000B41FA"/>
    <w:rsid w:val="000C2A7D"/>
    <w:rsid w:val="000D5A55"/>
    <w:rsid w:val="000E0415"/>
    <w:rsid w:val="000E233A"/>
    <w:rsid w:val="000E6779"/>
    <w:rsid w:val="000E7EB0"/>
    <w:rsid w:val="000F5D2C"/>
    <w:rsid w:val="000F7715"/>
    <w:rsid w:val="001022EF"/>
    <w:rsid w:val="00103E99"/>
    <w:rsid w:val="00116363"/>
    <w:rsid w:val="001179A1"/>
    <w:rsid w:val="00125674"/>
    <w:rsid w:val="00140040"/>
    <w:rsid w:val="0014401A"/>
    <w:rsid w:val="00156B99"/>
    <w:rsid w:val="0015713B"/>
    <w:rsid w:val="00161037"/>
    <w:rsid w:val="00166124"/>
    <w:rsid w:val="00167F20"/>
    <w:rsid w:val="0017009E"/>
    <w:rsid w:val="00172600"/>
    <w:rsid w:val="001765D7"/>
    <w:rsid w:val="00176739"/>
    <w:rsid w:val="00184DDA"/>
    <w:rsid w:val="001874B4"/>
    <w:rsid w:val="001900CD"/>
    <w:rsid w:val="00193D85"/>
    <w:rsid w:val="0019444B"/>
    <w:rsid w:val="001A0452"/>
    <w:rsid w:val="001A3481"/>
    <w:rsid w:val="001A4D53"/>
    <w:rsid w:val="001A5F15"/>
    <w:rsid w:val="001B4B04"/>
    <w:rsid w:val="001B5875"/>
    <w:rsid w:val="001C3A25"/>
    <w:rsid w:val="001C4B28"/>
    <w:rsid w:val="001C4B9C"/>
    <w:rsid w:val="001C6663"/>
    <w:rsid w:val="001C7895"/>
    <w:rsid w:val="001D15C4"/>
    <w:rsid w:val="001D26DF"/>
    <w:rsid w:val="001D312D"/>
    <w:rsid w:val="001E0DF6"/>
    <w:rsid w:val="001E583F"/>
    <w:rsid w:val="001F12DF"/>
    <w:rsid w:val="001F1599"/>
    <w:rsid w:val="001F1961"/>
    <w:rsid w:val="001F19C4"/>
    <w:rsid w:val="001F6B91"/>
    <w:rsid w:val="001F7A8B"/>
    <w:rsid w:val="002043F0"/>
    <w:rsid w:val="002060B9"/>
    <w:rsid w:val="00211E0B"/>
    <w:rsid w:val="00215A1B"/>
    <w:rsid w:val="00216BB2"/>
    <w:rsid w:val="00222F2C"/>
    <w:rsid w:val="00230496"/>
    <w:rsid w:val="00232575"/>
    <w:rsid w:val="0023589F"/>
    <w:rsid w:val="00247258"/>
    <w:rsid w:val="00250356"/>
    <w:rsid w:val="002565C8"/>
    <w:rsid w:val="002574B9"/>
    <w:rsid w:val="00257CAC"/>
    <w:rsid w:val="00264807"/>
    <w:rsid w:val="002815FC"/>
    <w:rsid w:val="00295F1A"/>
    <w:rsid w:val="002974E9"/>
    <w:rsid w:val="002A214F"/>
    <w:rsid w:val="002A6D75"/>
    <w:rsid w:val="002A7F94"/>
    <w:rsid w:val="002B109A"/>
    <w:rsid w:val="002B16A1"/>
    <w:rsid w:val="002B400C"/>
    <w:rsid w:val="002B5293"/>
    <w:rsid w:val="002C1973"/>
    <w:rsid w:val="002C3A37"/>
    <w:rsid w:val="002C4661"/>
    <w:rsid w:val="002C57D6"/>
    <w:rsid w:val="002C6D45"/>
    <w:rsid w:val="002D1828"/>
    <w:rsid w:val="002D4CF0"/>
    <w:rsid w:val="002D6E53"/>
    <w:rsid w:val="002D743E"/>
    <w:rsid w:val="002E0C3F"/>
    <w:rsid w:val="002E2296"/>
    <w:rsid w:val="002E23C9"/>
    <w:rsid w:val="002E6DB4"/>
    <w:rsid w:val="002F024B"/>
    <w:rsid w:val="002F046D"/>
    <w:rsid w:val="003007E7"/>
    <w:rsid w:val="00301764"/>
    <w:rsid w:val="00302B3E"/>
    <w:rsid w:val="00321665"/>
    <w:rsid w:val="003229D8"/>
    <w:rsid w:val="00323AD2"/>
    <w:rsid w:val="0032508A"/>
    <w:rsid w:val="00336080"/>
    <w:rsid w:val="00336C97"/>
    <w:rsid w:val="00337D65"/>
    <w:rsid w:val="00337F88"/>
    <w:rsid w:val="00342432"/>
    <w:rsid w:val="0034444E"/>
    <w:rsid w:val="00350B59"/>
    <w:rsid w:val="00352D4B"/>
    <w:rsid w:val="00354724"/>
    <w:rsid w:val="00354CED"/>
    <w:rsid w:val="0035638C"/>
    <w:rsid w:val="003564DC"/>
    <w:rsid w:val="00370928"/>
    <w:rsid w:val="00373041"/>
    <w:rsid w:val="003806F0"/>
    <w:rsid w:val="00382512"/>
    <w:rsid w:val="0038499B"/>
    <w:rsid w:val="003A1C51"/>
    <w:rsid w:val="003A46BB"/>
    <w:rsid w:val="003A4EC7"/>
    <w:rsid w:val="003A550E"/>
    <w:rsid w:val="003A7295"/>
    <w:rsid w:val="003B115E"/>
    <w:rsid w:val="003B1F60"/>
    <w:rsid w:val="003B3A7E"/>
    <w:rsid w:val="003B4643"/>
    <w:rsid w:val="003C2CC4"/>
    <w:rsid w:val="003C3176"/>
    <w:rsid w:val="003C7026"/>
    <w:rsid w:val="003D4B23"/>
    <w:rsid w:val="003D58A1"/>
    <w:rsid w:val="003D6C76"/>
    <w:rsid w:val="003E278A"/>
    <w:rsid w:val="003E3D94"/>
    <w:rsid w:val="003F07CB"/>
    <w:rsid w:val="004019C8"/>
    <w:rsid w:val="004032CF"/>
    <w:rsid w:val="00413520"/>
    <w:rsid w:val="00414F7A"/>
    <w:rsid w:val="00431D4D"/>
    <w:rsid w:val="004325CB"/>
    <w:rsid w:val="00433A82"/>
    <w:rsid w:val="00440A07"/>
    <w:rsid w:val="00456441"/>
    <w:rsid w:val="00462880"/>
    <w:rsid w:val="0046357A"/>
    <w:rsid w:val="0047298C"/>
    <w:rsid w:val="0047429E"/>
    <w:rsid w:val="00476F24"/>
    <w:rsid w:val="0048402E"/>
    <w:rsid w:val="004909E7"/>
    <w:rsid w:val="0049311D"/>
    <w:rsid w:val="004B2A91"/>
    <w:rsid w:val="004B45B0"/>
    <w:rsid w:val="004B7EA2"/>
    <w:rsid w:val="004C55B0"/>
    <w:rsid w:val="004D51F6"/>
    <w:rsid w:val="004D63B1"/>
    <w:rsid w:val="004E4179"/>
    <w:rsid w:val="004E7160"/>
    <w:rsid w:val="004F3F8F"/>
    <w:rsid w:val="004F6BA0"/>
    <w:rsid w:val="00503BEA"/>
    <w:rsid w:val="00530289"/>
    <w:rsid w:val="00533616"/>
    <w:rsid w:val="00535170"/>
    <w:rsid w:val="00535ABA"/>
    <w:rsid w:val="005371A0"/>
    <w:rsid w:val="0053768B"/>
    <w:rsid w:val="005420F2"/>
    <w:rsid w:val="00542768"/>
    <w:rsid w:val="0054285C"/>
    <w:rsid w:val="005445FF"/>
    <w:rsid w:val="00547A88"/>
    <w:rsid w:val="0055514F"/>
    <w:rsid w:val="005566B9"/>
    <w:rsid w:val="00560572"/>
    <w:rsid w:val="00564BF4"/>
    <w:rsid w:val="005670DF"/>
    <w:rsid w:val="00573297"/>
    <w:rsid w:val="00584173"/>
    <w:rsid w:val="005850DE"/>
    <w:rsid w:val="00587C17"/>
    <w:rsid w:val="00595520"/>
    <w:rsid w:val="005A0287"/>
    <w:rsid w:val="005A44B9"/>
    <w:rsid w:val="005A548A"/>
    <w:rsid w:val="005B1BA0"/>
    <w:rsid w:val="005B3DB3"/>
    <w:rsid w:val="005C58F0"/>
    <w:rsid w:val="005C700B"/>
    <w:rsid w:val="005D15CA"/>
    <w:rsid w:val="005D1867"/>
    <w:rsid w:val="005D2C39"/>
    <w:rsid w:val="005D390C"/>
    <w:rsid w:val="005E6AAF"/>
    <w:rsid w:val="005F3066"/>
    <w:rsid w:val="005F3E61"/>
    <w:rsid w:val="005F51F6"/>
    <w:rsid w:val="005F69C7"/>
    <w:rsid w:val="005F7732"/>
    <w:rsid w:val="00604DDD"/>
    <w:rsid w:val="006115CC"/>
    <w:rsid w:val="00611FC4"/>
    <w:rsid w:val="00613302"/>
    <w:rsid w:val="006176FB"/>
    <w:rsid w:val="0062380F"/>
    <w:rsid w:val="0062564C"/>
    <w:rsid w:val="00630FCB"/>
    <w:rsid w:val="00632F10"/>
    <w:rsid w:val="00633628"/>
    <w:rsid w:val="0064017F"/>
    <w:rsid w:val="00640B26"/>
    <w:rsid w:val="00642312"/>
    <w:rsid w:val="00642502"/>
    <w:rsid w:val="0064748F"/>
    <w:rsid w:val="00651A29"/>
    <w:rsid w:val="006643C6"/>
    <w:rsid w:val="00667D6B"/>
    <w:rsid w:val="00671B0D"/>
    <w:rsid w:val="006770B2"/>
    <w:rsid w:val="00682407"/>
    <w:rsid w:val="006853B3"/>
    <w:rsid w:val="006940E1"/>
    <w:rsid w:val="006A1D39"/>
    <w:rsid w:val="006A3C72"/>
    <w:rsid w:val="006A7392"/>
    <w:rsid w:val="006B03A1"/>
    <w:rsid w:val="006B364D"/>
    <w:rsid w:val="006B67D9"/>
    <w:rsid w:val="006B6FE3"/>
    <w:rsid w:val="006C5535"/>
    <w:rsid w:val="006D0589"/>
    <w:rsid w:val="006D513E"/>
    <w:rsid w:val="006E564B"/>
    <w:rsid w:val="006E7154"/>
    <w:rsid w:val="006F0884"/>
    <w:rsid w:val="007003CD"/>
    <w:rsid w:val="00703A6D"/>
    <w:rsid w:val="0070701E"/>
    <w:rsid w:val="0070702F"/>
    <w:rsid w:val="0071447C"/>
    <w:rsid w:val="00714B5C"/>
    <w:rsid w:val="00715BE5"/>
    <w:rsid w:val="0072632A"/>
    <w:rsid w:val="007358E8"/>
    <w:rsid w:val="00736ECE"/>
    <w:rsid w:val="007408A0"/>
    <w:rsid w:val="0074533B"/>
    <w:rsid w:val="00753C81"/>
    <w:rsid w:val="00755BB0"/>
    <w:rsid w:val="00762EA6"/>
    <w:rsid w:val="0076432E"/>
    <w:rsid w:val="007643BC"/>
    <w:rsid w:val="00764F01"/>
    <w:rsid w:val="00770846"/>
    <w:rsid w:val="007810E1"/>
    <w:rsid w:val="00781D93"/>
    <w:rsid w:val="00790877"/>
    <w:rsid w:val="007942D2"/>
    <w:rsid w:val="0079577B"/>
    <w:rsid w:val="007959FE"/>
    <w:rsid w:val="00795E37"/>
    <w:rsid w:val="007A0CF1"/>
    <w:rsid w:val="007A38B0"/>
    <w:rsid w:val="007A7CC0"/>
    <w:rsid w:val="007B073D"/>
    <w:rsid w:val="007B5DDD"/>
    <w:rsid w:val="007B614B"/>
    <w:rsid w:val="007B6A61"/>
    <w:rsid w:val="007B6BA5"/>
    <w:rsid w:val="007C3390"/>
    <w:rsid w:val="007C42D8"/>
    <w:rsid w:val="007C4F4B"/>
    <w:rsid w:val="007C68C8"/>
    <w:rsid w:val="007D5759"/>
    <w:rsid w:val="007D6D44"/>
    <w:rsid w:val="007D7362"/>
    <w:rsid w:val="007E36CB"/>
    <w:rsid w:val="007E4914"/>
    <w:rsid w:val="007F1E0D"/>
    <w:rsid w:val="007F2E11"/>
    <w:rsid w:val="007F546E"/>
    <w:rsid w:val="007F5CE2"/>
    <w:rsid w:val="007F6611"/>
    <w:rsid w:val="00803B7F"/>
    <w:rsid w:val="00810BAC"/>
    <w:rsid w:val="008175E9"/>
    <w:rsid w:val="008203B2"/>
    <w:rsid w:val="0082405C"/>
    <w:rsid w:val="008242D7"/>
    <w:rsid w:val="00825578"/>
    <w:rsid w:val="0082577B"/>
    <w:rsid w:val="00830D15"/>
    <w:rsid w:val="0083344C"/>
    <w:rsid w:val="00834DF7"/>
    <w:rsid w:val="00843148"/>
    <w:rsid w:val="008558E7"/>
    <w:rsid w:val="0086054B"/>
    <w:rsid w:val="00866893"/>
    <w:rsid w:val="00866F02"/>
    <w:rsid w:val="00867D18"/>
    <w:rsid w:val="008707F8"/>
    <w:rsid w:val="00871F9A"/>
    <w:rsid w:val="00871FD5"/>
    <w:rsid w:val="00876B8E"/>
    <w:rsid w:val="0088172E"/>
    <w:rsid w:val="00881EFA"/>
    <w:rsid w:val="00883E28"/>
    <w:rsid w:val="00887A7D"/>
    <w:rsid w:val="0089256A"/>
    <w:rsid w:val="008979B1"/>
    <w:rsid w:val="008A57C8"/>
    <w:rsid w:val="008A5859"/>
    <w:rsid w:val="008A6792"/>
    <w:rsid w:val="008A6B25"/>
    <w:rsid w:val="008A6C4F"/>
    <w:rsid w:val="008A7787"/>
    <w:rsid w:val="008B389E"/>
    <w:rsid w:val="008B41F4"/>
    <w:rsid w:val="008B59E3"/>
    <w:rsid w:val="008C5B2D"/>
    <w:rsid w:val="008C5BCB"/>
    <w:rsid w:val="008D045E"/>
    <w:rsid w:val="008D0D4F"/>
    <w:rsid w:val="008D3F25"/>
    <w:rsid w:val="008D4D82"/>
    <w:rsid w:val="008E0E09"/>
    <w:rsid w:val="008E0E46"/>
    <w:rsid w:val="008E5A5D"/>
    <w:rsid w:val="008E7116"/>
    <w:rsid w:val="008F143B"/>
    <w:rsid w:val="008F33C4"/>
    <w:rsid w:val="008F3882"/>
    <w:rsid w:val="008F3C40"/>
    <w:rsid w:val="008F4B7C"/>
    <w:rsid w:val="008F73B3"/>
    <w:rsid w:val="00904D63"/>
    <w:rsid w:val="00906BFE"/>
    <w:rsid w:val="00914DC3"/>
    <w:rsid w:val="00915C95"/>
    <w:rsid w:val="00916B9C"/>
    <w:rsid w:val="00924CF0"/>
    <w:rsid w:val="00926E47"/>
    <w:rsid w:val="009324AE"/>
    <w:rsid w:val="00945B24"/>
    <w:rsid w:val="00946D3D"/>
    <w:rsid w:val="00946EAC"/>
    <w:rsid w:val="00947162"/>
    <w:rsid w:val="009479C1"/>
    <w:rsid w:val="00953163"/>
    <w:rsid w:val="00956238"/>
    <w:rsid w:val="009601FF"/>
    <w:rsid w:val="0096068B"/>
    <w:rsid w:val="00960D5D"/>
    <w:rsid w:val="009610D0"/>
    <w:rsid w:val="0096375C"/>
    <w:rsid w:val="009662E6"/>
    <w:rsid w:val="0097095E"/>
    <w:rsid w:val="00974F7C"/>
    <w:rsid w:val="00980F57"/>
    <w:rsid w:val="00982DDC"/>
    <w:rsid w:val="0098592B"/>
    <w:rsid w:val="00985AB9"/>
    <w:rsid w:val="00985FC4"/>
    <w:rsid w:val="00986DFE"/>
    <w:rsid w:val="00990766"/>
    <w:rsid w:val="00991261"/>
    <w:rsid w:val="0099198F"/>
    <w:rsid w:val="00992C68"/>
    <w:rsid w:val="0099552C"/>
    <w:rsid w:val="00995FA1"/>
    <w:rsid w:val="009964C4"/>
    <w:rsid w:val="009A6B7B"/>
    <w:rsid w:val="009A7B81"/>
    <w:rsid w:val="009B29EA"/>
    <w:rsid w:val="009C144C"/>
    <w:rsid w:val="009C59B9"/>
    <w:rsid w:val="009D01C0"/>
    <w:rsid w:val="009D0FD7"/>
    <w:rsid w:val="009D6A08"/>
    <w:rsid w:val="009E0A16"/>
    <w:rsid w:val="009E7970"/>
    <w:rsid w:val="009F2EAC"/>
    <w:rsid w:val="009F57E3"/>
    <w:rsid w:val="00A00D3D"/>
    <w:rsid w:val="00A07EBB"/>
    <w:rsid w:val="00A10F4F"/>
    <w:rsid w:val="00A11067"/>
    <w:rsid w:val="00A138AB"/>
    <w:rsid w:val="00A1704A"/>
    <w:rsid w:val="00A23E9E"/>
    <w:rsid w:val="00A370D7"/>
    <w:rsid w:val="00A41BB8"/>
    <w:rsid w:val="00A425EB"/>
    <w:rsid w:val="00A45CB7"/>
    <w:rsid w:val="00A47439"/>
    <w:rsid w:val="00A72F22"/>
    <w:rsid w:val="00A733BC"/>
    <w:rsid w:val="00A748A6"/>
    <w:rsid w:val="00A749C1"/>
    <w:rsid w:val="00A76A69"/>
    <w:rsid w:val="00A77D0C"/>
    <w:rsid w:val="00A824E7"/>
    <w:rsid w:val="00A865A7"/>
    <w:rsid w:val="00A879A4"/>
    <w:rsid w:val="00A910B4"/>
    <w:rsid w:val="00A96696"/>
    <w:rsid w:val="00A976DD"/>
    <w:rsid w:val="00AA0FF8"/>
    <w:rsid w:val="00AA3567"/>
    <w:rsid w:val="00AB2CE7"/>
    <w:rsid w:val="00AB2D13"/>
    <w:rsid w:val="00AC0F2C"/>
    <w:rsid w:val="00AC502A"/>
    <w:rsid w:val="00AC7298"/>
    <w:rsid w:val="00AD79E9"/>
    <w:rsid w:val="00AF3A98"/>
    <w:rsid w:val="00AF58C1"/>
    <w:rsid w:val="00B01321"/>
    <w:rsid w:val="00B03E68"/>
    <w:rsid w:val="00B05D2C"/>
    <w:rsid w:val="00B06643"/>
    <w:rsid w:val="00B15055"/>
    <w:rsid w:val="00B17FC5"/>
    <w:rsid w:val="00B2175D"/>
    <w:rsid w:val="00B27044"/>
    <w:rsid w:val="00B30179"/>
    <w:rsid w:val="00B37B15"/>
    <w:rsid w:val="00B4482F"/>
    <w:rsid w:val="00B45C02"/>
    <w:rsid w:val="00B4691D"/>
    <w:rsid w:val="00B609E7"/>
    <w:rsid w:val="00B628EC"/>
    <w:rsid w:val="00B62EEE"/>
    <w:rsid w:val="00B63F27"/>
    <w:rsid w:val="00B70F5A"/>
    <w:rsid w:val="00B71791"/>
    <w:rsid w:val="00B72A1E"/>
    <w:rsid w:val="00B75E02"/>
    <w:rsid w:val="00B80D50"/>
    <w:rsid w:val="00B81E12"/>
    <w:rsid w:val="00B8509D"/>
    <w:rsid w:val="00B9110C"/>
    <w:rsid w:val="00BA339B"/>
    <w:rsid w:val="00BB2862"/>
    <w:rsid w:val="00BB3D9E"/>
    <w:rsid w:val="00BC1E7E"/>
    <w:rsid w:val="00BC2E45"/>
    <w:rsid w:val="00BC3E26"/>
    <w:rsid w:val="00BC74E9"/>
    <w:rsid w:val="00BD242C"/>
    <w:rsid w:val="00BE36A9"/>
    <w:rsid w:val="00BE618E"/>
    <w:rsid w:val="00BE7BEC"/>
    <w:rsid w:val="00BF0A5A"/>
    <w:rsid w:val="00BF0E63"/>
    <w:rsid w:val="00BF103C"/>
    <w:rsid w:val="00BF12A3"/>
    <w:rsid w:val="00BF16D7"/>
    <w:rsid w:val="00BF218C"/>
    <w:rsid w:val="00BF2373"/>
    <w:rsid w:val="00C03A88"/>
    <w:rsid w:val="00C044E2"/>
    <w:rsid w:val="00C048CB"/>
    <w:rsid w:val="00C066F3"/>
    <w:rsid w:val="00C06865"/>
    <w:rsid w:val="00C07CA9"/>
    <w:rsid w:val="00C10783"/>
    <w:rsid w:val="00C11B07"/>
    <w:rsid w:val="00C129D5"/>
    <w:rsid w:val="00C13F36"/>
    <w:rsid w:val="00C15DC2"/>
    <w:rsid w:val="00C250FE"/>
    <w:rsid w:val="00C31A6C"/>
    <w:rsid w:val="00C36878"/>
    <w:rsid w:val="00C443B6"/>
    <w:rsid w:val="00C44BB0"/>
    <w:rsid w:val="00C45BBB"/>
    <w:rsid w:val="00C463DD"/>
    <w:rsid w:val="00C60D93"/>
    <w:rsid w:val="00C62A7A"/>
    <w:rsid w:val="00C70809"/>
    <w:rsid w:val="00C745C3"/>
    <w:rsid w:val="00C805A7"/>
    <w:rsid w:val="00C83923"/>
    <w:rsid w:val="00C9213B"/>
    <w:rsid w:val="00CA2221"/>
    <w:rsid w:val="00CA24A4"/>
    <w:rsid w:val="00CA3137"/>
    <w:rsid w:val="00CA3AF1"/>
    <w:rsid w:val="00CA44E1"/>
    <w:rsid w:val="00CB1981"/>
    <w:rsid w:val="00CB348D"/>
    <w:rsid w:val="00CB34BE"/>
    <w:rsid w:val="00CB4FCE"/>
    <w:rsid w:val="00CB51DE"/>
    <w:rsid w:val="00CB5B76"/>
    <w:rsid w:val="00CB763D"/>
    <w:rsid w:val="00CC0178"/>
    <w:rsid w:val="00CC1589"/>
    <w:rsid w:val="00CC1B3A"/>
    <w:rsid w:val="00CC4E06"/>
    <w:rsid w:val="00CC4EC6"/>
    <w:rsid w:val="00CD1C17"/>
    <w:rsid w:val="00CD2214"/>
    <w:rsid w:val="00CD46F5"/>
    <w:rsid w:val="00CD58A9"/>
    <w:rsid w:val="00CD6883"/>
    <w:rsid w:val="00CD6C29"/>
    <w:rsid w:val="00CE2428"/>
    <w:rsid w:val="00CE4A8F"/>
    <w:rsid w:val="00CE52ED"/>
    <w:rsid w:val="00CF071D"/>
    <w:rsid w:val="00CF102B"/>
    <w:rsid w:val="00CF116C"/>
    <w:rsid w:val="00D00745"/>
    <w:rsid w:val="00D03595"/>
    <w:rsid w:val="00D15B04"/>
    <w:rsid w:val="00D2031B"/>
    <w:rsid w:val="00D22806"/>
    <w:rsid w:val="00D231B0"/>
    <w:rsid w:val="00D23EAC"/>
    <w:rsid w:val="00D25EC1"/>
    <w:rsid w:val="00D25FE2"/>
    <w:rsid w:val="00D37DA9"/>
    <w:rsid w:val="00D406A7"/>
    <w:rsid w:val="00D43252"/>
    <w:rsid w:val="00D44D86"/>
    <w:rsid w:val="00D4540B"/>
    <w:rsid w:val="00D50B7D"/>
    <w:rsid w:val="00D52012"/>
    <w:rsid w:val="00D52588"/>
    <w:rsid w:val="00D53D19"/>
    <w:rsid w:val="00D57536"/>
    <w:rsid w:val="00D6633F"/>
    <w:rsid w:val="00D704E5"/>
    <w:rsid w:val="00D72727"/>
    <w:rsid w:val="00D731DD"/>
    <w:rsid w:val="00D73D7E"/>
    <w:rsid w:val="00D8478F"/>
    <w:rsid w:val="00D871AC"/>
    <w:rsid w:val="00D90395"/>
    <w:rsid w:val="00D90415"/>
    <w:rsid w:val="00D917F9"/>
    <w:rsid w:val="00D91E8D"/>
    <w:rsid w:val="00D978C6"/>
    <w:rsid w:val="00DA0956"/>
    <w:rsid w:val="00DA121A"/>
    <w:rsid w:val="00DA357F"/>
    <w:rsid w:val="00DA3E12"/>
    <w:rsid w:val="00DB0BFD"/>
    <w:rsid w:val="00DB5900"/>
    <w:rsid w:val="00DB66FA"/>
    <w:rsid w:val="00DC18AD"/>
    <w:rsid w:val="00DC36B8"/>
    <w:rsid w:val="00DC584A"/>
    <w:rsid w:val="00DD3FE8"/>
    <w:rsid w:val="00DE0CB9"/>
    <w:rsid w:val="00DE178B"/>
    <w:rsid w:val="00DE5105"/>
    <w:rsid w:val="00DF1147"/>
    <w:rsid w:val="00DF1A1E"/>
    <w:rsid w:val="00DF4518"/>
    <w:rsid w:val="00DF45EB"/>
    <w:rsid w:val="00DF6A82"/>
    <w:rsid w:val="00DF7CAE"/>
    <w:rsid w:val="00E02011"/>
    <w:rsid w:val="00E1773B"/>
    <w:rsid w:val="00E324A0"/>
    <w:rsid w:val="00E37495"/>
    <w:rsid w:val="00E423C0"/>
    <w:rsid w:val="00E50BC6"/>
    <w:rsid w:val="00E53624"/>
    <w:rsid w:val="00E550E7"/>
    <w:rsid w:val="00E57974"/>
    <w:rsid w:val="00E62965"/>
    <w:rsid w:val="00E6414C"/>
    <w:rsid w:val="00E672F0"/>
    <w:rsid w:val="00E7260F"/>
    <w:rsid w:val="00E82C50"/>
    <w:rsid w:val="00E86772"/>
    <w:rsid w:val="00E8702D"/>
    <w:rsid w:val="00E87C7D"/>
    <w:rsid w:val="00E916A9"/>
    <w:rsid w:val="00E916DE"/>
    <w:rsid w:val="00E9388E"/>
    <w:rsid w:val="00E96630"/>
    <w:rsid w:val="00EA586A"/>
    <w:rsid w:val="00EB5B1B"/>
    <w:rsid w:val="00EC10B9"/>
    <w:rsid w:val="00ED18DC"/>
    <w:rsid w:val="00ED6201"/>
    <w:rsid w:val="00ED7A2A"/>
    <w:rsid w:val="00ED7F40"/>
    <w:rsid w:val="00EE4832"/>
    <w:rsid w:val="00EF1D7F"/>
    <w:rsid w:val="00EF4426"/>
    <w:rsid w:val="00F0137E"/>
    <w:rsid w:val="00F0148F"/>
    <w:rsid w:val="00F21786"/>
    <w:rsid w:val="00F237F4"/>
    <w:rsid w:val="00F347BC"/>
    <w:rsid w:val="00F3742B"/>
    <w:rsid w:val="00F40CCF"/>
    <w:rsid w:val="00F41FDB"/>
    <w:rsid w:val="00F5337D"/>
    <w:rsid w:val="00F5390C"/>
    <w:rsid w:val="00F56D63"/>
    <w:rsid w:val="00F609A9"/>
    <w:rsid w:val="00F6280E"/>
    <w:rsid w:val="00F7472D"/>
    <w:rsid w:val="00F80C99"/>
    <w:rsid w:val="00F867EC"/>
    <w:rsid w:val="00F91B2B"/>
    <w:rsid w:val="00FA28CC"/>
    <w:rsid w:val="00FA3135"/>
    <w:rsid w:val="00FA3269"/>
    <w:rsid w:val="00FB468B"/>
    <w:rsid w:val="00FC03CD"/>
    <w:rsid w:val="00FC0646"/>
    <w:rsid w:val="00FC0826"/>
    <w:rsid w:val="00FC161F"/>
    <w:rsid w:val="00FC2FC6"/>
    <w:rsid w:val="00FC55A7"/>
    <w:rsid w:val="00FC68B7"/>
    <w:rsid w:val="00FD0A90"/>
    <w:rsid w:val="00FD6E23"/>
    <w:rsid w:val="00FE58E6"/>
    <w:rsid w:val="00FE69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44033"/>
    <o:shapelayout v:ext="edit">
      <o:idmap v:ext="edit" data="1"/>
    </o:shapelayout>
  </w:shapeDefaults>
  <w:decimalSymbol w:val="."/>
  <w:listSeparator w:val=","/>
  <w14:docId w14:val="2EC912E4"/>
  <w15:chartTrackingRefBased/>
  <w15:docId w15:val="{9AD88CB2-792D-42DE-9916-088BD6F1C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43C6"/>
    <w:pPr>
      <w:spacing w:after="240"/>
    </w:pPr>
    <w:rPr>
      <w:lang w:val="en-GB"/>
    </w:rPr>
  </w:style>
  <w:style w:type="paragraph" w:styleId="Heading1">
    <w:name w:val="heading 1"/>
    <w:aliases w:val="Table_G"/>
    <w:basedOn w:val="SingleTxtG"/>
    <w:next w:val="SingleTxtG"/>
    <w:qFormat/>
    <w:rsid w:val="00ED7A2A"/>
    <w:pPr>
      <w:spacing w:after="0"/>
      <w:ind w:right="0"/>
      <w:jc w:val="left"/>
      <w:outlineLvl w:val="0"/>
    </w:pPr>
  </w:style>
  <w:style w:type="paragraph" w:styleId="Heading2">
    <w:name w:val="heading 2"/>
    <w:basedOn w:val="Normal"/>
    <w:next w:val="Normal"/>
    <w:qFormat/>
    <w:pPr>
      <w:outlineLvl w:val="1"/>
    </w:pPr>
  </w:style>
  <w:style w:type="paragraph" w:styleId="Heading3">
    <w:name w:val="heading 3"/>
    <w:basedOn w:val="Normal"/>
    <w:next w:val="Normal"/>
    <w:qFormat/>
    <w:pPr>
      <w:outlineLvl w:val="2"/>
    </w:pPr>
  </w:style>
  <w:style w:type="paragraph" w:styleId="Heading4">
    <w:name w:val="heading 4"/>
    <w:basedOn w:val="Normal"/>
    <w:next w:val="Normal"/>
    <w:qFormat/>
    <w:pPr>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outlineLvl w:val="6"/>
    </w:pPr>
  </w:style>
  <w:style w:type="paragraph" w:styleId="Heading8">
    <w:name w:val="heading 8"/>
    <w:basedOn w:val="Normal"/>
    <w:next w:val="Normal"/>
    <w:qFormat/>
    <w:pPr>
      <w:outlineLvl w:val="7"/>
    </w:pPr>
  </w:style>
  <w:style w:type="paragraph" w:styleId="Heading9">
    <w:name w:val="heading 9"/>
    <w:basedOn w:val="Normal"/>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ar"/>
    <w:qFormat/>
    <w:pPr>
      <w:spacing w:after="120"/>
      <w:ind w:left="1134" w:right="1134"/>
      <w:jc w:val="both"/>
    </w:pPr>
  </w:style>
  <w:style w:type="paragraph" w:customStyle="1" w:styleId="HMG">
    <w:name w:val="_ H __M_G"/>
    <w:basedOn w:val="Normal"/>
    <w:next w:val="Normal"/>
    <w:pPr>
      <w:keepNext/>
      <w:keepLines/>
      <w:tabs>
        <w:tab w:val="right" w:pos="851"/>
      </w:tabs>
      <w:spacing w:before="240" w:line="360" w:lineRule="exact"/>
      <w:ind w:left="1134" w:right="1134" w:hanging="1134"/>
    </w:pPr>
    <w:rPr>
      <w:b/>
      <w:sz w:val="34"/>
    </w:rPr>
  </w:style>
  <w:style w:type="paragraph" w:customStyle="1" w:styleId="HChG">
    <w:name w:val="_ H _Ch_G"/>
    <w:basedOn w:val="Normal"/>
    <w:next w:val="Normal"/>
    <w:link w:val="HChGChar"/>
    <w:qFormat/>
    <w:pPr>
      <w:keepNext/>
      <w:keepLines/>
      <w:tabs>
        <w:tab w:val="right" w:pos="851"/>
      </w:tabs>
      <w:spacing w:before="360" w:line="300" w:lineRule="exact"/>
      <w:ind w:left="1134" w:right="1134" w:hanging="1134"/>
    </w:pPr>
    <w:rPr>
      <w:b/>
      <w:sz w:val="28"/>
    </w:rPr>
  </w:style>
  <w:style w:type="character" w:styleId="PageNumber">
    <w:name w:val="page number"/>
    <w:aliases w:val="7_G"/>
    <w:rsid w:val="008979B1"/>
    <w:rPr>
      <w:rFonts w:ascii="Times New Roman" w:hAnsi="Times New Roman"/>
      <w:b/>
      <w:sz w:val="18"/>
    </w:rPr>
  </w:style>
  <w:style w:type="paragraph" w:customStyle="1" w:styleId="SMG">
    <w:name w:val="__S_M_G"/>
    <w:basedOn w:val="Normal"/>
    <w:next w:val="Normal"/>
    <w:rsid w:val="00E96630"/>
    <w:pPr>
      <w:keepNext/>
      <w:keepLines/>
      <w:spacing w:before="240" w:line="420" w:lineRule="exact"/>
      <w:ind w:left="1134" w:right="1134"/>
    </w:pPr>
    <w:rPr>
      <w:b/>
      <w:sz w:val="40"/>
    </w:rPr>
  </w:style>
  <w:style w:type="paragraph" w:customStyle="1" w:styleId="SLG">
    <w:name w:val="__S_L_G"/>
    <w:basedOn w:val="Normal"/>
    <w:next w:val="Normal"/>
    <w:rsid w:val="008A6B25"/>
    <w:pPr>
      <w:keepNext/>
      <w:keepLines/>
      <w:spacing w:before="240" w:line="580" w:lineRule="exact"/>
      <w:ind w:left="1134" w:right="1134"/>
    </w:pPr>
    <w:rPr>
      <w:b/>
      <w:sz w:val="56"/>
    </w:rPr>
  </w:style>
  <w:style w:type="paragraph" w:customStyle="1" w:styleId="SSG">
    <w:name w:val="__S_S_G"/>
    <w:basedOn w:val="Normal"/>
    <w:next w:val="Normal"/>
    <w:rsid w:val="00C745C3"/>
    <w:pPr>
      <w:keepNext/>
      <w:keepLines/>
      <w:spacing w:before="240" w:line="300" w:lineRule="exact"/>
      <w:ind w:left="1134" w:right="1134"/>
    </w:pPr>
    <w:rPr>
      <w:b/>
      <w:sz w:val="28"/>
    </w:rPr>
  </w:style>
  <w:style w:type="character" w:styleId="EndnoteReference">
    <w:name w:val="endnote reference"/>
    <w:aliases w:val="1_G"/>
    <w:rsid w:val="007B6BA5"/>
    <w:rPr>
      <w:rFonts w:ascii="Times New Roman" w:hAnsi="Times New Roman"/>
      <w:sz w:val="18"/>
      <w:vertAlign w:val="superscript"/>
    </w:rPr>
  </w:style>
  <w:style w:type="character" w:styleId="FootnoteReference">
    <w:name w:val="footnote reference"/>
    <w:aliases w:val="4_G,Footnote Reference/"/>
    <w:rsid w:val="007B6BA5"/>
    <w:rPr>
      <w:rFonts w:ascii="Times New Roman" w:hAnsi="Times New Roman"/>
      <w:sz w:val="18"/>
      <w:vertAlign w:val="superscript"/>
    </w:rPr>
  </w:style>
  <w:style w:type="paragraph" w:styleId="FootnoteText">
    <w:name w:val="footnote text"/>
    <w:aliases w:val="5_G"/>
    <w:basedOn w:val="Normal"/>
    <w:rsid w:val="00F0137E"/>
    <w:pPr>
      <w:tabs>
        <w:tab w:val="right" w:pos="1021"/>
      </w:tabs>
      <w:spacing w:line="220" w:lineRule="exact"/>
      <w:ind w:left="1134" w:right="1134" w:hanging="1134"/>
    </w:pPr>
    <w:rPr>
      <w:sz w:val="18"/>
    </w:rPr>
  </w:style>
  <w:style w:type="paragraph" w:customStyle="1" w:styleId="XLargeG">
    <w:name w:val="__XLarge_G"/>
    <w:basedOn w:val="Normal"/>
    <w:next w:val="Normal"/>
    <w:rsid w:val="000E0415"/>
    <w:pPr>
      <w:keepNext/>
      <w:keepLines/>
      <w:spacing w:before="240" w:line="420" w:lineRule="exact"/>
      <w:ind w:left="1134" w:right="1134"/>
    </w:pPr>
    <w:rPr>
      <w:b/>
      <w:sz w:val="40"/>
    </w:rPr>
  </w:style>
  <w:style w:type="paragraph" w:customStyle="1" w:styleId="Bullet1G">
    <w:name w:val="_Bullet 1_G"/>
    <w:basedOn w:val="Normal"/>
    <w:uiPriority w:val="99"/>
    <w:rsid w:val="00AF3A98"/>
    <w:pPr>
      <w:numPr>
        <w:numId w:val="17"/>
      </w:numPr>
      <w:spacing w:after="120"/>
      <w:ind w:right="1134"/>
      <w:jc w:val="both"/>
    </w:pPr>
  </w:style>
  <w:style w:type="paragraph" w:styleId="EndnoteText">
    <w:name w:val="endnote text"/>
    <w:aliases w:val="2_G"/>
    <w:basedOn w:val="FootnoteText"/>
    <w:rsid w:val="007B6BA5"/>
  </w:style>
  <w:style w:type="paragraph" w:customStyle="1" w:styleId="Bullet2G">
    <w:name w:val="_Bullet 2_G"/>
    <w:basedOn w:val="Normal"/>
    <w:rsid w:val="00AF3A98"/>
    <w:pPr>
      <w:numPr>
        <w:numId w:val="18"/>
      </w:numPr>
      <w:spacing w:after="120"/>
      <w:ind w:right="1134"/>
      <w:jc w:val="both"/>
    </w:pPr>
  </w:style>
  <w:style w:type="paragraph" w:customStyle="1" w:styleId="H1G">
    <w:name w:val="_ H_1_G"/>
    <w:basedOn w:val="Normal"/>
    <w:next w:val="Normal"/>
    <w:link w:val="H1GChar"/>
    <w:qFormat/>
    <w:pPr>
      <w:keepNext/>
      <w:keepLines/>
      <w:tabs>
        <w:tab w:val="right" w:pos="851"/>
      </w:tabs>
      <w:spacing w:before="360" w:line="270" w:lineRule="exact"/>
      <w:ind w:left="1134" w:right="1134" w:hanging="1134"/>
    </w:pPr>
    <w:rPr>
      <w:b/>
      <w:sz w:val="24"/>
    </w:rPr>
  </w:style>
  <w:style w:type="paragraph" w:customStyle="1" w:styleId="H23G">
    <w:name w:val="_ H_2/3_G"/>
    <w:basedOn w:val="Normal"/>
    <w:next w:val="Normal"/>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F3A98"/>
    <w:pPr>
      <w:keepNext/>
      <w:keepLines/>
      <w:tabs>
        <w:tab w:val="right" w:pos="851"/>
      </w:tabs>
      <w:spacing w:before="240" w:after="120" w:line="240" w:lineRule="exact"/>
      <w:ind w:left="1134" w:right="1134" w:hanging="1134"/>
    </w:pPr>
  </w:style>
  <w:style w:type="character" w:styleId="Hyperlink">
    <w:name w:val="Hyperlink"/>
    <w:semiHidden/>
    <w:rsid w:val="00A23E9E"/>
    <w:rPr>
      <w:color w:val="auto"/>
      <w:u w:val="none"/>
    </w:rPr>
  </w:style>
  <w:style w:type="paragraph" w:styleId="Footer">
    <w:name w:val="footer"/>
    <w:aliases w:val="3_G"/>
    <w:basedOn w:val="Normal"/>
    <w:rsid w:val="009F2EAC"/>
    <w:rPr>
      <w:sz w:val="16"/>
    </w:rPr>
  </w:style>
  <w:style w:type="paragraph" w:styleId="Header">
    <w:name w:val="header"/>
    <w:aliases w:val="6_G"/>
    <w:basedOn w:val="Normal"/>
    <w:link w:val="HeaderChar"/>
    <w:rsid w:val="00050F6B"/>
    <w:pPr>
      <w:pBdr>
        <w:bottom w:val="single" w:sz="4" w:space="4" w:color="auto"/>
      </w:pBdr>
    </w:pPr>
    <w:rPr>
      <w:b/>
      <w:sz w:val="18"/>
    </w:rPr>
  </w:style>
  <w:style w:type="character" w:customStyle="1" w:styleId="HeaderChar">
    <w:name w:val="Header Char"/>
    <w:aliases w:val="6_G Char"/>
    <w:link w:val="Header"/>
    <w:rsid w:val="006643C6"/>
    <w:rPr>
      <w:b/>
      <w:sz w:val="18"/>
      <w:lang w:val="en-GB" w:eastAsia="en-US" w:bidi="ar-SA"/>
    </w:rPr>
  </w:style>
  <w:style w:type="table" w:styleId="TableGrid">
    <w:name w:val="Table Grid"/>
    <w:basedOn w:val="TableNormal"/>
    <w:semiHidden/>
    <w:rsid w:val="00A45CB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semiHidden/>
    <w:rsid w:val="00A23E9E"/>
    <w:rPr>
      <w:color w:val="auto"/>
      <w:u w:val="none"/>
    </w:rPr>
  </w:style>
  <w:style w:type="character" w:customStyle="1" w:styleId="HChGChar">
    <w:name w:val="_ H _Ch_G Char"/>
    <w:link w:val="HChG"/>
    <w:rsid w:val="006643C6"/>
    <w:rPr>
      <w:b/>
      <w:sz w:val="28"/>
      <w:lang w:val="en-GB" w:eastAsia="en-US" w:bidi="ar-SA"/>
    </w:rPr>
  </w:style>
  <w:style w:type="paragraph" w:customStyle="1" w:styleId="Standardowy">
    <w:name w:val="Standardowy"/>
    <w:rsid w:val="001F12DF"/>
    <w:rPr>
      <w:rFonts w:ascii="Arial" w:hAnsi="Arial"/>
      <w:snapToGrid w:val="0"/>
      <w:sz w:val="24"/>
      <w:lang w:val="en-GB"/>
    </w:rPr>
  </w:style>
  <w:style w:type="table" w:customStyle="1" w:styleId="TableGrid1">
    <w:name w:val="Table Grid1"/>
    <w:basedOn w:val="TableNormal"/>
    <w:next w:val="TableGrid"/>
    <w:rsid w:val="002574B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D22806"/>
    <w:pPr>
      <w:spacing w:after="0"/>
    </w:pPr>
    <w:rPr>
      <w:rFonts w:ascii="Tahoma" w:hAnsi="Tahoma" w:cs="Tahoma"/>
      <w:sz w:val="16"/>
      <w:szCs w:val="16"/>
    </w:rPr>
  </w:style>
  <w:style w:type="character" w:customStyle="1" w:styleId="BalloonTextChar">
    <w:name w:val="Balloon Text Char"/>
    <w:link w:val="BalloonText"/>
    <w:rsid w:val="00D22806"/>
    <w:rPr>
      <w:rFonts w:ascii="Tahoma" w:hAnsi="Tahoma" w:cs="Tahoma"/>
      <w:sz w:val="16"/>
      <w:szCs w:val="16"/>
      <w:lang w:eastAsia="en-US"/>
    </w:rPr>
  </w:style>
  <w:style w:type="character" w:customStyle="1" w:styleId="SingleTxtGCar">
    <w:name w:val="_ Single Txt_G Car"/>
    <w:link w:val="SingleTxtG"/>
    <w:rsid w:val="00FA3269"/>
    <w:rPr>
      <w:lang w:val="en-GB" w:eastAsia="en-US"/>
    </w:rPr>
  </w:style>
  <w:style w:type="character" w:customStyle="1" w:styleId="H1GChar">
    <w:name w:val="_ H_1_G Char"/>
    <w:link w:val="H1G"/>
    <w:qFormat/>
    <w:rsid w:val="00D6633F"/>
    <w:rPr>
      <w:b/>
      <w:sz w:val="24"/>
      <w:lang w:eastAsia="en-US"/>
    </w:rPr>
  </w:style>
  <w:style w:type="character" w:customStyle="1" w:styleId="SingleTxtGChar">
    <w:name w:val="_ Single Txt_G Char"/>
    <w:qFormat/>
    <w:locked/>
    <w:rsid w:val="0079577B"/>
    <w:rPr>
      <w:lang w:val="en-GB" w:eastAsia="en-US"/>
    </w:rPr>
  </w:style>
  <w:style w:type="character" w:styleId="UnresolvedMention">
    <w:name w:val="Unresolved Mention"/>
    <w:basedOn w:val="DefaultParagraphFont"/>
    <w:uiPriority w:val="99"/>
    <w:semiHidden/>
    <w:unhideWhenUsed/>
    <w:rsid w:val="00C03A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343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B0BB8-1B72-4CBA-937A-45E5F916D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623</Words>
  <Characters>3270</Characters>
  <Application>Microsoft Office Word</Application>
  <DocSecurity>0</DocSecurity>
  <Lines>53</Lines>
  <Paragraphs>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INF</vt:lpstr>
      <vt:lpstr>INF</vt:lpstr>
    </vt:vector>
  </TitlesOfParts>
  <Company>UNECE</Company>
  <LinksUpToDate>false</LinksUpToDate>
  <CharactersWithSpaces>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dc:title>
  <dc:subject/>
  <dc:creator>Berthet</dc:creator>
  <cp:keywords/>
  <cp:lastModifiedBy>Christine Barrio-Champeau</cp:lastModifiedBy>
  <cp:revision>4</cp:revision>
  <cp:lastPrinted>2017-09-13T11:06:00Z</cp:lastPrinted>
  <dcterms:created xsi:type="dcterms:W3CDTF">2019-08-29T12:49:00Z</dcterms:created>
  <dcterms:modified xsi:type="dcterms:W3CDTF">2019-08-30T11:43:00Z</dcterms:modified>
</cp:coreProperties>
</file>