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E3F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E3FA1" w:rsidP="005E3FA1">
            <w:pPr>
              <w:jc w:val="right"/>
            </w:pPr>
            <w:r w:rsidRPr="005E3FA1">
              <w:rPr>
                <w:sz w:val="40"/>
              </w:rPr>
              <w:t>ECE</w:t>
            </w:r>
            <w:r>
              <w:t>/TRANS/WP.15/AC.1/2019/39</w:t>
            </w:r>
          </w:p>
        </w:tc>
      </w:tr>
      <w:tr w:rsidR="002D5AAC" w:rsidRPr="00C563F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E3F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E3FA1" w:rsidRDefault="005E3FA1" w:rsidP="005E3F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5E3FA1" w:rsidRDefault="005E3FA1" w:rsidP="005E3F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E3FA1" w:rsidRPr="008D53B6" w:rsidRDefault="005E3FA1" w:rsidP="005E3F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E3FA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E3FA1" w:rsidRPr="00970277" w:rsidRDefault="005E3FA1" w:rsidP="005E3FA1">
      <w:pPr>
        <w:spacing w:before="120"/>
        <w:rPr>
          <w:sz w:val="28"/>
          <w:szCs w:val="28"/>
        </w:rPr>
      </w:pPr>
      <w:r w:rsidRPr="000438C4">
        <w:rPr>
          <w:sz w:val="28"/>
          <w:szCs w:val="28"/>
        </w:rPr>
        <w:t>Комитет по внутреннему транспорту</w:t>
      </w:r>
    </w:p>
    <w:p w:rsidR="005E3FA1" w:rsidRPr="000438C4" w:rsidRDefault="005E3FA1" w:rsidP="005E3FA1">
      <w:pPr>
        <w:spacing w:before="120"/>
        <w:rPr>
          <w:b/>
          <w:sz w:val="24"/>
          <w:szCs w:val="24"/>
        </w:rPr>
      </w:pPr>
      <w:r w:rsidRPr="000438C4">
        <w:rPr>
          <w:b/>
          <w:bCs/>
          <w:sz w:val="24"/>
          <w:szCs w:val="24"/>
        </w:rPr>
        <w:t>Рабочая группа по перевозкам опасных грузов</w:t>
      </w:r>
    </w:p>
    <w:p w:rsidR="005E3FA1" w:rsidRPr="00970277" w:rsidRDefault="005E3FA1" w:rsidP="005E3FA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5E3FA1" w:rsidRPr="00970277" w:rsidRDefault="005E3FA1" w:rsidP="005E3FA1">
      <w:pPr>
        <w:spacing w:line="276" w:lineRule="auto"/>
      </w:pPr>
      <w:r>
        <w:t>Женева, 17−27 сентября 2019 года</w:t>
      </w:r>
    </w:p>
    <w:p w:rsidR="005E3FA1" w:rsidRPr="00970277" w:rsidRDefault="005E3FA1" w:rsidP="005E3FA1">
      <w:pPr>
        <w:spacing w:line="276" w:lineRule="auto"/>
      </w:pPr>
      <w:r>
        <w:t>Пункт 2 предварительной повестки дня</w:t>
      </w:r>
    </w:p>
    <w:p w:rsidR="005E3FA1" w:rsidRPr="00970277" w:rsidRDefault="005E3FA1" w:rsidP="005E3FA1">
      <w:pPr>
        <w:spacing w:line="276" w:lineRule="auto"/>
        <w:rPr>
          <w:b/>
          <w:bCs/>
        </w:rPr>
      </w:pPr>
      <w:r>
        <w:rPr>
          <w:b/>
          <w:bCs/>
        </w:rPr>
        <w:t>Цистерны</w:t>
      </w:r>
    </w:p>
    <w:p w:rsidR="005E3FA1" w:rsidRPr="00970277" w:rsidRDefault="005E3FA1" w:rsidP="005E3FA1">
      <w:pPr>
        <w:pStyle w:val="HChG"/>
      </w:pPr>
      <w:r>
        <w:tab/>
      </w:r>
      <w:r>
        <w:tab/>
        <w:t xml:space="preserve">Формы поперечного сечения </w:t>
      </w:r>
      <w:r w:rsidRPr="005E3FA1">
        <w:rPr>
          <w:lang w:eastAsia="fr-FR"/>
        </w:rPr>
        <w:t>корпусов</w:t>
      </w:r>
      <w:r>
        <w:t xml:space="preserve"> в соответствии </w:t>
      </w:r>
      <w:r>
        <w:br/>
        <w:t xml:space="preserve">с пунктом 6.8.2.1.18 ДОПОГ </w:t>
      </w:r>
      <w:r w:rsidRPr="000438C4">
        <w:t>–</w:t>
      </w:r>
      <w:r>
        <w:t xml:space="preserve"> Руководство, касающееся применения предлагаемого добавления к сноске 3 </w:t>
      </w:r>
      <w:r>
        <w:br/>
        <w:t>к пункту 6.8.2.1.18 ДОПОГ</w:t>
      </w:r>
    </w:p>
    <w:p w:rsidR="005E3FA1" w:rsidRPr="00970277" w:rsidRDefault="005E3FA1" w:rsidP="005E3FA1">
      <w:pPr>
        <w:pStyle w:val="H1G"/>
      </w:pPr>
      <w:r>
        <w:tab/>
      </w:r>
      <w:r>
        <w:tab/>
        <w:t>Передано правительством Соединенного Королевства</w:t>
      </w:r>
      <w:r w:rsidRPr="005E3FA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5E3FA1">
        <w:rPr>
          <w:b w:val="0"/>
          <w:sz w:val="20"/>
        </w:rPr>
        <w:t xml:space="preserve"> </w:t>
      </w:r>
      <w:r w:rsidRPr="005E3FA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5E3FA1">
        <w:rPr>
          <w:b w:val="0"/>
        </w:rPr>
        <w:t xml:space="preserve"> </w:t>
      </w:r>
    </w:p>
    <w:p w:rsidR="005E3FA1" w:rsidRPr="00970277" w:rsidRDefault="005E3FA1" w:rsidP="005E3FA1">
      <w:pPr>
        <w:pStyle w:val="SingleTxtG"/>
      </w:pPr>
      <w:r>
        <w:t>1.</w:t>
      </w:r>
      <w:r>
        <w:tab/>
        <w:t xml:space="preserve">В ходе обсуждения документов ECE/TRANS/WP.15/2019/11 и INF.12 на </w:t>
      </w:r>
      <w:r>
        <w:br/>
        <w:t>106-й сессии Рабочей группы по перевозкам опасных грузов было принято решение о том, что вместе с предложением, содержащимся в документе ECE/TRANS/</w:t>
      </w:r>
      <w:r w:rsidRPr="005E3FA1">
        <w:t xml:space="preserve"> </w:t>
      </w:r>
      <w:r>
        <w:t xml:space="preserve">WP.15/2019/11, следует разработать руководство для рассмотрения на осенней сессии Совместного совещания в 2019 году. С учетом обеспокоенности, выраженной в документе INF.12, это руководство будет содержать требования раздела 6.1 справочного варианта пересмотренного стандарта EN 13094:2019, согласованного членами CEN/TC 296/WG2, где представлены несколько договаривающихся стран. Таким образом, можно было бы внести уже согласованное предложение, содержащееся в документе ECE/TRANS/WP.15/2019/11, независимо от того, будет ли новый стандарт опубликован до крайнего срока 1 июня 2020 года, с тем чтобы включить его в издание ДОПОГ 2021 года. </w:t>
      </w:r>
    </w:p>
    <w:p w:rsidR="005E3FA1" w:rsidRPr="00970277" w:rsidRDefault="005E3FA1" w:rsidP="005E3FA1">
      <w:pPr>
        <w:pStyle w:val="SingleTxtG"/>
      </w:pPr>
      <w:r>
        <w:t>2.</w:t>
      </w:r>
      <w:r>
        <w:tab/>
        <w:t>В соответствии со справочной версией пересмотренного стандарта EN</w:t>
      </w:r>
      <w:r>
        <w:rPr>
          <w:lang w:val="en-US"/>
        </w:rPr>
        <w:t> </w:t>
      </w:r>
      <w:r>
        <w:t>13094:2019 текст руководства мог бы быть следующим:</w:t>
      </w:r>
    </w:p>
    <w:p w:rsidR="005E3FA1" w:rsidRPr="00970277" w:rsidRDefault="005E3FA1" w:rsidP="005E3FA1">
      <w:pPr>
        <w:pStyle w:val="SingleTxtG"/>
        <w:ind w:left="1701"/>
      </w:pPr>
      <w:r>
        <w:t xml:space="preserve">«Руководство, касающееся применения сноски 3 к пункту 6.8.2.1.18 ДОПОГ </w:t>
      </w:r>
    </w:p>
    <w:p w:rsidR="005E3FA1" w:rsidRPr="00970277" w:rsidRDefault="005E3FA1" w:rsidP="005E3FA1">
      <w:pPr>
        <w:pStyle w:val="SingleTxtG"/>
        <w:ind w:left="1701"/>
      </w:pPr>
      <w:r>
        <w:t xml:space="preserve">В целях обеспечения безопасного изготовления для безопасной эксплуатации цистерн в соответствии со сноской 3 к пункту 6.8.2.1.18 ДОПОГ </w:t>
      </w:r>
      <w:r w:rsidR="00C563FF">
        <w:br/>
      </w:r>
      <w:r>
        <w:t xml:space="preserve">в отношении формы поперечного сечения корпусов в соответствии с </w:t>
      </w:r>
      <w:r w:rsidR="00C563FF">
        <w:br/>
      </w:r>
      <w:r>
        <w:t xml:space="preserve">пунктом 6.8.2.1.14 а) ДОПОГ, ниже воспроизводятся требования раздела 6.1 </w:t>
      </w:r>
      <w:r>
        <w:lastRenderedPageBreak/>
        <w:t xml:space="preserve">стандарта </w:t>
      </w:r>
      <w:proofErr w:type="spellStart"/>
      <w:r>
        <w:t>prEN</w:t>
      </w:r>
      <w:proofErr w:type="spellEnd"/>
      <w:r>
        <w:t xml:space="preserve"> 13094:2019, которые должны быть признаны в пункте 6.8.2.6.1 ДОПОГ, для целей проектирования и изготовления цистерн в соответствии с пунктом</w:t>
      </w:r>
      <w:r>
        <w:rPr>
          <w:lang w:val="en-US"/>
        </w:rPr>
        <w:t> </w:t>
      </w:r>
      <w:r>
        <w:t>6.8.2.1.14 а) ДОПОГ:</w:t>
      </w:r>
    </w:p>
    <w:p w:rsidR="005E3FA1" w:rsidRPr="00970277" w:rsidRDefault="005E3FA1" w:rsidP="005E3FA1">
      <w:pPr>
        <w:pStyle w:val="SingleTxtG"/>
        <w:ind w:left="1701"/>
      </w:pPr>
      <w:r>
        <w:t>1.</w:t>
      </w:r>
      <w:r>
        <w:tab/>
        <w:t>Поперечное сечение корпуса</w:t>
      </w:r>
    </w:p>
    <w:p w:rsidR="005E3FA1" w:rsidRPr="00970277" w:rsidRDefault="005E3FA1" w:rsidP="005E3FA1">
      <w:pPr>
        <w:pStyle w:val="SingleTxtG"/>
        <w:ind w:left="1701"/>
      </w:pPr>
      <w:r>
        <w:t>1.1</w:t>
      </w:r>
      <w:r>
        <w:tab/>
        <w:t>Общие положения</w:t>
      </w:r>
    </w:p>
    <w:p w:rsidR="005E3FA1" w:rsidRPr="00970277" w:rsidRDefault="005E3FA1" w:rsidP="005E3FA1">
      <w:pPr>
        <w:pStyle w:val="SingleTxtG"/>
        <w:ind w:left="2268"/>
      </w:pPr>
      <w:r>
        <w:t>Корпус может иметь круглую, эллиптическую или иную форму поперечного сечения (включая прямоугольную) или комбинации форм, как указано в стандарте EN 14564.</w:t>
      </w:r>
    </w:p>
    <w:p w:rsidR="005E3FA1" w:rsidRPr="00970277" w:rsidRDefault="005E3FA1" w:rsidP="005E3FA1">
      <w:pPr>
        <w:pStyle w:val="SingleTxtG"/>
        <w:ind w:left="2268"/>
      </w:pPr>
      <w:r>
        <w:t>Если для поперечного сечения используется комбинация форм, то минимальная требуемая толщина всего сечения в этой точке в соответствии с пунктом 6.8.1 должна составлять наибольшую минимальную толщину, требуемую для используемых форм.</w:t>
      </w:r>
    </w:p>
    <w:p w:rsidR="005E3FA1" w:rsidRPr="00970277" w:rsidRDefault="005E3FA1" w:rsidP="005E3FA1">
      <w:pPr>
        <w:pStyle w:val="SingleTxtG"/>
        <w:ind w:left="1701"/>
      </w:pPr>
      <w:r>
        <w:t>1.2</w:t>
      </w:r>
      <w:r>
        <w:tab/>
        <w:t>Требования к корпусам с некруглым поперечным сечением</w:t>
      </w:r>
    </w:p>
    <w:p w:rsidR="005E3FA1" w:rsidRPr="00970277" w:rsidRDefault="004712C6" w:rsidP="005E3FA1">
      <w:pPr>
        <w:pStyle w:val="SingleTxtG"/>
        <w:ind w:left="2268"/>
      </w:pPr>
      <w:r>
        <w:tab/>
      </w:r>
      <w:r>
        <w:tab/>
      </w:r>
      <w:r w:rsidR="005E3FA1">
        <w:t>а)</w:t>
      </w:r>
      <w:r w:rsidR="005E3FA1">
        <w:tab/>
        <w:t xml:space="preserve">Радиус выпуклости стенки корпуса не должен превышать </w:t>
      </w:r>
      <w:r>
        <w:br/>
      </w:r>
      <w:r w:rsidR="005E3FA1">
        <w:t>2 м по боковым сторонам и 3 м сверху и снизу;</w:t>
      </w:r>
    </w:p>
    <w:p w:rsidR="005E3FA1" w:rsidRPr="00970277" w:rsidRDefault="004712C6" w:rsidP="005E3FA1">
      <w:pPr>
        <w:pStyle w:val="SingleTxtG"/>
        <w:ind w:left="2268"/>
      </w:pPr>
      <w:r>
        <w:tab/>
      </w:r>
      <w:r>
        <w:tab/>
      </w:r>
      <w:r w:rsidR="005E3FA1">
        <w:t>b)</w:t>
      </w:r>
      <w:r w:rsidR="005E3FA1">
        <w:tab/>
      </w:r>
      <w:r>
        <w:t>м</w:t>
      </w:r>
      <w:r w:rsidR="005E3FA1">
        <w:t xml:space="preserve">инимальный радиус соединения верхней, боковой и нижней выпуклых частей не должен превышать 200 мм. </w:t>
      </w:r>
    </w:p>
    <w:p w:rsidR="005E3FA1" w:rsidRPr="00970277" w:rsidRDefault="005E3FA1" w:rsidP="005E3FA1">
      <w:pPr>
        <w:pStyle w:val="SingleTxtG"/>
        <w:ind w:left="2268"/>
      </w:pPr>
      <w:r>
        <w:tab/>
        <w:t xml:space="preserve">ПРИМЕЧАНИЕ: В пункте 6.8.1 стандарта </w:t>
      </w:r>
      <w:proofErr w:type="spellStart"/>
      <w:r>
        <w:t>prEN</w:t>
      </w:r>
      <w:proofErr w:type="spellEnd"/>
      <w:r>
        <w:t xml:space="preserve"> 13094:2019 содержится схема расчета эквивалентного диаметра.</w:t>
      </w:r>
    </w:p>
    <w:p w:rsidR="005E3FA1" w:rsidRPr="00970277" w:rsidRDefault="005E3FA1" w:rsidP="005E3FA1">
      <w:pPr>
        <w:pStyle w:val="SingleTxtG"/>
        <w:ind w:left="1701"/>
      </w:pPr>
      <w:r>
        <w:t>1.3</w:t>
      </w:r>
      <w:r>
        <w:tab/>
        <w:t>Отстойники и другие выступы с внешней стороны корпуса</w:t>
      </w:r>
    </w:p>
    <w:p w:rsidR="005E3FA1" w:rsidRPr="00970277" w:rsidRDefault="005E3FA1" w:rsidP="005E3FA1">
      <w:pPr>
        <w:pStyle w:val="SingleTxtG"/>
        <w:ind w:left="2268" w:hanging="567"/>
      </w:pPr>
      <w:r>
        <w:t>1.3.1</w:t>
      </w:r>
      <w:r>
        <w:tab/>
        <w:t>Выступы за пределами основного поперечного сечения корпуса должны быть сведены к минимуму, и защита должна обеспечиваться со всех сторон корпуса, кроме тех случаев, когда она обеспечивается компонентами транспортного средства (например, элементами шасси, компонентами подвески, осями и т.</w:t>
      </w:r>
      <w:r w:rsidR="004712C6">
        <w:t> </w:t>
      </w:r>
      <w:r>
        <w:t>д.). Площадь поперечного сечения каждого выступа не должна превышать 10% площади поперечного сечения корпуса в этой точке без выступа. Если выступ не защищен, то толщина должна быть не менее толщины, указанной для корпуса в пункте 6.8.1. Если выступ защищен, то толщина должна быть такой же, как и у корпуса.</w:t>
      </w:r>
    </w:p>
    <w:p w:rsidR="005E3FA1" w:rsidRPr="00970277" w:rsidRDefault="005E3FA1" w:rsidP="005E3FA1">
      <w:pPr>
        <w:pStyle w:val="SingleTxtG"/>
        <w:ind w:left="2268" w:hanging="567"/>
      </w:pPr>
      <w:r>
        <w:t xml:space="preserve">1.3.2 </w:t>
      </w:r>
      <w:r>
        <w:tab/>
      </w:r>
      <w:r>
        <w:tab/>
        <w:t>Корпуса и их секции могут быть оборудованы отстойниками и/или внутренними сливами для того, чтобы:</w:t>
      </w:r>
    </w:p>
    <w:p w:rsidR="005E3FA1" w:rsidRPr="00970277" w:rsidRDefault="005E3FA1" w:rsidP="00E21682">
      <w:pPr>
        <w:pStyle w:val="Bullet2G"/>
      </w:pPr>
      <w:r>
        <w:t>содействовать полной выгрузке перевозимого вещества;</w:t>
      </w:r>
    </w:p>
    <w:p w:rsidR="005E3FA1" w:rsidRPr="00970277" w:rsidRDefault="005E3FA1" w:rsidP="00E21682">
      <w:pPr>
        <w:pStyle w:val="Bullet2G"/>
      </w:pPr>
      <w:r>
        <w:tab/>
        <w:t>облегчить удаление увлекаемой воды из перевозимого вещества; или</w:t>
      </w:r>
    </w:p>
    <w:p w:rsidR="005E3FA1" w:rsidRPr="00970277" w:rsidRDefault="005E3FA1" w:rsidP="00E21682">
      <w:pPr>
        <w:pStyle w:val="Bullet2G"/>
      </w:pPr>
      <w:r>
        <w:tab/>
        <w:t xml:space="preserve">разместить нижний клапан вдали от того места, где существует опасность повреждения, например, рядом с секцией сцепки на полуприцепе. </w:t>
      </w:r>
    </w:p>
    <w:p w:rsidR="005E3FA1" w:rsidRPr="00970277" w:rsidRDefault="005E3FA1" w:rsidP="005E3FA1">
      <w:pPr>
        <w:pStyle w:val="SingleTxtG"/>
        <w:ind w:left="2268"/>
      </w:pPr>
      <w:r>
        <w:t>Отстойники не должны выступать более чем на 150 мм от контура корпуса.</w:t>
      </w:r>
    </w:p>
    <w:p w:rsidR="005E3FA1" w:rsidRPr="00970277" w:rsidRDefault="005E3FA1" w:rsidP="005E3FA1">
      <w:pPr>
        <w:pStyle w:val="SingleTxtG"/>
        <w:ind w:left="2268"/>
      </w:pPr>
      <w:r>
        <w:t>Внутренние сливы и отстойники должны быть изготовлены из того же материала, что и корпус, к которому они крепятся; допускается использование листового материала. Их минимальная толщина должна быть по крайней мере равна толщине корпуса в соответствии с пунктом</w:t>
      </w:r>
      <w:r>
        <w:rPr>
          <w:lang w:val="en-US"/>
        </w:rPr>
        <w:t> </w:t>
      </w:r>
      <w:r>
        <w:t>6.8.2.1.</w:t>
      </w:r>
    </w:p>
    <w:p w:rsidR="005E3FA1" w:rsidRPr="00970277" w:rsidRDefault="005E3FA1" w:rsidP="005E3FA1">
      <w:pPr>
        <w:pStyle w:val="SingleTxtG"/>
        <w:ind w:left="2268"/>
      </w:pPr>
      <w:r>
        <w:t>Отстойник может состоять из вертикальной цилиндрической секции в сочетании с секциями внутренних или внешних сливов для опускания монтажного фланца нижнего клапана.</w:t>
      </w:r>
    </w:p>
    <w:p w:rsidR="005E3FA1" w:rsidRPr="00970277" w:rsidRDefault="005E3FA1" w:rsidP="005E3FA1">
      <w:pPr>
        <w:pStyle w:val="SingleTxtG"/>
        <w:pageBreakBefore/>
        <w:ind w:left="2268" w:hanging="567"/>
      </w:pPr>
      <w:bookmarkStart w:id="0" w:name="_GoBack"/>
      <w:bookmarkEnd w:id="0"/>
      <w:r>
        <w:lastRenderedPageBreak/>
        <w:t>1.4</w:t>
      </w:r>
      <w:r>
        <w:tab/>
        <w:t>Вырезанные секции в пределах контура боковой стороны или днища корпуса</w:t>
      </w:r>
    </w:p>
    <w:p w:rsidR="005E3FA1" w:rsidRPr="00970277" w:rsidRDefault="005E3FA1" w:rsidP="005E3FA1">
      <w:pPr>
        <w:pStyle w:val="SingleTxtG"/>
        <w:ind w:left="1701"/>
      </w:pPr>
      <w:r>
        <w:t>1.4.1</w:t>
      </w:r>
      <w:r>
        <w:tab/>
        <w:t>Боковые вырезы для размещения эксплуатационного оборудования</w:t>
      </w:r>
    </w:p>
    <w:p w:rsidR="005E3FA1" w:rsidRPr="00970277" w:rsidRDefault="005E3FA1" w:rsidP="005E3FA1">
      <w:pPr>
        <w:pStyle w:val="SingleTxtG"/>
        <w:ind w:left="2268"/>
      </w:pPr>
      <w:r>
        <w:t>Боковые вырезы</w:t>
      </w:r>
      <w:r w:rsidRPr="00AE09CE">
        <w:t>,</w:t>
      </w:r>
      <w:r>
        <w:t xml:space="preserve"> обеспечивающие пространство для размещения эксплуатационного оборудования, такого как расходомеры, должны проектироваться в соответствии со следующими критериями:</w:t>
      </w:r>
    </w:p>
    <w:p w:rsidR="005E3FA1" w:rsidRPr="00970277" w:rsidRDefault="005E3FA1" w:rsidP="005E3FA1">
      <w:pPr>
        <w:pStyle w:val="Bullet2G"/>
      </w:pPr>
      <w:r>
        <w:tab/>
        <w:t>общая площадь поперечного сечения вырезов в любой точке не должна превышать 20% общей площади поперечного сечения корпуса без вырезов в том месте, где расположены вырезы;</w:t>
      </w:r>
    </w:p>
    <w:p w:rsidR="005E3FA1" w:rsidRPr="00970277" w:rsidRDefault="005E3FA1" w:rsidP="005E3FA1">
      <w:pPr>
        <w:pStyle w:val="Bullet2G"/>
      </w:pPr>
      <w:r>
        <w:tab/>
        <w:t>длина выреза не должна превышать 40% длины корпуса и в любом случае не должна превышать 1 400 мм;</w:t>
      </w:r>
    </w:p>
    <w:p w:rsidR="005E3FA1" w:rsidRPr="00970277" w:rsidRDefault="005E3FA1" w:rsidP="005E3FA1">
      <w:pPr>
        <w:pStyle w:val="Bullet2G"/>
      </w:pPr>
      <w:r>
        <w:tab/>
        <w:t>минимальное расстояние от краев вырезов до днища должно быть не менее 200 мм;</w:t>
      </w:r>
    </w:p>
    <w:p w:rsidR="005E3FA1" w:rsidRPr="00970277" w:rsidRDefault="005E3FA1" w:rsidP="005E3FA1">
      <w:pPr>
        <w:pStyle w:val="Bullet2G"/>
      </w:pPr>
      <w:r>
        <w:tab/>
        <w:t>высота и глубина выреза должна быть такой, чтобы расстояние от него до осевых линий корпуса составляло не менее 50 мм;</w:t>
      </w:r>
    </w:p>
    <w:p w:rsidR="005E3FA1" w:rsidRPr="00970277" w:rsidRDefault="005E3FA1" w:rsidP="005E3FA1">
      <w:pPr>
        <w:pStyle w:val="Bullet2G"/>
      </w:pPr>
      <w:r>
        <w:tab/>
        <w:t>толщина должна быть не менее толщины, указанной в пункте 6.8.1;</w:t>
      </w:r>
    </w:p>
    <w:p w:rsidR="005E3FA1" w:rsidRPr="00970277" w:rsidRDefault="005E3FA1" w:rsidP="005E3FA1">
      <w:pPr>
        <w:pStyle w:val="Bullet2G"/>
      </w:pPr>
      <w:r>
        <w:tab/>
        <w:t xml:space="preserve">сварные швы должны быть полностью проплавлены (или выполнены из </w:t>
      </w:r>
      <w:proofErr w:type="spellStart"/>
      <w:r>
        <w:t>нахлесточных</w:t>
      </w:r>
      <w:proofErr w:type="spellEnd"/>
      <w:r>
        <w:t xml:space="preserve"> сварных соединений);</w:t>
      </w:r>
    </w:p>
    <w:p w:rsidR="005E3FA1" w:rsidRPr="00970277" w:rsidRDefault="005E3FA1" w:rsidP="005E3FA1">
      <w:pPr>
        <w:pStyle w:val="Bullet2G"/>
      </w:pPr>
      <w:r>
        <w:tab/>
        <w:t>вырез не должен выходить за пределы одной секции или одного отсека корпуса.</w:t>
      </w:r>
    </w:p>
    <w:p w:rsidR="005E3FA1" w:rsidRPr="00970277" w:rsidRDefault="005E3FA1" w:rsidP="005E3FA1">
      <w:pPr>
        <w:pStyle w:val="SingleTxtG"/>
        <w:ind w:left="2268" w:hanging="567"/>
      </w:pPr>
      <w:r>
        <w:t>1.4.2</w:t>
      </w:r>
      <w:r>
        <w:tab/>
        <w:t>Вырезы для размещения арматуры цистерны или другого конструктивного оборудования</w:t>
      </w:r>
    </w:p>
    <w:p w:rsidR="005E3FA1" w:rsidRPr="00970277" w:rsidRDefault="005E3FA1" w:rsidP="005E3FA1">
      <w:pPr>
        <w:pStyle w:val="SingleTxtG"/>
        <w:ind w:left="2268"/>
      </w:pPr>
      <w:r>
        <w:t>Вырезы для размещения конструктивного оборудования (например, сцепных устройств в случае прицепов или полуприцепов) должны проектироваться в соответствии со следующими критериями:</w:t>
      </w:r>
    </w:p>
    <w:p w:rsidR="005E3FA1" w:rsidRPr="00970277" w:rsidRDefault="005E3FA1" w:rsidP="005E3FA1">
      <w:pPr>
        <w:pStyle w:val="Bullet2G"/>
      </w:pPr>
      <w:r>
        <w:tab/>
        <w:t>площадь поперечного сечения выреза не должна превышать 30% общей площади поперечного сечения корпуса без выреза в том месте, где он расположен;</w:t>
      </w:r>
    </w:p>
    <w:p w:rsidR="005E3FA1" w:rsidRPr="00970277" w:rsidRDefault="005E3FA1" w:rsidP="005E3FA1">
      <w:pPr>
        <w:pStyle w:val="Bullet2G"/>
      </w:pPr>
      <w:r>
        <w:tab/>
        <w:t>длина выреза не должна превышать 35% длины цистерны;</w:t>
      </w:r>
    </w:p>
    <w:p w:rsidR="005E3FA1" w:rsidRPr="00970277" w:rsidRDefault="005E3FA1" w:rsidP="005E3FA1">
      <w:pPr>
        <w:pStyle w:val="Bullet2G"/>
      </w:pPr>
      <w:r>
        <w:tab/>
        <w:t>эксплуатационное оборудование не должно привариваться непосредственно к вогнутой поверхности внутри выреза;</w:t>
      </w:r>
    </w:p>
    <w:p w:rsidR="005E3FA1" w:rsidRPr="00970277" w:rsidRDefault="005E3FA1" w:rsidP="005E3FA1">
      <w:pPr>
        <w:pStyle w:val="Bullet2G"/>
      </w:pPr>
      <w:r>
        <w:tab/>
        <w:t>сварные швы должны быть полностью проплавлены;</w:t>
      </w:r>
    </w:p>
    <w:p w:rsidR="005E3FA1" w:rsidRPr="00970277" w:rsidRDefault="005E3FA1" w:rsidP="005E3FA1">
      <w:pPr>
        <w:pStyle w:val="Bullet2G"/>
      </w:pPr>
      <w:r>
        <w:tab/>
        <w:t>минимальная толщина должна быть не менее толщины, указанной в пункте 6.8.1;</w:t>
      </w:r>
    </w:p>
    <w:p w:rsidR="005E3FA1" w:rsidRPr="00970277" w:rsidRDefault="005E3FA1" w:rsidP="005E3FA1">
      <w:pPr>
        <w:pStyle w:val="Bullet2G"/>
      </w:pPr>
      <w:r>
        <w:tab/>
        <w:t>соединение конца конструкционной пластины с корпусом должно быть выполнено на перегородке, конструкция которой соответствует конструкции днища;</w:t>
      </w:r>
    </w:p>
    <w:p w:rsidR="00E12C5F" w:rsidRDefault="005E3FA1" w:rsidP="005E3FA1">
      <w:pPr>
        <w:pStyle w:val="Bullet2G"/>
      </w:pPr>
      <w:r>
        <w:tab/>
        <w:t>эта конструкция не должна препятствовать полному сливу перевозимого вещества.».</w:t>
      </w:r>
    </w:p>
    <w:p w:rsidR="005E3FA1" w:rsidRPr="005E3FA1" w:rsidRDefault="005E3FA1" w:rsidP="005E3F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3FA1" w:rsidRPr="005E3FA1" w:rsidSect="005E3F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C9" w:rsidRPr="00A312BC" w:rsidRDefault="00846BC9" w:rsidP="00A312BC"/>
  </w:endnote>
  <w:endnote w:type="continuationSeparator" w:id="0">
    <w:p w:rsidR="00846BC9" w:rsidRPr="00A312BC" w:rsidRDefault="00846B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A1" w:rsidRPr="005E3FA1" w:rsidRDefault="005E3FA1">
    <w:pPr>
      <w:pStyle w:val="Footer"/>
    </w:pPr>
    <w:r w:rsidRPr="005E3FA1">
      <w:rPr>
        <w:b/>
        <w:sz w:val="18"/>
      </w:rPr>
      <w:fldChar w:fldCharType="begin"/>
    </w:r>
    <w:r w:rsidRPr="005E3FA1">
      <w:rPr>
        <w:b/>
        <w:sz w:val="18"/>
      </w:rPr>
      <w:instrText xml:space="preserve"> PAGE  \* MERGEFORMAT </w:instrText>
    </w:r>
    <w:r w:rsidRPr="005E3FA1">
      <w:rPr>
        <w:b/>
        <w:sz w:val="18"/>
      </w:rPr>
      <w:fldChar w:fldCharType="separate"/>
    </w:r>
    <w:r w:rsidR="00BC7FEB">
      <w:rPr>
        <w:b/>
        <w:noProof/>
        <w:sz w:val="18"/>
      </w:rPr>
      <w:t>2</w:t>
    </w:r>
    <w:r w:rsidRPr="005E3FA1">
      <w:rPr>
        <w:b/>
        <w:sz w:val="18"/>
      </w:rPr>
      <w:fldChar w:fldCharType="end"/>
    </w:r>
    <w:r>
      <w:rPr>
        <w:b/>
        <w:sz w:val="18"/>
      </w:rPr>
      <w:tab/>
    </w:r>
    <w:r>
      <w:t>GE.19-10384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A1" w:rsidRPr="005E3FA1" w:rsidRDefault="005E3FA1" w:rsidP="005E3FA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GE.19-10384</w:t>
    </w:r>
    <w:r>
      <w:tab/>
    </w:r>
    <w:r w:rsidRPr="005E3FA1">
      <w:rPr>
        <w:b/>
        <w:sz w:val="18"/>
      </w:rPr>
      <w:fldChar w:fldCharType="begin"/>
    </w:r>
    <w:r w:rsidRPr="005E3FA1">
      <w:rPr>
        <w:b/>
        <w:sz w:val="18"/>
      </w:rPr>
      <w:instrText xml:space="preserve"> PAGE  \* MERGEFORMAT </w:instrText>
    </w:r>
    <w:r w:rsidRPr="005E3FA1">
      <w:rPr>
        <w:b/>
        <w:sz w:val="18"/>
      </w:rPr>
      <w:fldChar w:fldCharType="separate"/>
    </w:r>
    <w:r w:rsidR="00BC7FEB">
      <w:rPr>
        <w:b/>
        <w:noProof/>
        <w:sz w:val="18"/>
      </w:rPr>
      <w:t>3</w:t>
    </w:r>
    <w:r w:rsidRPr="005E3F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E3FA1" w:rsidRDefault="005E3FA1" w:rsidP="005E3FA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10384  (</w:t>
    </w:r>
    <w:proofErr w:type="gramEnd"/>
    <w:r>
      <w:t>R)</w:t>
    </w:r>
    <w:r w:rsidR="00C563FF">
      <w:rPr>
        <w:lang w:val="en-US"/>
      </w:rPr>
      <w:t xml:space="preserve">  090719  110709</w:t>
    </w:r>
    <w:r>
      <w:br/>
    </w:r>
    <w:r w:rsidRPr="005E3FA1">
      <w:rPr>
        <w:rFonts w:ascii="C39T30Lfz" w:hAnsi="C39T30Lfz"/>
        <w:kern w:val="14"/>
        <w:sz w:val="56"/>
      </w:rPr>
      <w:t></w:t>
    </w:r>
    <w:r w:rsidRPr="005E3FA1">
      <w:rPr>
        <w:rFonts w:ascii="C39T30Lfz" w:hAnsi="C39T30Lfz"/>
        <w:kern w:val="14"/>
        <w:sz w:val="56"/>
      </w:rPr>
      <w:t></w:t>
    </w:r>
    <w:r w:rsidRPr="005E3FA1">
      <w:rPr>
        <w:rFonts w:ascii="C39T30Lfz" w:hAnsi="C39T30Lfz"/>
        <w:kern w:val="14"/>
        <w:sz w:val="56"/>
      </w:rPr>
      <w:t></w:t>
    </w:r>
    <w:r w:rsidRPr="005E3FA1">
      <w:rPr>
        <w:rFonts w:ascii="C39T30Lfz" w:hAnsi="C39T30Lfz"/>
        <w:kern w:val="14"/>
        <w:sz w:val="56"/>
      </w:rPr>
      <w:t></w:t>
    </w:r>
    <w:r w:rsidRPr="005E3FA1">
      <w:rPr>
        <w:rFonts w:ascii="C39T30Lfz" w:hAnsi="C39T30Lfz"/>
        <w:kern w:val="14"/>
        <w:sz w:val="56"/>
      </w:rPr>
      <w:t></w:t>
    </w:r>
    <w:r w:rsidRPr="005E3FA1">
      <w:rPr>
        <w:rFonts w:ascii="C39T30Lfz" w:hAnsi="C39T30Lfz"/>
        <w:kern w:val="14"/>
        <w:sz w:val="56"/>
      </w:rPr>
      <w:t></w:t>
    </w:r>
    <w:r w:rsidRPr="005E3FA1">
      <w:rPr>
        <w:rFonts w:ascii="C39T30Lfz" w:hAnsi="C39T30Lfz"/>
        <w:kern w:val="14"/>
        <w:sz w:val="56"/>
      </w:rPr>
      <w:t></w:t>
    </w:r>
    <w:r w:rsidRPr="005E3FA1">
      <w:rPr>
        <w:rFonts w:ascii="C39T30Lfz" w:hAnsi="C39T30Lfz"/>
        <w:kern w:val="14"/>
        <w:sz w:val="56"/>
      </w:rPr>
      <w:t></w:t>
    </w:r>
    <w:r w:rsidRPr="005E3FA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C9" w:rsidRPr="001075E9" w:rsidRDefault="00846B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6BC9" w:rsidRDefault="00846B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E3FA1" w:rsidRPr="00970277" w:rsidRDefault="005E3FA1" w:rsidP="005E3FA1">
      <w:pPr>
        <w:pStyle w:val="FootnoteText"/>
        <w:rPr>
          <w:sz w:val="20"/>
        </w:rPr>
      </w:pPr>
      <w:r>
        <w:rPr>
          <w:sz w:val="20"/>
        </w:rPr>
        <w:tab/>
      </w:r>
      <w:r w:rsidRPr="005E3FA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5E3FA1" w:rsidRPr="00970277" w:rsidRDefault="005E3FA1" w:rsidP="005E3FA1">
      <w:pPr>
        <w:pStyle w:val="FootnoteText"/>
        <w:rPr>
          <w:sz w:val="20"/>
        </w:rPr>
      </w:pPr>
      <w:r>
        <w:rPr>
          <w:sz w:val="20"/>
        </w:rPr>
        <w:tab/>
      </w:r>
      <w:r w:rsidRPr="005E3FA1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A1" w:rsidRPr="005E3FA1" w:rsidRDefault="00BC7FEB">
    <w:pPr>
      <w:pStyle w:val="Header"/>
    </w:pPr>
    <w:fldSimple w:instr=" TITLE  \* MERGEFORMAT ">
      <w:r>
        <w:t>ECE/TRANS/WP.15/AC.1/2019/39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A1" w:rsidRPr="005E3FA1" w:rsidRDefault="00BC7FEB" w:rsidP="005E3FA1">
    <w:pPr>
      <w:pStyle w:val="Header"/>
      <w:jc w:val="right"/>
    </w:pPr>
    <w:fldSimple w:instr=" TITLE  \* MERGEFORMAT ">
      <w:r>
        <w:t>ECE/TRANS/WP.15/AC.1/2019/39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13"/>
  </w:num>
  <w:num w:numId="26">
    <w:abstractNumId w:val="13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C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01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12C6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3FA1"/>
    <w:rsid w:val="005F0B42"/>
    <w:rsid w:val="00617A43"/>
    <w:rsid w:val="006345DB"/>
    <w:rsid w:val="00640F49"/>
    <w:rsid w:val="0067795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6BC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4EE"/>
    <w:rsid w:val="00B10CC7"/>
    <w:rsid w:val="00B36DF7"/>
    <w:rsid w:val="00B539E7"/>
    <w:rsid w:val="00B62458"/>
    <w:rsid w:val="00BC18B2"/>
    <w:rsid w:val="00BC7FEB"/>
    <w:rsid w:val="00BD33EE"/>
    <w:rsid w:val="00BE1CC7"/>
    <w:rsid w:val="00C106D6"/>
    <w:rsid w:val="00C119AE"/>
    <w:rsid w:val="00C333FF"/>
    <w:rsid w:val="00C563F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682"/>
    <w:rsid w:val="00E73F76"/>
    <w:rsid w:val="00E75F9D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945A13-2050-432C-800D-ED8FCCC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E3FA1"/>
    <w:rPr>
      <w:lang w:val="ru-RU" w:eastAsia="en-US"/>
    </w:rPr>
  </w:style>
  <w:style w:type="paragraph" w:customStyle="1" w:styleId="ParNoG">
    <w:name w:val="_ParNo_G"/>
    <w:basedOn w:val="SingleTxtG"/>
    <w:qFormat/>
    <w:rsid w:val="005E3FA1"/>
    <w:pPr>
      <w:numPr>
        <w:numId w:val="23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5E3FA1"/>
    <w:rPr>
      <w:b/>
      <w:sz w:val="24"/>
      <w:lang w:val="ru-RU" w:eastAsia="ru-RU"/>
    </w:rPr>
  </w:style>
  <w:style w:type="character" w:customStyle="1" w:styleId="HChGChar">
    <w:name w:val="_ H _Ch_G Char"/>
    <w:link w:val="HChG"/>
    <w:uiPriority w:val="99"/>
    <w:rsid w:val="005E3FA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5449</Characters>
  <Application>Microsoft Office Word</Application>
  <DocSecurity>0</DocSecurity>
  <Lines>113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ECE/TRANS/WP.15/AC.1/2019/39</vt:lpstr>
      <vt:lpstr>ECE/TRANS/WP.15/AC.1/2019/39</vt:lpstr>
      <vt:lpstr>A/</vt:lpstr>
    </vt:vector>
  </TitlesOfParts>
  <Company>DCM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ECE/TRANS/WP.15/AC.1/2019/39</dc:title>
  <dc:subject/>
  <dc:creator>Svetlana PROKOUDINA</dc:creator>
  <cp:keywords/>
  <cp:lastModifiedBy>Christine Barrio-Champeau</cp:lastModifiedBy>
  <cp:revision>2</cp:revision>
  <cp:lastPrinted>2019-07-11T07:41:00Z</cp:lastPrinted>
  <dcterms:created xsi:type="dcterms:W3CDTF">2019-08-05T14:16:00Z</dcterms:created>
  <dcterms:modified xsi:type="dcterms:W3CDTF">2019-08-05T14:16:00Z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