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3DB5A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B4294C" w14:textId="77777777" w:rsidR="002D5AAC" w:rsidRDefault="002D5AAC" w:rsidP="00B220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A131E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038CCE" w14:textId="77777777" w:rsidR="002D5AAC" w:rsidRDefault="00B220AC" w:rsidP="00B220AC">
            <w:pPr>
              <w:jc w:val="right"/>
            </w:pPr>
            <w:r w:rsidRPr="00B220AC">
              <w:rPr>
                <w:sz w:val="40"/>
              </w:rPr>
              <w:t>ECE</w:t>
            </w:r>
            <w:r>
              <w:t>/TRANS/WP.15/AC.1/2019/34</w:t>
            </w:r>
          </w:p>
        </w:tc>
      </w:tr>
      <w:tr w:rsidR="002D5AAC" w:rsidRPr="00B220AC" w14:paraId="5964B8E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6E49B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9D943A" wp14:editId="494C535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0DE17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8F8E17" w14:textId="77777777" w:rsidR="002D5AAC" w:rsidRDefault="00B220A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54AC57F" w14:textId="77777777" w:rsidR="00B220AC" w:rsidRDefault="00B220AC" w:rsidP="00B220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14:paraId="30877B5E" w14:textId="77777777" w:rsidR="00B220AC" w:rsidRDefault="00B220AC" w:rsidP="00B220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94A402" w14:textId="77777777" w:rsidR="00B220AC" w:rsidRPr="008D53B6" w:rsidRDefault="00B220AC" w:rsidP="00B220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16E132" w14:textId="77777777" w:rsidR="00B220A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C9FC20" w14:textId="77777777" w:rsidR="00B220AC" w:rsidRPr="00B220AC" w:rsidRDefault="00B220AC" w:rsidP="00B220AC">
      <w:pPr>
        <w:spacing w:before="120"/>
        <w:rPr>
          <w:sz w:val="28"/>
          <w:szCs w:val="28"/>
        </w:rPr>
      </w:pPr>
      <w:r w:rsidRPr="00B220AC">
        <w:rPr>
          <w:sz w:val="28"/>
          <w:szCs w:val="28"/>
        </w:rPr>
        <w:t>Комитет по внутреннему транспорту</w:t>
      </w:r>
    </w:p>
    <w:p w14:paraId="0FDA43F9" w14:textId="77777777" w:rsidR="00B220AC" w:rsidRPr="00B220AC" w:rsidRDefault="00B220AC" w:rsidP="00B220AC">
      <w:pPr>
        <w:spacing w:before="120"/>
        <w:rPr>
          <w:b/>
          <w:sz w:val="24"/>
          <w:szCs w:val="24"/>
        </w:rPr>
      </w:pPr>
      <w:r w:rsidRPr="00B220AC">
        <w:rPr>
          <w:b/>
          <w:bCs/>
          <w:sz w:val="24"/>
          <w:szCs w:val="24"/>
        </w:rPr>
        <w:t>Рабочая группа по перевозкам опасных грузов</w:t>
      </w:r>
    </w:p>
    <w:p w14:paraId="436E741C" w14:textId="77777777" w:rsidR="00B220AC" w:rsidRPr="00CF6561" w:rsidRDefault="00B220AC" w:rsidP="00B220AC">
      <w:pPr>
        <w:spacing w:before="120"/>
        <w:rPr>
          <w:b/>
          <w:bCs/>
        </w:rPr>
      </w:pPr>
      <w:r w:rsidRPr="00CF6561"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 w:rsidRPr="00CF6561">
        <w:rPr>
          <w:b/>
          <w:bCs/>
        </w:rPr>
        <w:t>и Рабочей группы по перевозкам опасных грузов</w:t>
      </w:r>
      <w:r>
        <w:rPr>
          <w:b/>
          <w:bCs/>
        </w:rPr>
        <w:br/>
      </w:r>
      <w:r w:rsidRPr="00CF6561">
        <w:t>Женева, 17−27 сентября 2019 года</w:t>
      </w:r>
      <w:r>
        <w:br/>
      </w:r>
      <w:r w:rsidRPr="00CF6561">
        <w:t>Пункт 7 предварительной повестки дня</w:t>
      </w:r>
      <w:r>
        <w:br/>
      </w:r>
      <w:r w:rsidRPr="00CF6561">
        <w:rPr>
          <w:b/>
          <w:bCs/>
        </w:rPr>
        <w:t>Доклады неофициальных рабочих групп</w:t>
      </w:r>
    </w:p>
    <w:p w14:paraId="7F69290A" w14:textId="77777777" w:rsidR="00B220AC" w:rsidRPr="00CF6561" w:rsidRDefault="00B220AC" w:rsidP="00B220AC">
      <w:pPr>
        <w:pStyle w:val="HChG"/>
        <w:rPr>
          <w:color w:val="000000"/>
        </w:rPr>
      </w:pPr>
      <w:r w:rsidRPr="00CF6561">
        <w:tab/>
      </w:r>
      <w:r w:rsidRPr="00CF6561">
        <w:tab/>
        <w:t>Неофициальная рабочая группа по перевозке опасных отходов: совещание в Брюсселе (2 и 3 апреля 2019 года)</w:t>
      </w:r>
    </w:p>
    <w:p w14:paraId="005860CB" w14:textId="77777777" w:rsidR="00B220AC" w:rsidRPr="0064210A" w:rsidRDefault="00B220AC" w:rsidP="0064210A">
      <w:pPr>
        <w:pStyle w:val="H1G"/>
        <w:spacing w:after="480"/>
        <w:rPr>
          <w:b w:val="0"/>
          <w:szCs w:val="18"/>
        </w:rPr>
      </w:pPr>
      <w:r w:rsidRPr="00CF6561">
        <w:tab/>
      </w:r>
      <w:r w:rsidRPr="00CF6561">
        <w:tab/>
        <w:t>Передано Европейской федерацией по управлению отходами</w:t>
      </w:r>
      <w:r>
        <w:br/>
      </w:r>
      <w:r w:rsidRPr="00CF6561">
        <w:t>и природоохранным технологиям (ФЕАД) от имени неофициальной рабочей группы по перевозке</w:t>
      </w:r>
      <w:r>
        <w:br/>
      </w:r>
      <w:r w:rsidRPr="00CF6561">
        <w:t>опасных отходов</w:t>
      </w:r>
      <w:r w:rsidRPr="00B220AC">
        <w:rPr>
          <w:rStyle w:val="FootnoteReference"/>
          <w:b w:val="0"/>
          <w:position w:val="6"/>
          <w:szCs w:val="18"/>
          <w:vertAlign w:val="baseline"/>
        </w:rPr>
        <w:footnoteReference w:customMarkFollows="1" w:id="1"/>
        <w:t>*</w:t>
      </w:r>
      <w:r w:rsidRPr="00B220AC">
        <w:rPr>
          <w:b w:val="0"/>
          <w:position w:val="6"/>
          <w:sz w:val="18"/>
          <w:szCs w:val="18"/>
        </w:rPr>
        <w:t xml:space="preserve"> </w:t>
      </w:r>
      <w:r w:rsidRPr="00B220AC">
        <w:rPr>
          <w:rStyle w:val="FootnoteReference"/>
          <w:b w:val="0"/>
          <w:position w:val="6"/>
          <w:szCs w:val="18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3705"/>
        <w:gridCol w:w="5923"/>
      </w:tblGrid>
      <w:tr w:rsidR="00B220AC" w:rsidRPr="00B220AC" w14:paraId="048040AD" w14:textId="77777777" w:rsidTr="00B220AC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5985FE79" w14:textId="77777777" w:rsidR="00B220AC" w:rsidRPr="00B220AC" w:rsidRDefault="00B220A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220AC">
              <w:rPr>
                <w:rFonts w:cs="Times New Roman"/>
              </w:rPr>
              <w:tab/>
            </w:r>
            <w:r w:rsidRPr="00B220A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220AC" w:rsidRPr="00B220AC" w14:paraId="6E909C8C" w14:textId="77777777" w:rsidTr="00B220AC">
        <w:trPr>
          <w:jc w:val="center"/>
        </w:trPr>
        <w:tc>
          <w:tcPr>
            <w:tcW w:w="3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3DF11B" w14:textId="77777777" w:rsidR="00B220AC" w:rsidRPr="00B220AC" w:rsidRDefault="00B220AC" w:rsidP="00B220AC">
            <w:pPr>
              <w:pStyle w:val="SingleTxtG"/>
              <w:ind w:right="0"/>
              <w:rPr>
                <w:b/>
                <w:lang w:val="en-US"/>
              </w:rPr>
            </w:pPr>
            <w:r w:rsidRPr="00B220AC">
              <w:rPr>
                <w:b/>
              </w:rPr>
              <w:t>Существо предложения</w:t>
            </w:r>
            <w:r w:rsidRPr="00B220AC">
              <w:t>: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784DB" w14:textId="77777777" w:rsidR="00B220AC" w:rsidRPr="00B220AC" w:rsidRDefault="00B220AC" w:rsidP="00B220AC">
            <w:pPr>
              <w:pStyle w:val="SingleTxtG"/>
              <w:ind w:left="0" w:right="0"/>
              <w:jc w:val="left"/>
            </w:pPr>
            <w:r w:rsidRPr="00CF6561">
              <w:t>Информация для Совместного совещания о ходе работы</w:t>
            </w:r>
            <w:r>
              <w:t>,</w:t>
            </w:r>
            <w:r w:rsidRPr="00B220AC">
              <w:t xml:space="preserve"> </w:t>
            </w:r>
            <w:r w:rsidRPr="00CF6561">
              <w:t>касающейся перевозки опасных отходов</w:t>
            </w:r>
          </w:p>
        </w:tc>
      </w:tr>
      <w:tr w:rsidR="00B220AC" w:rsidRPr="00B220AC" w14:paraId="77B64A1D" w14:textId="77777777" w:rsidTr="00B220AC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3CD2A2A4" w14:textId="77777777" w:rsidR="00B220AC" w:rsidRPr="00B220AC" w:rsidRDefault="00B220AC" w:rsidP="00850215">
            <w:pPr>
              <w:rPr>
                <w:rFonts w:cs="Times New Roman"/>
              </w:rPr>
            </w:pPr>
          </w:p>
        </w:tc>
      </w:tr>
    </w:tbl>
    <w:p w14:paraId="274620E4" w14:textId="77777777" w:rsidR="00B220AC" w:rsidRPr="00CF6561" w:rsidRDefault="00B220AC" w:rsidP="0064210A">
      <w:pPr>
        <w:pStyle w:val="HChG"/>
        <w:pageBreakBefore/>
        <w:rPr>
          <w:szCs w:val="28"/>
        </w:rPr>
      </w:pPr>
      <w:r w:rsidRPr="00CF6561">
        <w:lastRenderedPageBreak/>
        <w:tab/>
      </w:r>
      <w:r>
        <w:tab/>
      </w:r>
      <w:r>
        <w:tab/>
      </w:r>
      <w:r w:rsidRPr="00CF6561">
        <w:t>Введение</w:t>
      </w:r>
    </w:p>
    <w:p w14:paraId="48688319" w14:textId="77777777" w:rsidR="00B220AC" w:rsidRPr="0064210A" w:rsidRDefault="00B220AC" w:rsidP="0064210A">
      <w:pPr>
        <w:pStyle w:val="SingleTxtG"/>
      </w:pPr>
      <w:r w:rsidRPr="0064210A">
        <w:t>1.</w:t>
      </w:r>
      <w:r w:rsidRPr="0064210A">
        <w:tab/>
        <w:t>Как указано в пункте 62 доклада о работе последней сессии Совместного совещания (ECE/TRANS/WP.15/AC.1/152), общую поддержку получило предложение об учреждении неофициальной рабочей группы, возглавляемой ФЕАД.</w:t>
      </w:r>
    </w:p>
    <w:p w14:paraId="6C7A3FBB" w14:textId="77777777" w:rsidR="00B220AC" w:rsidRPr="0064210A" w:rsidRDefault="00B220AC" w:rsidP="0064210A">
      <w:pPr>
        <w:pStyle w:val="SingleTxtG"/>
      </w:pPr>
      <w:r w:rsidRPr="0064210A">
        <w:t>2.</w:t>
      </w:r>
      <w:r w:rsidRPr="0064210A">
        <w:tab/>
        <w:t>В целях подготовки к функционированию неофициальной рабочей группы Совместное совещание предложило представителю ФЕАД подготовить перечень вопросов, которые необходимо рассмотреть, включая описание для каждого случая правовой и фактической ситуации, и передать данный перечень для замечаний всем тем, кто выразил заинтересованность в участии в деятельности рабочей группы.</w:t>
      </w:r>
      <w:r w:rsidRPr="0064210A">
        <w:br/>
        <w:t>В связи с этим ФЕАД подготовила и распространила перечень замечаний, касающихся перевозки опасных отходов, для рассмотрения неофициальной группой по перевозке опасных отходов. Этот перечень вопросов сопровождался рабочим документом, включающим резюме положений ДОПОГ, перечень многосторонних соглашений и национальных отступлений от обязательств в отношении перевозки опасных отходов. Все соответствующие документы ДОПОГ можно найти на странице «Законодательство» на веб-сайте ФЕАД.</w:t>
      </w:r>
    </w:p>
    <w:p w14:paraId="28EBC71F" w14:textId="77777777" w:rsidR="00B220AC" w:rsidRPr="0064210A" w:rsidRDefault="00B220AC" w:rsidP="0064210A">
      <w:pPr>
        <w:pStyle w:val="SingleTxtG"/>
      </w:pPr>
      <w:r w:rsidRPr="0064210A">
        <w:t>3.</w:t>
      </w:r>
      <w:r w:rsidRPr="0064210A">
        <w:tab/>
        <w:t>Неофициальная рабочая группа про</w:t>
      </w:r>
      <w:r w:rsidR="00AC1D8D">
        <w:t>в</w:t>
      </w:r>
      <w:r w:rsidRPr="0064210A">
        <w:t>ела свое совещание в Брюсселе 2 и 3 апреля 2019 года. Присутствовали следующие национальные делегаты и представители ФЕАД:</w:t>
      </w:r>
    </w:p>
    <w:p w14:paraId="7842B02C" w14:textId="6EA57193" w:rsidR="00B220AC" w:rsidRPr="0064210A" w:rsidRDefault="00B220AC" w:rsidP="0064210A">
      <w:pPr>
        <w:pStyle w:val="SingleTxtG"/>
      </w:pPr>
      <w:r w:rsidRPr="0064210A">
        <w:t xml:space="preserve">Национальные делегаты: Ян Ван дер Хейден (Бельгия), </w:t>
      </w:r>
      <w:proofErr w:type="spellStart"/>
      <w:r w:rsidRPr="0064210A">
        <w:t>Роэль</w:t>
      </w:r>
      <w:proofErr w:type="spellEnd"/>
      <w:r w:rsidRPr="0064210A">
        <w:t xml:space="preserve"> Но (Бельгия), Франсуа </w:t>
      </w:r>
      <w:proofErr w:type="spellStart"/>
      <w:r w:rsidRPr="0064210A">
        <w:t>Пондант</w:t>
      </w:r>
      <w:proofErr w:type="spellEnd"/>
      <w:r w:rsidRPr="0064210A">
        <w:t xml:space="preserve"> (Бельгия), Шарлотта Кригер Андерсен (Дания), </w:t>
      </w:r>
      <w:proofErr w:type="spellStart"/>
      <w:r w:rsidRPr="0064210A">
        <w:t>Майкен</w:t>
      </w:r>
      <w:proofErr w:type="spellEnd"/>
      <w:r w:rsidRPr="0064210A">
        <w:t xml:space="preserve"> </w:t>
      </w:r>
      <w:proofErr w:type="spellStart"/>
      <w:r w:rsidRPr="0064210A">
        <w:t>Стрендж</w:t>
      </w:r>
      <w:proofErr w:type="spellEnd"/>
      <w:r w:rsidRPr="0064210A">
        <w:t xml:space="preserve"> (Дания), Ану </w:t>
      </w:r>
      <w:proofErr w:type="spellStart"/>
      <w:r w:rsidRPr="0064210A">
        <w:t>Хякиннен</w:t>
      </w:r>
      <w:proofErr w:type="spellEnd"/>
      <w:r w:rsidRPr="0064210A">
        <w:t xml:space="preserve"> (Финляндия), Клод </w:t>
      </w:r>
      <w:proofErr w:type="spellStart"/>
      <w:r w:rsidRPr="0064210A">
        <w:t>Пфовадель</w:t>
      </w:r>
      <w:proofErr w:type="spellEnd"/>
      <w:r w:rsidRPr="0064210A">
        <w:t xml:space="preserve"> (Франция), Жан-Мишель </w:t>
      </w:r>
      <w:proofErr w:type="spellStart"/>
      <w:r w:rsidRPr="0064210A">
        <w:t>Пикион</w:t>
      </w:r>
      <w:proofErr w:type="spellEnd"/>
      <w:r w:rsidR="00BD0512">
        <w:t> </w:t>
      </w:r>
      <w:r w:rsidRPr="0064210A">
        <w:t xml:space="preserve">(Франция), </w:t>
      </w:r>
      <w:proofErr w:type="spellStart"/>
      <w:r w:rsidRPr="0064210A">
        <w:t>Ивон</w:t>
      </w:r>
      <w:proofErr w:type="spellEnd"/>
      <w:r w:rsidRPr="0064210A">
        <w:t xml:space="preserve"> </w:t>
      </w:r>
      <w:proofErr w:type="spellStart"/>
      <w:r w:rsidRPr="0064210A">
        <w:t>Адебар</w:t>
      </w:r>
      <w:proofErr w:type="spellEnd"/>
      <w:r w:rsidRPr="0064210A">
        <w:t xml:space="preserve"> (Германия), Михаэль Байер (Германия), Давид </w:t>
      </w:r>
      <w:proofErr w:type="spellStart"/>
      <w:r w:rsidRPr="0064210A">
        <w:t>Жилабер</w:t>
      </w:r>
      <w:proofErr w:type="spellEnd"/>
      <w:r w:rsidRPr="0064210A">
        <w:t xml:space="preserve"> (Швейцария), </w:t>
      </w:r>
      <w:proofErr w:type="spellStart"/>
      <w:r w:rsidRPr="0064210A">
        <w:t>Соедеш</w:t>
      </w:r>
      <w:proofErr w:type="spellEnd"/>
      <w:r w:rsidRPr="0064210A">
        <w:t xml:space="preserve"> </w:t>
      </w:r>
      <w:proofErr w:type="spellStart"/>
      <w:r w:rsidRPr="0064210A">
        <w:t>Махеш</w:t>
      </w:r>
      <w:proofErr w:type="spellEnd"/>
      <w:r w:rsidRPr="0064210A">
        <w:t xml:space="preserve"> (Нидерланды)</w:t>
      </w:r>
      <w:r w:rsidR="00DE7964">
        <w:t>.</w:t>
      </w:r>
    </w:p>
    <w:p w14:paraId="316D85DD" w14:textId="77777777" w:rsidR="00B220AC" w:rsidRPr="0064210A" w:rsidRDefault="00B220AC" w:rsidP="0064210A">
      <w:pPr>
        <w:pStyle w:val="SingleTxtG"/>
      </w:pPr>
      <w:r w:rsidRPr="0064210A">
        <w:t xml:space="preserve">Представители ФЕАД: </w:t>
      </w:r>
      <w:proofErr w:type="spellStart"/>
      <w:r w:rsidRPr="0064210A">
        <w:t>Дэмиен</w:t>
      </w:r>
      <w:proofErr w:type="spellEnd"/>
      <w:r w:rsidRPr="0064210A">
        <w:t xml:space="preserve"> </w:t>
      </w:r>
      <w:proofErr w:type="spellStart"/>
      <w:r w:rsidRPr="0064210A">
        <w:t>Рамбо</w:t>
      </w:r>
      <w:proofErr w:type="spellEnd"/>
      <w:r w:rsidRPr="0064210A">
        <w:t xml:space="preserve"> (Франция) и </w:t>
      </w:r>
      <w:proofErr w:type="spellStart"/>
      <w:r w:rsidRPr="0064210A">
        <w:t>Бодуэн</w:t>
      </w:r>
      <w:proofErr w:type="spellEnd"/>
      <w:r w:rsidRPr="0064210A">
        <w:t xml:space="preserve"> </w:t>
      </w:r>
      <w:proofErr w:type="spellStart"/>
      <w:r w:rsidRPr="0064210A">
        <w:t>Ска</w:t>
      </w:r>
      <w:proofErr w:type="spellEnd"/>
      <w:r w:rsidRPr="0064210A">
        <w:t xml:space="preserve"> (Бельгия) (сопредседатели неофициальной рабочей группы), Ян </w:t>
      </w:r>
      <w:proofErr w:type="spellStart"/>
      <w:r w:rsidRPr="0064210A">
        <w:t>Гёдхарт</w:t>
      </w:r>
      <w:proofErr w:type="spellEnd"/>
      <w:r w:rsidRPr="0064210A">
        <w:t xml:space="preserve"> (Нидерланды) (эксперт ФЕАД по вопросам ДОПОГ), Роланд Шулер (Германия) (эксперт ФЕАД по вопросам ДОПОГ), Вилли </w:t>
      </w:r>
      <w:proofErr w:type="spellStart"/>
      <w:r w:rsidRPr="0064210A">
        <w:t>ван</w:t>
      </w:r>
      <w:proofErr w:type="spellEnd"/>
      <w:r w:rsidRPr="0064210A">
        <w:t xml:space="preserve"> Преет (Бельгия) (эксперт ФЕАД по вопросам ДОПОГ), </w:t>
      </w:r>
      <w:proofErr w:type="spellStart"/>
      <w:r w:rsidRPr="0064210A">
        <w:t>Орор</w:t>
      </w:r>
      <w:proofErr w:type="spellEnd"/>
      <w:r w:rsidRPr="0064210A">
        <w:t xml:space="preserve"> </w:t>
      </w:r>
      <w:proofErr w:type="spellStart"/>
      <w:r w:rsidRPr="0064210A">
        <w:t>Муретт</w:t>
      </w:r>
      <w:proofErr w:type="spellEnd"/>
      <w:r w:rsidRPr="0064210A">
        <w:t xml:space="preserve"> (секретариат ФЕАД), Джонатан </w:t>
      </w:r>
      <w:proofErr w:type="spellStart"/>
      <w:r w:rsidRPr="0064210A">
        <w:t>Ланнин</w:t>
      </w:r>
      <w:proofErr w:type="spellEnd"/>
      <w:r w:rsidRPr="0064210A">
        <w:t xml:space="preserve"> (секретариат ФЕАД), Маркус </w:t>
      </w:r>
      <w:proofErr w:type="spellStart"/>
      <w:r w:rsidRPr="0064210A">
        <w:t>Хольт</w:t>
      </w:r>
      <w:proofErr w:type="spellEnd"/>
      <w:r w:rsidRPr="0064210A">
        <w:t xml:space="preserve"> (секретариат ФЕАД).</w:t>
      </w:r>
    </w:p>
    <w:p w14:paraId="51B54F1E" w14:textId="77777777" w:rsidR="00B220AC" w:rsidRPr="0064210A" w:rsidRDefault="00B220AC" w:rsidP="0064210A">
      <w:pPr>
        <w:pStyle w:val="SingleTxtG"/>
      </w:pPr>
      <w:r w:rsidRPr="0064210A">
        <w:t>4.</w:t>
      </w:r>
      <w:r w:rsidRPr="0064210A">
        <w:tab/>
        <w:t>В ходе совещания неофициальной рабочей группы по перевозке опасных отходов национальные представители передали информацию о соответствующих отступлениях от обязательств. После обсуждения каждый отдельный вопрос рассматривался на предмет его дальнейшего обсуждения на предстоящем Совместном совещании МПОГ/ДОПОГ/ВОПОГ.</w:t>
      </w:r>
    </w:p>
    <w:p w14:paraId="33A917F4" w14:textId="77777777" w:rsidR="00B220AC" w:rsidRPr="0064210A" w:rsidRDefault="00B220AC" w:rsidP="0064210A">
      <w:pPr>
        <w:pStyle w:val="SingleTxtG"/>
      </w:pPr>
      <w:r w:rsidRPr="0064210A">
        <w:t>5.</w:t>
      </w:r>
      <w:r w:rsidRPr="0064210A">
        <w:tab/>
        <w:t>В настоящем документе собраны все замечания, высказанные в ходе заседаний неофициальной рабочей группы по перевозке опасных отходов, что позволит Совместному совещанию изучить вопрос о наиболее подходящих способах их рассмотрения.</w:t>
      </w:r>
    </w:p>
    <w:p w14:paraId="7908AE40" w14:textId="77777777" w:rsidR="00B220AC" w:rsidRPr="0064210A" w:rsidRDefault="00B220AC" w:rsidP="0064210A">
      <w:pPr>
        <w:pStyle w:val="SingleTxtG"/>
      </w:pPr>
      <w:r w:rsidRPr="0064210A">
        <w:t>6.</w:t>
      </w:r>
      <w:r w:rsidRPr="0064210A">
        <w:tab/>
        <w:t>По каждому из перечисленных вопросов Совместному совещанию следует принять решение о том, следует ли оставить его в перечне для рассмотрения или нет. В случае оставления в перечне могут быть предложены следующие действия:</w:t>
      </w:r>
    </w:p>
    <w:p w14:paraId="5D11B972" w14:textId="77777777" w:rsidR="00B220AC" w:rsidRPr="0064210A" w:rsidRDefault="00B220AC" w:rsidP="0064210A">
      <w:pPr>
        <w:pStyle w:val="SingleTxtG"/>
      </w:pPr>
      <w:r w:rsidRPr="0064210A">
        <w:tab/>
      </w:r>
      <w:r w:rsidRPr="0064210A">
        <w:tab/>
        <w:t>а)</w:t>
      </w:r>
      <w:r w:rsidRPr="0064210A">
        <w:tab/>
        <w:t>выдвижение предложения в ходе совещания;</w:t>
      </w:r>
    </w:p>
    <w:p w14:paraId="0C042F59" w14:textId="77777777" w:rsidR="00B220AC" w:rsidRPr="0064210A" w:rsidRDefault="00B220AC" w:rsidP="0064210A">
      <w:pPr>
        <w:pStyle w:val="SingleTxtG"/>
      </w:pPr>
      <w:r w:rsidRPr="0064210A">
        <w:tab/>
      </w:r>
      <w:r w:rsidRPr="0064210A">
        <w:tab/>
        <w:t>b)</w:t>
      </w:r>
      <w:r w:rsidRPr="0064210A">
        <w:tab/>
        <w:t>обращение к одной из стран с просьбой сформулировать соответствующее предложение;</w:t>
      </w:r>
    </w:p>
    <w:p w14:paraId="17991026" w14:textId="77777777" w:rsidR="00B220AC" w:rsidRPr="0064210A" w:rsidRDefault="00B220AC" w:rsidP="0064210A">
      <w:pPr>
        <w:pStyle w:val="SingleTxtG"/>
      </w:pPr>
      <w:r w:rsidRPr="0064210A">
        <w:tab/>
      </w:r>
      <w:r w:rsidRPr="0064210A">
        <w:tab/>
        <w:t>с)</w:t>
      </w:r>
      <w:r w:rsidRPr="0064210A">
        <w:tab/>
        <w:t>обращение к ФЕАД с просьбой сформулировать соответствующее предложение;</w:t>
      </w:r>
    </w:p>
    <w:p w14:paraId="660D38BA" w14:textId="77777777" w:rsidR="00B220AC" w:rsidRPr="0064210A" w:rsidRDefault="00B220AC" w:rsidP="0064210A">
      <w:pPr>
        <w:pStyle w:val="SingleTxtG"/>
      </w:pPr>
      <w:r w:rsidRPr="0064210A">
        <w:tab/>
      </w:r>
      <w:r w:rsidRPr="0064210A">
        <w:tab/>
        <w:t>d)</w:t>
      </w:r>
      <w:r w:rsidRPr="0064210A">
        <w:tab/>
        <w:t>признание необходимости в дополнительном рассмотрении в рамках неофициальной рабочей группы.</w:t>
      </w:r>
    </w:p>
    <w:p w14:paraId="244616E2" w14:textId="77777777" w:rsidR="00B220AC" w:rsidRPr="00CF6561" w:rsidRDefault="00B220AC" w:rsidP="00B220AC">
      <w:pPr>
        <w:pStyle w:val="HChG"/>
      </w:pPr>
      <w:bookmarkStart w:id="0" w:name="_GoBack"/>
      <w:bookmarkEnd w:id="0"/>
      <w:r w:rsidRPr="00CF6561">
        <w:lastRenderedPageBreak/>
        <w:tab/>
      </w:r>
      <w:r w:rsidRPr="00CF6561">
        <w:tab/>
      </w:r>
      <w:r w:rsidRPr="00CF6561">
        <w:rPr>
          <w:bCs/>
        </w:rPr>
        <w:t>Предлагаемый перечень вопросов по ДОПОГ, касающихся перевозки опасных отходов</w:t>
      </w:r>
    </w:p>
    <w:p w14:paraId="2FE89160" w14:textId="77777777" w:rsidR="00B220AC" w:rsidRPr="00CF6561" w:rsidRDefault="00B220AC" w:rsidP="00B220AC">
      <w:pPr>
        <w:pStyle w:val="H1G"/>
        <w:spacing w:line="236" w:lineRule="atLeast"/>
      </w:pPr>
      <w:r w:rsidRPr="00CF6561">
        <w:tab/>
      </w:r>
      <w:r w:rsidRPr="00CF6561">
        <w:tab/>
      </w:r>
      <w:r w:rsidRPr="00CF6561">
        <w:rPr>
          <w:bCs/>
        </w:rPr>
        <w:t>Введение</w:t>
      </w:r>
    </w:p>
    <w:p w14:paraId="081DEF56" w14:textId="77777777" w:rsidR="00B220AC" w:rsidRPr="00CF6561" w:rsidRDefault="00B220AC" w:rsidP="00B220AC">
      <w:pPr>
        <w:pStyle w:val="SingleTxtG"/>
        <w:spacing w:after="100" w:line="236" w:lineRule="atLeast"/>
      </w:pPr>
      <w:r w:rsidRPr="00CF6561">
        <w:t>1.</w:t>
      </w:r>
      <w:r w:rsidRPr="00CF6561">
        <w:tab/>
        <w:t xml:space="preserve">В течение более чем </w:t>
      </w:r>
      <w:r>
        <w:t>15</w:t>
      </w:r>
      <w:r w:rsidRPr="00CF6561">
        <w:t xml:space="preserve"> лет предпринимались усилия по включению </w:t>
      </w:r>
      <w:r>
        <w:t xml:space="preserve">требований, предъявляемых к </w:t>
      </w:r>
      <w:r w:rsidRPr="00CF6561">
        <w:t>перевозки отходов</w:t>
      </w:r>
      <w:r>
        <w:t>,</w:t>
      </w:r>
      <w:r w:rsidRPr="00CF6561">
        <w:t xml:space="preserve"> в ДОПОГ. Несмотря на это, применительно к ДОПОГ остаются перечисленные ниже нерешенные вопросы, особенно в отношении транспортировки отходов от конечных пользователей до сортировочных установок, что стало особенно очевидно в результате вступления в силу Регламента о классификации, маркировке и упаковке (КМУ):</w:t>
      </w:r>
    </w:p>
    <w:p w14:paraId="7F737973" w14:textId="77777777" w:rsidR="00B220AC" w:rsidRPr="00CF6561" w:rsidRDefault="00B220AC" w:rsidP="00B220AC">
      <w:pPr>
        <w:pStyle w:val="SingleTxtG"/>
        <w:spacing w:line="236" w:lineRule="atLeast"/>
      </w:pPr>
      <w:r w:rsidRPr="00CF6561">
        <w:tab/>
      </w:r>
      <w:r w:rsidRPr="00CF6561">
        <w:tab/>
        <w:t>а)</w:t>
      </w:r>
      <w:r w:rsidRPr="00CF6561">
        <w:tab/>
        <w:t>правильное применение ДОПОГ;</w:t>
      </w:r>
    </w:p>
    <w:p w14:paraId="0C072E5C" w14:textId="77777777" w:rsidR="00B220AC" w:rsidRPr="00CF6561" w:rsidRDefault="00B220AC" w:rsidP="00B220AC">
      <w:pPr>
        <w:pStyle w:val="SingleTxtG"/>
        <w:spacing w:line="236" w:lineRule="atLeast"/>
      </w:pPr>
      <w:r w:rsidRPr="00CF6561">
        <w:tab/>
      </w:r>
      <w:r w:rsidRPr="00CF6561">
        <w:tab/>
        <w:t>b)</w:t>
      </w:r>
      <w:r w:rsidRPr="00CF6561">
        <w:tab/>
        <w:t>совместимость с национальным экологическим законодательством;</w:t>
      </w:r>
    </w:p>
    <w:p w14:paraId="0A8A4363" w14:textId="77777777" w:rsidR="00B220AC" w:rsidRPr="00CF6561" w:rsidRDefault="00B220AC" w:rsidP="00B220AC">
      <w:pPr>
        <w:pStyle w:val="SingleTxtG"/>
        <w:spacing w:line="236" w:lineRule="atLeast"/>
      </w:pPr>
      <w:r w:rsidRPr="00CF6561">
        <w:tab/>
      </w:r>
      <w:r w:rsidRPr="00CF6561">
        <w:tab/>
        <w:t>с)</w:t>
      </w:r>
      <w:r w:rsidRPr="00CF6561">
        <w:tab/>
        <w:t>создание равных условий для всех перевозчиков отходов на европейском уровне;</w:t>
      </w:r>
    </w:p>
    <w:p w14:paraId="7547D6C6" w14:textId="77777777" w:rsidR="00B220AC" w:rsidRPr="00CF6561" w:rsidRDefault="00B220AC" w:rsidP="00B220AC">
      <w:pPr>
        <w:pStyle w:val="SingleTxtG"/>
        <w:spacing w:line="236" w:lineRule="atLeast"/>
      </w:pPr>
      <w:r w:rsidRPr="00CF6561">
        <w:tab/>
      </w:r>
      <w:r w:rsidRPr="00CF6561">
        <w:tab/>
        <w:t>d)</w:t>
      </w:r>
      <w:r w:rsidRPr="00CF6561">
        <w:tab/>
        <w:t>безопасность и осуществимость перевозки опасных отходов.</w:t>
      </w:r>
    </w:p>
    <w:p w14:paraId="60075167" w14:textId="77777777" w:rsidR="00B220AC" w:rsidRPr="00CF6561" w:rsidRDefault="00B220AC" w:rsidP="00B220AC">
      <w:pPr>
        <w:pStyle w:val="SingleTxtG"/>
      </w:pPr>
      <w:r w:rsidRPr="00CF6561">
        <w:t>2.</w:t>
      </w:r>
      <w:r w:rsidRPr="00CF6561">
        <w:tab/>
        <w:t>Вопросы, отобранные для дальнейшего обсуждения на Совместном совещании МПОГ/ДОПОГ/ВОПОГ, перечислены ниже в предлагаемом порядке приоритетности.</w:t>
      </w:r>
    </w:p>
    <w:p w14:paraId="13CAD6C7" w14:textId="77777777" w:rsidR="00B220AC" w:rsidRPr="00CF6561" w:rsidRDefault="00B220AC" w:rsidP="00B220AC">
      <w:pPr>
        <w:pStyle w:val="SingleTxtG"/>
      </w:pPr>
      <w:r w:rsidRPr="00CF6561">
        <w:t>3.</w:t>
      </w:r>
      <w:r w:rsidRPr="00CF6561">
        <w:tab/>
        <w:t xml:space="preserve">В приложении А содержатся все вопросы, </w:t>
      </w:r>
      <w:r>
        <w:t xml:space="preserve">которые были </w:t>
      </w:r>
      <w:r w:rsidRPr="00CF6561">
        <w:t>обсужд</w:t>
      </w:r>
      <w:r>
        <w:t xml:space="preserve">ены </w:t>
      </w:r>
      <w:r w:rsidRPr="00CF6561">
        <w:t>в ходе заседаний неофициальной рабочей группы по перевозке опасных отходов.</w:t>
      </w:r>
    </w:p>
    <w:p w14:paraId="679E5B85" w14:textId="77777777" w:rsidR="00B220AC" w:rsidRPr="00CF6561" w:rsidRDefault="00B220AC" w:rsidP="00B220AC">
      <w:pPr>
        <w:pStyle w:val="SingleTxtG"/>
      </w:pPr>
      <w:r w:rsidRPr="00CF6561">
        <w:t>4.</w:t>
      </w:r>
      <w:r w:rsidRPr="00CF6561">
        <w:tab/>
        <w:t>Перечень отобранных вопросов остается открытым, поскольку национальные делегаты могут предлагать включи</w:t>
      </w:r>
      <w:r>
        <w:t>ть</w:t>
      </w:r>
      <w:r w:rsidRPr="00CF6561">
        <w:t xml:space="preserve"> в него и другие вопросы.</w:t>
      </w:r>
    </w:p>
    <w:p w14:paraId="4129E53E" w14:textId="77777777" w:rsidR="00B220AC" w:rsidRPr="00CF6561" w:rsidRDefault="00B220AC" w:rsidP="00B220AC">
      <w:pPr>
        <w:pStyle w:val="H23G"/>
        <w:rPr>
          <w:color w:val="000000"/>
        </w:rPr>
      </w:pPr>
      <w:r>
        <w:tab/>
      </w:r>
      <w:r>
        <w:tab/>
      </w:r>
      <w:r w:rsidRPr="00CF6561">
        <w:t>Малогабаритная внутренняя тара для химических веществ без маркировки ООН, упакованная в наружную тару</w:t>
      </w:r>
    </w:p>
    <w:p w14:paraId="7F4C52E3" w14:textId="77777777" w:rsidR="00B220AC" w:rsidRPr="00CF6561" w:rsidRDefault="00B220AC" w:rsidP="00B220AC">
      <w:pPr>
        <w:pStyle w:val="SingleTxtG"/>
        <w:rPr>
          <w:rFonts w:eastAsiaTheme="minorHAnsi"/>
        </w:rPr>
      </w:pPr>
      <w:r w:rsidRPr="00CF6561">
        <w:t>5.</w:t>
      </w:r>
      <w:r w:rsidRPr="00CF6561">
        <w:tab/>
        <w:t xml:space="preserve">Оригинальные химические вещества упаковываются в комбинированную тару, специально испытанную для этих целей (см. раздел 6.1.5 ДОПОГ). Для сбора отходов можно использовать только внутреннюю тару. Эти отходы должны быть отсортированы в соответствии с их опасными свойствами и переупакованы с соблюдением всех требований ДОПОГ, что невозможно. </w:t>
      </w:r>
      <w:r>
        <w:t xml:space="preserve">Пока что не найдено </w:t>
      </w:r>
      <w:r w:rsidRPr="00CF6561">
        <w:t xml:space="preserve">простое </w:t>
      </w:r>
      <w:r>
        <w:t>п</w:t>
      </w:r>
      <w:r w:rsidRPr="00CF6561">
        <w:t>р</w:t>
      </w:r>
      <w:r>
        <w:t xml:space="preserve">авовое </w:t>
      </w:r>
      <w:r w:rsidRPr="00CF6561">
        <w:t>решение проблемы замены отсутствующей наружной тары.</w:t>
      </w:r>
    </w:p>
    <w:p w14:paraId="2E14C6BA" w14:textId="77777777" w:rsidR="00B220AC" w:rsidRPr="00CF6561" w:rsidRDefault="00B220AC" w:rsidP="00B220AC">
      <w:pPr>
        <w:pStyle w:val="SingleTxtG"/>
        <w:rPr>
          <w:color w:val="000000"/>
        </w:rPr>
      </w:pPr>
      <w:r w:rsidRPr="00CF6561">
        <w:t>6.</w:t>
      </w:r>
      <w:r w:rsidRPr="00CF6561">
        <w:tab/>
        <w:t xml:space="preserve">С этой проблемой предприятия по </w:t>
      </w:r>
      <w:r>
        <w:t xml:space="preserve">переработке </w:t>
      </w:r>
      <w:r w:rsidRPr="00CF6561">
        <w:t>отход</w:t>
      </w:r>
      <w:r>
        <w:t>ов</w:t>
      </w:r>
      <w:r w:rsidRPr="00CF6561">
        <w:t xml:space="preserve"> сталкиваются на ежедневной основе, в силу чего она является приоритетной при</w:t>
      </w:r>
      <w:r>
        <w:t xml:space="preserve">менительно к </w:t>
      </w:r>
      <w:r w:rsidRPr="00CF6561">
        <w:t>перевозке упакованных отходов.</w:t>
      </w:r>
    </w:p>
    <w:p w14:paraId="6E189593" w14:textId="77777777" w:rsidR="00B220AC" w:rsidRPr="00CF6561" w:rsidRDefault="00B220AC" w:rsidP="00B220AC">
      <w:pPr>
        <w:pStyle w:val="SingleTxtG"/>
        <w:rPr>
          <w:color w:val="000000"/>
        </w:rPr>
      </w:pPr>
      <w:r w:rsidRPr="00CF6561">
        <w:t>7.</w:t>
      </w:r>
      <w:r w:rsidRPr="00CF6561">
        <w:tab/>
        <w:t xml:space="preserve">Несколько стран разработали национальные </w:t>
      </w:r>
      <w:r>
        <w:t>от</w:t>
      </w:r>
      <w:r w:rsidRPr="00CF6561">
        <w:t>с</w:t>
      </w:r>
      <w:r>
        <w:t>туп</w:t>
      </w:r>
      <w:r w:rsidRPr="00CF6561">
        <w:t>л</w:t>
      </w:r>
      <w:r>
        <w:t>е</w:t>
      </w:r>
      <w:r w:rsidRPr="00CF6561">
        <w:t>ния, касающиеся этого вопроса, предложив упрощенный подход к комбинированной таре. Существует необходимость в их дальнейшей гармонизации на уровне ДОПОГ.</w:t>
      </w:r>
    </w:p>
    <w:p w14:paraId="402F1799" w14:textId="77777777" w:rsidR="00B220AC" w:rsidRPr="00CF6561" w:rsidRDefault="00B220AC" w:rsidP="00B220AC">
      <w:pPr>
        <w:pStyle w:val="SingleTxtG"/>
        <w:rPr>
          <w:color w:val="000000"/>
        </w:rPr>
      </w:pPr>
      <w:r w:rsidRPr="00CF6561">
        <w:t>8.</w:t>
      </w:r>
      <w:r w:rsidRPr="00CF6561">
        <w:tab/>
        <w:t>Сохраняется трудность в определении того, не являются ли перевозимые грузы несовместимыми.</w:t>
      </w:r>
    </w:p>
    <w:p w14:paraId="69A91156" w14:textId="77777777" w:rsidR="00B220AC" w:rsidRPr="00CF6561" w:rsidRDefault="00B220AC" w:rsidP="00B220AC">
      <w:pPr>
        <w:pStyle w:val="H23G"/>
        <w:rPr>
          <w:color w:val="000000"/>
        </w:rPr>
      </w:pPr>
      <w:r>
        <w:tab/>
      </w:r>
      <w:r>
        <w:tab/>
      </w:r>
      <w:r w:rsidRPr="00CF6561">
        <w:t>Сбор опасных бытовых отходов</w:t>
      </w:r>
    </w:p>
    <w:p w14:paraId="160AF865" w14:textId="77777777" w:rsidR="00B220AC" w:rsidRPr="00CF6561" w:rsidRDefault="00B220AC" w:rsidP="00B220AC">
      <w:pPr>
        <w:pStyle w:val="SingleTxtG"/>
      </w:pPr>
      <w:r w:rsidRPr="00CF6561">
        <w:t>9.</w:t>
      </w:r>
      <w:r w:rsidRPr="00CF6561">
        <w:tab/>
        <w:t>Европейская рамочная директива по отходам требует, чтобы к 2025 году каждая страна организовала селективный сбор опасных бытовых отходов. Однако Европейская рамочная директива по отходам не включает в себя правила ДОПОГ.</w:t>
      </w:r>
    </w:p>
    <w:p w14:paraId="3DE8009A" w14:textId="77777777" w:rsidR="00B220AC" w:rsidRPr="00CF6561" w:rsidRDefault="00B220AC" w:rsidP="00B220AC">
      <w:pPr>
        <w:pStyle w:val="SingleTxtG"/>
        <w:rPr>
          <w:sz w:val="18"/>
          <w:szCs w:val="18"/>
        </w:rPr>
      </w:pPr>
      <w:r w:rsidRPr="00CF6561">
        <w:t>10.</w:t>
      </w:r>
      <w:r w:rsidRPr="00CF6561">
        <w:tab/>
        <w:t>Нынешние положения ДОПОГ не затрагивают этот вопрос, в отношении которого ряд стран разработал свои собственные национальные отступления. Такая ситуация может привести к созданию все более неравных условий для различных участников в Европе. Существует настоятельная необходимость в согласовании, с тем чтобы предусмотреть такое многообразие национальных правил.</w:t>
      </w:r>
    </w:p>
    <w:p w14:paraId="086BD97C" w14:textId="77777777" w:rsidR="00B220AC" w:rsidRPr="00CF6561" w:rsidRDefault="00B220AC" w:rsidP="00B220AC">
      <w:pPr>
        <w:pStyle w:val="SingleTxtG"/>
      </w:pPr>
      <w:r w:rsidRPr="00CF6561">
        <w:t>11.</w:t>
      </w:r>
      <w:r w:rsidRPr="00CF6561">
        <w:tab/>
        <w:t>Следовательно, необходимо, чтобы в ДОПОГ лучше учитывалась специфика перевозки опасных бытовых отходов.</w:t>
      </w:r>
    </w:p>
    <w:p w14:paraId="2C830CBD" w14:textId="77777777" w:rsidR="00B220AC" w:rsidRPr="00CF6561" w:rsidRDefault="00B220AC" w:rsidP="00B220AC">
      <w:pPr>
        <w:pStyle w:val="H23G"/>
      </w:pPr>
      <w:r>
        <w:lastRenderedPageBreak/>
        <w:tab/>
      </w:r>
      <w:r>
        <w:tab/>
      </w:r>
      <w:r w:rsidRPr="00CF6561">
        <w:t>Повторное использование упаковки</w:t>
      </w:r>
    </w:p>
    <w:p w14:paraId="3A8C8C52" w14:textId="77777777" w:rsidR="00B220AC" w:rsidRPr="00CF6561" w:rsidRDefault="00B220AC" w:rsidP="00B220AC">
      <w:pPr>
        <w:pStyle w:val="SingleTxtG"/>
      </w:pPr>
      <w:r w:rsidRPr="00CF6561">
        <w:t>12.</w:t>
      </w:r>
      <w:r w:rsidRPr="00CF6561">
        <w:tab/>
        <w:t>Повторное использование тары не запрещено (см. определение в разделе 1.2.1 ДОПОГ), однако без первоначального сертификата и инструкций производителя тары трудно, например, выполнить предписания пункта 6.1.1.5 ДОПОГ (тара)</w:t>
      </w:r>
      <w:r w:rsidR="00BD0512">
        <w:br/>
      </w:r>
      <w:r w:rsidRPr="00CF6561">
        <w:t>или 6.5.1.1.4 ДОПОГ (КСМ) и использовать требуемые уплотнения.</w:t>
      </w:r>
    </w:p>
    <w:p w14:paraId="3CF00194" w14:textId="77777777" w:rsidR="00B220AC" w:rsidRPr="00CF6561" w:rsidRDefault="00B220AC" w:rsidP="00B220AC">
      <w:pPr>
        <w:pStyle w:val="SingleTxtG"/>
        <w:rPr>
          <w:color w:val="000000"/>
        </w:rPr>
      </w:pPr>
      <w:r w:rsidRPr="00CF6561">
        <w:t>13.</w:t>
      </w:r>
      <w:r w:rsidRPr="00CF6561">
        <w:tab/>
        <w:t>Следует разрешить повторное использование тары, с тем чтобы избежать ненужного производства дополнительной упаковки исключительно для целей транспортировки отходов.</w:t>
      </w:r>
    </w:p>
    <w:p w14:paraId="5E7951CC" w14:textId="77777777" w:rsidR="00B220AC" w:rsidRPr="00CF6561" w:rsidRDefault="00B220AC" w:rsidP="00B220AC">
      <w:pPr>
        <w:pStyle w:val="SingleTxtG"/>
        <w:rPr>
          <w:color w:val="000000"/>
        </w:rPr>
      </w:pPr>
      <w:r w:rsidRPr="00CF6561">
        <w:t>14.</w:t>
      </w:r>
      <w:r w:rsidRPr="00CF6561">
        <w:tab/>
        <w:t>Однако такое повторное использование должно осуществляться при соблюдении определенных условий во избежание злоупотребления использованной тарой.</w:t>
      </w:r>
    </w:p>
    <w:p w14:paraId="6F43E070" w14:textId="77777777" w:rsidR="00B220AC" w:rsidRPr="00CF6561" w:rsidRDefault="00B220AC" w:rsidP="00B220AC">
      <w:pPr>
        <w:pStyle w:val="H23G"/>
      </w:pPr>
      <w:r>
        <w:tab/>
      </w:r>
      <w:r>
        <w:tab/>
        <w:t>«</w:t>
      </w:r>
      <w:r w:rsidRPr="00CF6561">
        <w:t>Порожняя неочищенная тара</w:t>
      </w:r>
      <w:r>
        <w:t>»</w:t>
      </w:r>
      <w:r w:rsidRPr="00CF6561">
        <w:t xml:space="preserve"> или </w:t>
      </w:r>
      <w:r>
        <w:t>«</w:t>
      </w:r>
      <w:r w:rsidRPr="00CF6561">
        <w:t>тара отбракованная порожняя неочищенная</w:t>
      </w:r>
      <w:r>
        <w:t>»</w:t>
      </w:r>
      <w:r w:rsidRPr="00CF6561">
        <w:t xml:space="preserve"> (№ ООН 3509)</w:t>
      </w:r>
    </w:p>
    <w:p w14:paraId="1A062705" w14:textId="77777777" w:rsidR="00B220AC" w:rsidRPr="00CF6561" w:rsidRDefault="00B220AC" w:rsidP="00B220AC">
      <w:pPr>
        <w:pStyle w:val="SingleTxtG"/>
      </w:pPr>
      <w:r w:rsidRPr="00CF6561">
        <w:t>15.</w:t>
      </w:r>
      <w:r w:rsidRPr="00CF6561">
        <w:tab/>
        <w:t xml:space="preserve">№ ООН 3509 был разработан для перевозки поврежденной тары, которая больше не соответствует </w:t>
      </w:r>
      <w:r>
        <w:t>сво</w:t>
      </w:r>
      <w:r w:rsidRPr="00CF6561">
        <w:t>е</w:t>
      </w:r>
      <w:r>
        <w:t>му</w:t>
      </w:r>
      <w:r w:rsidRPr="00CF6561">
        <w:t xml:space="preserve"> определению. По этой причине в специальном положении 663 ДОПОГ были </w:t>
      </w:r>
      <w:r>
        <w:t xml:space="preserve">определены </w:t>
      </w:r>
      <w:r w:rsidRPr="00CF6561">
        <w:t>особые условия. В пункте 4.1.1.1</w:t>
      </w:r>
      <w:r w:rsidR="00BD0512">
        <w:t>1</w:t>
      </w:r>
      <w:r w:rsidRPr="00CF6561">
        <w:t xml:space="preserve"> ДОПОГ разрешается использование № ООН 3509 для порожней тары, которая по-прежнему отвечает определению тары (не является поврежденной) в случае перевозки для утилизации или переработки. Поскольку данный вид тары не является поврежденным, применение специального положения 663 ДОПОГ </w:t>
      </w:r>
      <w:proofErr w:type="spellStart"/>
      <w:r w:rsidRPr="00CF6561">
        <w:t>неоправдано</w:t>
      </w:r>
      <w:proofErr w:type="spellEnd"/>
      <w:r w:rsidRPr="00CF6561">
        <w:t>. Разъяснение формулировки текста ДОПОГ обсуждалось на заседании неофициальной рабочей группы, в ходе которого был также рассмотрен вопрос о пятилетнем сроке службы тары применительно к пункту 4.1.1.1</w:t>
      </w:r>
      <w:r w:rsidR="00BD0512">
        <w:t>5</w:t>
      </w:r>
      <w:r w:rsidRPr="00CF6561">
        <w:t xml:space="preserve"> ДОПОГ.</w:t>
      </w:r>
    </w:p>
    <w:p w14:paraId="7913A7E1" w14:textId="77777777" w:rsidR="00B220AC" w:rsidRPr="00CF6561" w:rsidRDefault="00B220AC" w:rsidP="00B220AC">
      <w:pPr>
        <w:pStyle w:val="SingleTxtG"/>
      </w:pPr>
      <w:r w:rsidRPr="00CF6561">
        <w:t>16.</w:t>
      </w:r>
      <w:r w:rsidRPr="00CF6561">
        <w:tab/>
        <w:t xml:space="preserve">Кроме того, остается неясным термин </w:t>
      </w:r>
      <w:r>
        <w:t>«</w:t>
      </w:r>
      <w:r w:rsidRPr="00CF6561">
        <w:t>порожняя</w:t>
      </w:r>
      <w:r>
        <w:t>»</w:t>
      </w:r>
      <w:r w:rsidRPr="00CF6561">
        <w:t>. Определение этого термина является сложным, особенно в случае жидкостей, остатки которых отвердели.</w:t>
      </w:r>
    </w:p>
    <w:p w14:paraId="021C645E" w14:textId="77777777" w:rsidR="00B220AC" w:rsidRPr="00CF6561" w:rsidRDefault="00B220AC" w:rsidP="00B220AC">
      <w:pPr>
        <w:pStyle w:val="SingleTxtG"/>
        <w:spacing w:line="276" w:lineRule="auto"/>
      </w:pPr>
      <w:r w:rsidRPr="00CF6561">
        <w:t>17.</w:t>
      </w:r>
      <w:r w:rsidRPr="00CF6561">
        <w:tab/>
        <w:t>Нынешняя формулировка в специальном положении 663 ДОПОГ может быть понята неправильно (</w:t>
      </w:r>
      <w:r>
        <w:rPr>
          <w:i/>
          <w:iCs/>
        </w:rPr>
        <w:t>«</w:t>
      </w:r>
      <w:r w:rsidRPr="00CF6561">
        <w:rPr>
          <w:i/>
          <w:iCs/>
        </w:rPr>
        <w:t>Отбракованная порожняя неочищенная тара с остатками, представляющими основную или дополнительную опасность класса 5.1, не должна упаковываться совместно с другой отбракованной порожней неочищенной тарой или грузиться совместно с другой отбракованной порожней неочищенной тарой в один и тот же контейнер, одно и то же транспортное средство или один и тот же контейнер для массовых грузов</w:t>
      </w:r>
      <w:r w:rsidRPr="00CF6561">
        <w:t>.</w:t>
      </w:r>
      <w:r>
        <w:t>»</w:t>
      </w:r>
      <w:r w:rsidRPr="00CF6561">
        <w:t>). Было бы желательно изменить это предложение,</w:t>
      </w:r>
      <w:r>
        <w:br/>
      </w:r>
      <w:r w:rsidRPr="00CF6561">
        <w:t>с тем чтобы четко разграничить, что разрешено при перевозке тары или массовых грузов</w:t>
      </w:r>
      <w:r>
        <w:t>, а что нет</w:t>
      </w:r>
      <w:r w:rsidRPr="00CF6561">
        <w:t>.</w:t>
      </w:r>
    </w:p>
    <w:p w14:paraId="164326EB" w14:textId="77777777" w:rsidR="00B220AC" w:rsidRPr="00CF6561" w:rsidRDefault="00B220AC" w:rsidP="00B220AC">
      <w:pPr>
        <w:pStyle w:val="H23G"/>
        <w:rPr>
          <w:color w:val="000000"/>
        </w:rPr>
      </w:pPr>
      <w:r>
        <w:tab/>
      </w:r>
      <w:r>
        <w:tab/>
        <w:t>Отличие к</w:t>
      </w:r>
      <w:r w:rsidRPr="00CF6561">
        <w:t>ритери</w:t>
      </w:r>
      <w:r>
        <w:t>ев</w:t>
      </w:r>
      <w:r w:rsidRPr="00CF6561">
        <w:t xml:space="preserve"> для опасных отходов от критериев для опасных грузов</w:t>
      </w:r>
    </w:p>
    <w:p w14:paraId="2938C4C4" w14:textId="77777777" w:rsidR="00B220AC" w:rsidRPr="00CF6561" w:rsidRDefault="00B220AC" w:rsidP="00B220AC">
      <w:pPr>
        <w:pStyle w:val="SingleTxtG"/>
        <w:spacing w:before="120"/>
      </w:pPr>
      <w:r w:rsidRPr="00CF6561">
        <w:t>18.</w:t>
      </w:r>
      <w:r w:rsidRPr="00CF6561">
        <w:tab/>
        <w:t>Свойства опасных отходов HP4, 5, 7, 10, 11, 13, 15 не имеют эквивалентов в классификации ДОПОГ. Применительно к HP14 отсылка на ДОПОГ имеется только в случае упоминаний об опасности КМУ для H400, 410 и 411 (</w:t>
      </w:r>
      <w:r>
        <w:t xml:space="preserve">но </w:t>
      </w:r>
      <w:r w:rsidRPr="00CF6561">
        <w:t>не H412, 413 и 420). Классификация ЕС в качестве опасных отходов (код со знаком *) автоматически не требует классификации в качестве опасного груза в ДОПОГ. Маркировка КМУ оригинального продукта часто является единственной доступной информацией (бывшая заводская упаковка).</w:t>
      </w:r>
    </w:p>
    <w:p w14:paraId="01E150F3" w14:textId="77777777" w:rsidR="00B220AC" w:rsidRPr="00CF6561" w:rsidRDefault="00B220AC" w:rsidP="00B220AC">
      <w:pPr>
        <w:pStyle w:val="SingleTxtG"/>
        <w:spacing w:before="120"/>
      </w:pPr>
      <w:r w:rsidRPr="00CF6561">
        <w:t>19.</w:t>
      </w:r>
      <w:r w:rsidRPr="00CF6561">
        <w:tab/>
      </w:r>
      <w:r>
        <w:t>В ходе к</w:t>
      </w:r>
      <w:r w:rsidRPr="00CF6561">
        <w:t>лассификаци</w:t>
      </w:r>
      <w:r>
        <w:t>и</w:t>
      </w:r>
      <w:r w:rsidRPr="00CF6561">
        <w:t xml:space="preserve"> некоторых </w:t>
      </w:r>
      <w:r>
        <w:t>«</w:t>
      </w:r>
      <w:r w:rsidRPr="00CF6561">
        <w:t>неизвестных</w:t>
      </w:r>
      <w:r>
        <w:t>»</w:t>
      </w:r>
      <w:r w:rsidRPr="00CF6561">
        <w:t xml:space="preserve"> отходов </w:t>
      </w:r>
      <w:r>
        <w:t>возникают</w:t>
      </w:r>
      <w:r w:rsidRPr="00CF6561">
        <w:t xml:space="preserve"> дв</w:t>
      </w:r>
      <w:r>
        <w:t>е</w:t>
      </w:r>
      <w:r w:rsidRPr="00CF6561">
        <w:t xml:space="preserve"> ситуации:</w:t>
      </w:r>
    </w:p>
    <w:p w14:paraId="3BEB212A" w14:textId="77777777" w:rsidR="00B220AC" w:rsidRPr="00CF6561" w:rsidRDefault="00B220AC" w:rsidP="00B220AC">
      <w:pPr>
        <w:pStyle w:val="SingleTxtG"/>
        <w:spacing w:after="0" w:line="276" w:lineRule="auto"/>
        <w:ind w:left="1701"/>
        <w:rPr>
          <w:color w:val="000000"/>
        </w:rPr>
      </w:pPr>
      <w:r w:rsidRPr="00CF6561">
        <w:t>i.</w:t>
      </w:r>
      <w:r w:rsidRPr="00CF6561">
        <w:tab/>
        <w:t>невозможно классифицировать отходы как опасные или неопасные в соответствии с ДОПОГ;</w:t>
      </w:r>
    </w:p>
    <w:p w14:paraId="46642C84" w14:textId="77777777" w:rsidR="00B220AC" w:rsidRPr="00CF6561" w:rsidRDefault="00B220AC" w:rsidP="00B220AC">
      <w:pPr>
        <w:pStyle w:val="SingleTxtG"/>
        <w:spacing w:after="0" w:line="276" w:lineRule="auto"/>
        <w:ind w:left="1701"/>
        <w:rPr>
          <w:color w:val="000000"/>
        </w:rPr>
      </w:pPr>
      <w:r w:rsidRPr="00CF6561">
        <w:t>ii.</w:t>
      </w:r>
      <w:r w:rsidRPr="00CF6561">
        <w:tab/>
        <w:t>об отходах известно, что они опасные, но нет возможности определить вид опасности.</w:t>
      </w:r>
    </w:p>
    <w:p w14:paraId="0C0C8FC9" w14:textId="77777777" w:rsidR="00B220AC" w:rsidRPr="00CF6561" w:rsidRDefault="00B220AC" w:rsidP="00B220AC">
      <w:pPr>
        <w:pStyle w:val="SingleTxtG"/>
        <w:spacing w:before="120"/>
      </w:pPr>
      <w:r w:rsidRPr="00CF6561">
        <w:t>20.</w:t>
      </w:r>
      <w:r w:rsidRPr="00CF6561">
        <w:tab/>
        <w:t xml:space="preserve">Несколько участников сочли невозможным составить такой перекрестный перечень ссылок, в котором одной позиции в классификационной системе ЕС будет соответствовать одна позиция в ДОПОГ, учитывая различия в используемых критериях и </w:t>
      </w:r>
      <w:r>
        <w:t xml:space="preserve">в </w:t>
      </w:r>
      <w:r w:rsidRPr="00CF6561">
        <w:t>их цел</w:t>
      </w:r>
      <w:r>
        <w:t>ях</w:t>
      </w:r>
      <w:r w:rsidRPr="00CF6561">
        <w:t>.</w:t>
      </w:r>
    </w:p>
    <w:p w14:paraId="58F4BE9A" w14:textId="77777777" w:rsidR="00B220AC" w:rsidRPr="00CF6561" w:rsidRDefault="00B220AC" w:rsidP="00B220AC">
      <w:pPr>
        <w:pStyle w:val="H23G"/>
      </w:pPr>
      <w:r>
        <w:tab/>
      </w:r>
      <w:r>
        <w:tab/>
      </w:r>
      <w:r w:rsidRPr="00CF6561">
        <w:t>Наличие опасных бытовых отходов при сборе неопасных отходов,</w:t>
      </w:r>
      <w:r>
        <w:br/>
      </w:r>
      <w:r w:rsidRPr="00CF6561">
        <w:t>например пустой тары</w:t>
      </w:r>
    </w:p>
    <w:p w14:paraId="4040F6B5" w14:textId="77777777" w:rsidR="00B220AC" w:rsidRPr="00CF6561" w:rsidRDefault="00B220AC" w:rsidP="00B220AC">
      <w:pPr>
        <w:pStyle w:val="SingleTxtG"/>
        <w:spacing w:before="120"/>
      </w:pPr>
      <w:r w:rsidRPr="00CF6561">
        <w:t>21.</w:t>
      </w:r>
      <w:r w:rsidRPr="00CF6561">
        <w:tab/>
        <w:t>Эта проблема усугубляется введением классификации КМУ, а также увеличением количества бытовых изделий с маркировками опасности КМУ (СГС 02, 05, 07), которые в определенных условиях рассматриваются местным</w:t>
      </w:r>
      <w:r>
        <w:t xml:space="preserve"> природоохранным</w:t>
      </w:r>
      <w:r w:rsidRPr="00CF6561">
        <w:t xml:space="preserve"> законодательств</w:t>
      </w:r>
      <w:r>
        <w:t>о</w:t>
      </w:r>
      <w:r w:rsidRPr="00CF6561">
        <w:t>м как неопасные отходы. Каким образом такое законодательство может быть согласовано с ДОПОГ?</w:t>
      </w:r>
    </w:p>
    <w:p w14:paraId="174552A7" w14:textId="77777777" w:rsidR="00B220AC" w:rsidRPr="00CF6561" w:rsidRDefault="00B220AC" w:rsidP="00B220AC">
      <w:pPr>
        <w:pStyle w:val="SingleTxtG"/>
        <w:spacing w:before="120"/>
      </w:pPr>
      <w:r w:rsidRPr="00CF6561">
        <w:t>22.</w:t>
      </w:r>
      <w:r w:rsidRPr="00CF6561">
        <w:tab/>
        <w:t>Примерами таких проблем могут служить аэрозольные контейнеры с остатками газа, которые считаются опасными. Аналогичным образом контейнеры для отбеливателей с небольшими остатками жидкости могут представлять опасность, особенно с учетом обременительности проверки каждого контейнера на наличие в нем небольшого количества опасных веществ. Схожие проблемы возникают при смешении батареек с остаточными отходами</w:t>
      </w:r>
      <w:r>
        <w:t xml:space="preserve"> </w:t>
      </w:r>
      <w:r w:rsidRPr="00CF6561">
        <w:t>(увеличива</w:t>
      </w:r>
      <w:r>
        <w:t>етс</w:t>
      </w:r>
      <w:r w:rsidRPr="00CF6561">
        <w:t>я риск возгорания из-за наличия литиевых батарей).</w:t>
      </w:r>
    </w:p>
    <w:p w14:paraId="59807C6D" w14:textId="77777777" w:rsidR="00B220AC" w:rsidRPr="00CF6561" w:rsidRDefault="00B220AC" w:rsidP="00B220AC">
      <w:pPr>
        <w:pStyle w:val="H23G"/>
        <w:rPr>
          <w:color w:val="000000"/>
        </w:rPr>
      </w:pPr>
      <w:r>
        <w:tab/>
      </w:r>
      <w:r>
        <w:tab/>
        <w:t>Н</w:t>
      </w:r>
      <w:r w:rsidRPr="00C801C2">
        <w:t>еидентифицированн</w:t>
      </w:r>
      <w:r>
        <w:t>ые</w:t>
      </w:r>
      <w:r w:rsidRPr="00CF6561">
        <w:t xml:space="preserve"> отходы (классификация </w:t>
      </w:r>
      <w:r w:rsidRPr="00C801C2">
        <w:t>неидентифицированн</w:t>
      </w:r>
      <w:r>
        <w:t>ых</w:t>
      </w:r>
      <w:r w:rsidRPr="00C801C2">
        <w:t xml:space="preserve"> </w:t>
      </w:r>
      <w:r w:rsidRPr="00CF6561">
        <w:t>отходов)</w:t>
      </w:r>
    </w:p>
    <w:p w14:paraId="31323E6F" w14:textId="77777777" w:rsidR="00B220AC" w:rsidRPr="00CF6561" w:rsidRDefault="00B220AC" w:rsidP="00B220AC">
      <w:pPr>
        <w:pStyle w:val="SingleTxtG"/>
        <w:spacing w:before="120"/>
        <w:rPr>
          <w:color w:val="000000"/>
        </w:rPr>
      </w:pPr>
      <w:r>
        <w:t>23.</w:t>
      </w:r>
      <w:r>
        <w:tab/>
        <w:t>В пункте 2.1.3</w:t>
      </w:r>
      <w:r w:rsidRPr="00CF6561">
        <w:t xml:space="preserve">.5.5 ДОПОГ рассматривается случай отсутствия информации об отходах. </w:t>
      </w:r>
    </w:p>
    <w:p w14:paraId="6F92042F" w14:textId="77777777" w:rsidR="00B220AC" w:rsidRPr="00CF6561" w:rsidRDefault="00B220AC" w:rsidP="00B220AC">
      <w:pPr>
        <w:pStyle w:val="SingleTxtG"/>
        <w:spacing w:before="120"/>
      </w:pPr>
      <w:r w:rsidRPr="00CF6561">
        <w:t>24.</w:t>
      </w:r>
      <w:r w:rsidRPr="00CF6561">
        <w:tab/>
        <w:t>Его толкование различается в разных странах. Было бы желательно согласовать его на основе национального опыта.</w:t>
      </w:r>
    </w:p>
    <w:p w14:paraId="4FB77370" w14:textId="77777777" w:rsidR="00B220AC" w:rsidRPr="00CF6561" w:rsidRDefault="00B220AC" w:rsidP="00B220AC">
      <w:pPr>
        <w:pStyle w:val="H23G"/>
      </w:pPr>
      <w:r>
        <w:tab/>
      </w:r>
      <w:r>
        <w:tab/>
      </w:r>
      <w:r w:rsidRPr="00CF6561">
        <w:t>Химическая совместимость для пластиковой тары</w:t>
      </w:r>
    </w:p>
    <w:p w14:paraId="4BD46CF9" w14:textId="77777777" w:rsidR="00B220AC" w:rsidRPr="00CF6561" w:rsidRDefault="00B220AC" w:rsidP="00B220AC">
      <w:pPr>
        <w:pStyle w:val="SingleTxtG"/>
        <w:spacing w:before="120"/>
      </w:pPr>
      <w:r w:rsidRPr="00CF6561">
        <w:t>25.</w:t>
      </w:r>
      <w:r w:rsidRPr="00CF6561">
        <w:tab/>
        <w:t xml:space="preserve">Правило для сводных позиций (рис. 4.1.1.21.2 ДОПОГ) требует точного определения компонентов отходов. В большинстве случаев это приводит к заявлению </w:t>
      </w:r>
      <w:r>
        <w:t>«</w:t>
      </w:r>
      <w:r w:rsidRPr="00CF6561">
        <w:t>требуются дальнейшие испытания</w:t>
      </w:r>
      <w:r>
        <w:t>»</w:t>
      </w:r>
      <w:r w:rsidRPr="00CF6561">
        <w:t xml:space="preserve">, что означает, что </w:t>
      </w:r>
      <w:r>
        <w:t>данный компонент следует</w:t>
      </w:r>
      <w:r w:rsidRPr="00CF6561">
        <w:t xml:space="preserve"> хранить при комнатной температуре в течение </w:t>
      </w:r>
      <w:r>
        <w:t>шести</w:t>
      </w:r>
      <w:r w:rsidRPr="00CF6561">
        <w:t xml:space="preserve"> месяцев или на образце в течение </w:t>
      </w:r>
      <w:r>
        <w:t>трех</w:t>
      </w:r>
      <w:r w:rsidRPr="00CF6561">
        <w:t xml:space="preserve"> недель </w:t>
      </w:r>
      <w:r>
        <w:t>при</w:t>
      </w:r>
      <w:r w:rsidRPr="00CF6561">
        <w:t xml:space="preserve"> определенных условиях, что на практике неприменимо к отходам.</w:t>
      </w:r>
    </w:p>
    <w:p w14:paraId="2F656BC4" w14:textId="77777777" w:rsidR="00B220AC" w:rsidRPr="00CF6561" w:rsidRDefault="00B220AC" w:rsidP="00B220AC">
      <w:pPr>
        <w:pStyle w:val="SingleTxtG"/>
        <w:spacing w:before="120"/>
      </w:pPr>
      <w:r w:rsidRPr="00CF6561">
        <w:t>26.</w:t>
      </w:r>
      <w:r w:rsidRPr="00CF6561">
        <w:tab/>
        <w:t>В ДОПОГ 2001 года правила, касающиеся совместимости тары для химических веществ, были проще и практичнее.</w:t>
      </w:r>
    </w:p>
    <w:p w14:paraId="60E419D7" w14:textId="77777777" w:rsidR="00B220AC" w:rsidRPr="00CF6561" w:rsidRDefault="00B220AC" w:rsidP="00B220AC">
      <w:pPr>
        <w:pStyle w:val="SingleTxtG"/>
        <w:spacing w:before="120"/>
      </w:pPr>
      <w:r w:rsidRPr="00CF6561">
        <w:t>27.</w:t>
      </w:r>
      <w:r w:rsidRPr="00CF6561">
        <w:tab/>
        <w:t xml:space="preserve">Единственным национальным отступлением, посвященным этому вопросу, является </w:t>
      </w:r>
      <w:r>
        <w:t>«</w:t>
      </w:r>
      <w:r w:rsidRPr="00CF6561">
        <w:t>Ausnahme</w:t>
      </w:r>
      <w:r>
        <w:t>»</w:t>
      </w:r>
      <w:r w:rsidRPr="00CF6561">
        <w:t xml:space="preserve"> (Отступление) 20 в Германии. Это отступление основано на </w:t>
      </w:r>
      <w:r>
        <w:t>«</w:t>
      </w:r>
      <w:r w:rsidRPr="00CF6561">
        <w:t>Abfallgruppe</w:t>
      </w:r>
      <w:r>
        <w:t>»</w:t>
      </w:r>
      <w:r w:rsidRPr="00CF6561">
        <w:t xml:space="preserve"> (группы отходов), а не на номерах ООН.</w:t>
      </w:r>
    </w:p>
    <w:p w14:paraId="29C02C91" w14:textId="77777777" w:rsidR="00B220AC" w:rsidRPr="00CF6561" w:rsidRDefault="00B220AC" w:rsidP="00B220AC">
      <w:pPr>
        <w:pStyle w:val="SingleTxtG"/>
        <w:spacing w:before="120"/>
      </w:pPr>
      <w:r w:rsidRPr="00CF6561">
        <w:t>28.</w:t>
      </w:r>
      <w:r w:rsidRPr="00CF6561">
        <w:tab/>
        <w:t>Такой подход мог бы дать определенные идеи в отношении ДОПОГ.</w:t>
      </w:r>
    </w:p>
    <w:p w14:paraId="4C7A79E3" w14:textId="77777777" w:rsidR="00B220AC" w:rsidRPr="00CF6561" w:rsidRDefault="00B220AC" w:rsidP="00B220AC">
      <w:pPr>
        <w:pStyle w:val="H23G"/>
      </w:pPr>
      <w:r>
        <w:tab/>
      </w:r>
      <w:r>
        <w:tab/>
      </w:r>
      <w:r w:rsidRPr="00CF6561">
        <w:t>Тара для медицинских отходов</w:t>
      </w:r>
    </w:p>
    <w:p w14:paraId="11A2D0AF" w14:textId="77777777" w:rsidR="00B220AC" w:rsidRPr="00CF6561" w:rsidRDefault="00B220AC" w:rsidP="00B220AC">
      <w:pPr>
        <w:pStyle w:val="SingleTxtG"/>
        <w:spacing w:before="120"/>
        <w:rPr>
          <w:rFonts w:eastAsiaTheme="minorHAnsi"/>
        </w:rPr>
      </w:pPr>
      <w:r w:rsidRPr="00CF6561">
        <w:t>29.</w:t>
      </w:r>
      <w:r w:rsidRPr="00CF6561">
        <w:tab/>
        <w:t>При обращении с медицинскими отходами в больничных учреждениях должны соблюдаться особые правила, направленные на сохранение здоровья пациентов (абсолютный приоритет). В результате этого все более автоматизированная больничная практика не всегда соответствует правилам ДОПОГ.</w:t>
      </w:r>
    </w:p>
    <w:p w14:paraId="2E2C8D89" w14:textId="77777777" w:rsidR="00B220AC" w:rsidRPr="00CF6561" w:rsidRDefault="00B220AC" w:rsidP="00B220AC">
      <w:pPr>
        <w:pStyle w:val="SingleTxtG"/>
        <w:spacing w:before="120"/>
        <w:rPr>
          <w:rFonts w:eastAsiaTheme="minorHAnsi"/>
        </w:rPr>
      </w:pPr>
      <w:r w:rsidRPr="00CF6561">
        <w:t>30.</w:t>
      </w:r>
      <w:r w:rsidRPr="00CF6561">
        <w:tab/>
        <w:t>Например, инструкция по упаковке P621, касающаяся медицинских</w:t>
      </w:r>
      <w:r>
        <w:br/>
      </w:r>
      <w:r w:rsidRPr="00CF6561">
        <w:t>отходов (</w:t>
      </w:r>
      <w:r>
        <w:t xml:space="preserve">№ </w:t>
      </w:r>
      <w:r w:rsidRPr="00CF6561">
        <w:t>ООН 3291), требует соблюдения пункта 4.1.1.5 ДОПОГ. В силу этого внутренняя тара, содержащая жидкости, должна упаковываться запорными устройствами вверх и укладываться в наружную тару в соответствии с маркировочными знаками положения, предписанными в подразделе 5.2.1.10 ДОПОГ. Это возможно обеспечить для химических веществ, но затруднено для автоматизированных медицинских процессов.</w:t>
      </w:r>
    </w:p>
    <w:p w14:paraId="7E3E90F0" w14:textId="77777777" w:rsidR="00B220AC" w:rsidRPr="00CF6561" w:rsidRDefault="00B220AC" w:rsidP="00B220AC">
      <w:pPr>
        <w:pStyle w:val="SingleTxtG"/>
        <w:spacing w:before="120"/>
        <w:rPr>
          <w:rFonts w:eastAsiaTheme="minorHAnsi"/>
        </w:rPr>
      </w:pPr>
      <w:r w:rsidRPr="00CF6561">
        <w:t>31.</w:t>
      </w:r>
      <w:r w:rsidRPr="00CF6561">
        <w:tab/>
        <w:t>Что касается тары для медицинских отходов, то относящиеся к ней виды ответственности выходят за рамки сектора утилизации отходов. К выявлению проблем с тарой и разработке методов их преодоления следует привлекать как медицинский сектор, так и предприятия, изготавливающие тару.</w:t>
      </w:r>
    </w:p>
    <w:p w14:paraId="414B5507" w14:textId="77777777" w:rsidR="00B220AC" w:rsidRPr="00CF6561" w:rsidRDefault="00B220AC" w:rsidP="00B220AC">
      <w:pPr>
        <w:pStyle w:val="H23G"/>
      </w:pPr>
      <w:r>
        <w:tab/>
      </w:r>
      <w:r>
        <w:tab/>
      </w:r>
      <w:r w:rsidRPr="00CF6561">
        <w:t>Указание количества транспортируемых отходов в транспортном документе</w:t>
      </w:r>
    </w:p>
    <w:p w14:paraId="0209C18B" w14:textId="77777777" w:rsidR="00B220AC" w:rsidRPr="00CF6561" w:rsidRDefault="00B220AC" w:rsidP="00B220AC">
      <w:pPr>
        <w:pStyle w:val="SingleTxtG"/>
        <w:spacing w:before="120"/>
      </w:pPr>
      <w:r w:rsidRPr="00CF6561">
        <w:t>32.</w:t>
      </w:r>
      <w:r w:rsidRPr="00CF6561">
        <w:tab/>
        <w:t>Должна существовать допустимая погрешность в отношении расчетного количества отходов, поскольку это допускается накладной на конкретные отходы, предусмотренной природоохранным законодательством.</w:t>
      </w:r>
    </w:p>
    <w:p w14:paraId="4B52965C" w14:textId="77777777" w:rsidR="00B220AC" w:rsidRPr="00CF6561" w:rsidRDefault="00B220AC" w:rsidP="00B220AC">
      <w:pPr>
        <w:pStyle w:val="SingleTxtG"/>
      </w:pPr>
      <w:r w:rsidRPr="00CF6561">
        <w:t>33.</w:t>
      </w:r>
      <w:r w:rsidRPr="00CF6561">
        <w:tab/>
        <w:t xml:space="preserve">По практическим причинам точный вес отходов в транспортном документе </w:t>
      </w:r>
      <w:r>
        <w:t>в некоторых случаях</w:t>
      </w:r>
      <w:r w:rsidRPr="00CF6561">
        <w:t xml:space="preserve"> указать невозможно.</w:t>
      </w:r>
    </w:p>
    <w:p w14:paraId="3A5F2F5A" w14:textId="77777777" w:rsidR="00B220AC" w:rsidRPr="00CF6561" w:rsidRDefault="00B220AC" w:rsidP="00B220AC">
      <w:pPr>
        <w:pStyle w:val="SingleTxtG"/>
      </w:pPr>
      <w:r w:rsidRPr="00CF6561">
        <w:t>34.</w:t>
      </w:r>
      <w:r w:rsidRPr="00CF6561">
        <w:tab/>
        <w:t>Уже разработан ряд решений, предусматривающих отступления от обязательств на национальном уровне. Желательно обеспечить их согласование на уровне ДОПОГ.</w:t>
      </w:r>
    </w:p>
    <w:p w14:paraId="70A857B3" w14:textId="77777777" w:rsidR="00B220AC" w:rsidRPr="00CF6561" w:rsidRDefault="00B220AC" w:rsidP="00B220AC">
      <w:pPr>
        <w:pStyle w:val="H23G"/>
      </w:pPr>
      <w:r>
        <w:tab/>
      </w:r>
      <w:r>
        <w:tab/>
      </w:r>
      <w:r w:rsidRPr="00CF6561">
        <w:t>Перевозка № ООН 3509 в крытых брезентом контейнерах для массовых грузов или транспортных средствах (не только в закрытых)</w:t>
      </w:r>
    </w:p>
    <w:p w14:paraId="05395D3A" w14:textId="21D84CAB" w:rsidR="00B220AC" w:rsidRPr="00CF6561" w:rsidRDefault="00B220AC" w:rsidP="00B220AC">
      <w:pPr>
        <w:pStyle w:val="SingleTxtG"/>
      </w:pPr>
      <w:r w:rsidRPr="00CF6561">
        <w:t>35.</w:t>
      </w:r>
      <w:r w:rsidRPr="00CF6561">
        <w:tab/>
        <w:t>В некоторых странах закрытые транспортные единицы не являются обычным видом эксплуатируемой техники. Перевозка в крытых транспортных средствах разрешена для № ООН 3175 и № ООН 3243, но не для № ООН 3509, только в рамках определенных национальных отступлений, включая многостороннее соглашение</w:t>
      </w:r>
      <w:r w:rsidR="00401873">
        <w:t> </w:t>
      </w:r>
      <w:r w:rsidRPr="00CF6561">
        <w:t>M287, инициированное Австрией. Желательно обеспечить их согласование на уровне ДОПОГ.</w:t>
      </w:r>
    </w:p>
    <w:p w14:paraId="04BA1C77" w14:textId="77777777" w:rsidR="00B220AC" w:rsidRPr="00CF6561" w:rsidRDefault="00B220AC" w:rsidP="00B220AC">
      <w:pPr>
        <w:pStyle w:val="H23G"/>
      </w:pPr>
      <w:r>
        <w:tab/>
      </w:r>
      <w:r>
        <w:tab/>
      </w:r>
      <w:r w:rsidRPr="00CF6561">
        <w:t>Перевозка полимеризующихся веществ в качестве отходов</w:t>
      </w:r>
    </w:p>
    <w:p w14:paraId="72E2C304" w14:textId="77777777" w:rsidR="00B220AC" w:rsidRPr="00CF6561" w:rsidRDefault="00B220AC" w:rsidP="00B220AC">
      <w:pPr>
        <w:pStyle w:val="SingleTxtG"/>
      </w:pPr>
      <w:r w:rsidRPr="00CF6561">
        <w:t>36.</w:t>
      </w:r>
      <w:r w:rsidRPr="00CF6561">
        <w:tab/>
        <w:t>Условием для транспортировки полимеризующего</w:t>
      </w:r>
      <w:r>
        <w:t>ся</w:t>
      </w:r>
      <w:r w:rsidRPr="00CF6561">
        <w:t xml:space="preserve"> вещества является достаточная </w:t>
      </w:r>
      <w:r>
        <w:t xml:space="preserve">его </w:t>
      </w:r>
      <w:r w:rsidRPr="00CF6561">
        <w:t>стабилизация. Большое количество таких полимеризующихся веществ перевозится также в качестве отходов. В этом случае информация, необходимая для соблюдения этих положений, часто недоступна, или же их свойства изменились.</w:t>
      </w:r>
    </w:p>
    <w:p w14:paraId="00605CBB" w14:textId="77777777" w:rsidR="00B220AC" w:rsidRPr="00CF6561" w:rsidRDefault="00B220AC" w:rsidP="00B220AC">
      <w:pPr>
        <w:pStyle w:val="SingleTxtG"/>
      </w:pPr>
      <w:r w:rsidRPr="00CF6561">
        <w:t>37.</w:t>
      </w:r>
      <w:r w:rsidRPr="00CF6561">
        <w:tab/>
        <w:t xml:space="preserve">Имели место случаи, </w:t>
      </w:r>
      <w:r>
        <w:t>в ходе которых</w:t>
      </w:r>
      <w:r w:rsidRPr="00CF6561">
        <w:t xml:space="preserve"> </w:t>
      </w:r>
      <w:r>
        <w:t>внешнее н</w:t>
      </w:r>
      <w:r w:rsidRPr="00CF6561">
        <w:t>агрев</w:t>
      </w:r>
      <w:r>
        <w:t xml:space="preserve">ание </w:t>
      </w:r>
      <w:r w:rsidRPr="00CF6561">
        <w:t>вызывал</w:t>
      </w:r>
      <w:r>
        <w:t>о</w:t>
      </w:r>
      <w:r w:rsidRPr="00CF6561">
        <w:t xml:space="preserve"> реакцию в цистерне с отходами, несмотря на то, что содержащиеся в ней вещества не являлись по своей природе опасными.</w:t>
      </w:r>
    </w:p>
    <w:p w14:paraId="0BD2112F" w14:textId="77777777" w:rsidR="00B220AC" w:rsidRPr="00CF6561" w:rsidRDefault="00B220AC" w:rsidP="00B220AC">
      <w:pPr>
        <w:pStyle w:val="SingleTxtG"/>
      </w:pPr>
      <w:r w:rsidRPr="00CF6561">
        <w:t>38.</w:t>
      </w:r>
      <w:r w:rsidRPr="00CF6561">
        <w:tab/>
        <w:t xml:space="preserve">Этот вопрос </w:t>
      </w:r>
      <w:r>
        <w:t>ранее</w:t>
      </w:r>
      <w:r w:rsidRPr="00CF6561">
        <w:t xml:space="preserve"> был изложен правительством Германии в документе ECE/</w:t>
      </w:r>
      <w:r w:rsidR="00DC2F89">
        <w:t xml:space="preserve"> </w:t>
      </w:r>
      <w:r w:rsidRPr="00CF6561">
        <w:t>TRANS/WP.15/AC.1/2019/8</w:t>
      </w:r>
      <w:r>
        <w:t>. Он</w:t>
      </w:r>
      <w:r w:rsidRPr="00CF6561">
        <w:t xml:space="preserve"> уже рассматривается Совместным совещанием. </w:t>
      </w:r>
    </w:p>
    <w:p w14:paraId="14E9E1BD" w14:textId="77777777" w:rsidR="00B220AC" w:rsidRPr="00CF6561" w:rsidRDefault="00DC2F89" w:rsidP="00DC2F89">
      <w:pPr>
        <w:pStyle w:val="H23G"/>
      </w:pPr>
      <w:r>
        <w:tab/>
      </w:r>
      <w:r>
        <w:tab/>
      </w:r>
      <w:r w:rsidR="00B220AC">
        <w:t>Перевозка</w:t>
      </w:r>
      <w:r w:rsidR="00B220AC" w:rsidRPr="00CF6561">
        <w:t xml:space="preserve"> больших объемов загрязненных</w:t>
      </w:r>
      <w:r w:rsidR="00B220AC" w:rsidRPr="00A6118D">
        <w:t xml:space="preserve"> </w:t>
      </w:r>
      <w:r w:rsidR="00B220AC" w:rsidRPr="00CF6561">
        <w:t>асбесто</w:t>
      </w:r>
      <w:r w:rsidR="00B220AC">
        <w:t>м</w:t>
      </w:r>
      <w:r w:rsidR="00B220AC" w:rsidRPr="00CF6561">
        <w:t xml:space="preserve"> веществ или грунта навалом/насыпью</w:t>
      </w:r>
    </w:p>
    <w:p w14:paraId="6B85D136" w14:textId="77777777" w:rsidR="00B220AC" w:rsidRPr="00CF6561" w:rsidRDefault="00B220AC" w:rsidP="00B220AC">
      <w:pPr>
        <w:pStyle w:val="SingleTxtG"/>
      </w:pPr>
      <w:r w:rsidRPr="00CF6561">
        <w:t>39.</w:t>
      </w:r>
      <w:r w:rsidRPr="00CF6561">
        <w:tab/>
        <w:t xml:space="preserve">Специальное положение 168 ДОПОГ не </w:t>
      </w:r>
      <w:r>
        <w:t xml:space="preserve">регулирует </w:t>
      </w:r>
      <w:r w:rsidRPr="00CF6561">
        <w:t>количественны</w:t>
      </w:r>
      <w:r>
        <w:t>е</w:t>
      </w:r>
      <w:r w:rsidRPr="00CF6561">
        <w:t xml:space="preserve"> уровн</w:t>
      </w:r>
      <w:r>
        <w:t>и</w:t>
      </w:r>
      <w:r w:rsidRPr="00CF6561">
        <w:t xml:space="preserve"> загрязнения свободным асбестом, что является причиной применения различных толкований на национальном уровне.</w:t>
      </w:r>
    </w:p>
    <w:p w14:paraId="07B7F31A" w14:textId="77777777" w:rsidR="00B220AC" w:rsidRPr="00CF6561" w:rsidRDefault="00B220AC" w:rsidP="00B220AC">
      <w:pPr>
        <w:pStyle w:val="SingleTxtG"/>
      </w:pPr>
      <w:r w:rsidRPr="00CF6561">
        <w:t>40.</w:t>
      </w:r>
      <w:r w:rsidRPr="00CF6561">
        <w:tab/>
        <w:t>Франция разработала национальное отступление для перевозки больших объемов асбеста навалом, считая, что специальное положение 168 ДОПОГ в данном случае неприменимо. Желательно обеспечить их согласование на уровне ДОПОГ.</w:t>
      </w:r>
    </w:p>
    <w:p w14:paraId="36F5ECA9" w14:textId="77777777" w:rsidR="00B220AC" w:rsidRPr="00CF6561" w:rsidRDefault="00DC2F89" w:rsidP="00DC2F89">
      <w:pPr>
        <w:pStyle w:val="H23G"/>
      </w:pPr>
      <w:r>
        <w:tab/>
      </w:r>
      <w:r>
        <w:tab/>
      </w:r>
      <w:r w:rsidR="00B220AC">
        <w:t>Необходимость указания в</w:t>
      </w:r>
      <w:r w:rsidR="00B220AC" w:rsidRPr="00CF6561">
        <w:t xml:space="preserve"> случае класса 6.2</w:t>
      </w:r>
      <w:r w:rsidR="00BD0512">
        <w:t>,</w:t>
      </w:r>
      <w:r w:rsidR="00B220AC" w:rsidRPr="00CF6561">
        <w:t xml:space="preserve"> помимо информации, касающейся грузополучателя, фамили</w:t>
      </w:r>
      <w:r w:rsidR="00B220AC">
        <w:t>и</w:t>
      </w:r>
      <w:r w:rsidR="00B220AC" w:rsidRPr="00CF6561">
        <w:t xml:space="preserve"> и номер</w:t>
      </w:r>
      <w:r w:rsidR="00B220AC">
        <w:t>а</w:t>
      </w:r>
      <w:r w:rsidR="00B220AC" w:rsidRPr="00CF6561">
        <w:t xml:space="preserve"> телефона ответственного лица</w:t>
      </w:r>
    </w:p>
    <w:p w14:paraId="1384DC6D" w14:textId="77777777" w:rsidR="00B220AC" w:rsidRPr="00CF6561" w:rsidRDefault="00B220AC" w:rsidP="00B220AC">
      <w:pPr>
        <w:pStyle w:val="SingleTxtG"/>
        <w:spacing w:before="120"/>
      </w:pPr>
      <w:r w:rsidRPr="00CF6561">
        <w:t>41.</w:t>
      </w:r>
      <w:r w:rsidRPr="00CF6561">
        <w:tab/>
        <w:t>В современных медицинских учреждениях во многих отделениях о</w:t>
      </w:r>
      <w:r>
        <w:t>бра</w:t>
      </w:r>
      <w:r w:rsidRPr="00CF6561">
        <w:t>з</w:t>
      </w:r>
      <w:r>
        <w:t xml:space="preserve">уются </w:t>
      </w:r>
      <w:r w:rsidRPr="00CF6561">
        <w:t>отходы, относящиеся к № 3291 ООН.</w:t>
      </w:r>
    </w:p>
    <w:p w14:paraId="6B08EA95" w14:textId="77777777" w:rsidR="00B220AC" w:rsidRPr="00CF6561" w:rsidRDefault="00B220AC" w:rsidP="00B220AC">
      <w:pPr>
        <w:pStyle w:val="SingleTxtG"/>
        <w:spacing w:before="120"/>
      </w:pPr>
      <w:r w:rsidRPr="00CF6561">
        <w:t>42.</w:t>
      </w:r>
      <w:r w:rsidRPr="00CF6561">
        <w:tab/>
        <w:t>В пун</w:t>
      </w:r>
      <w:r>
        <w:t>к</w:t>
      </w:r>
      <w:r w:rsidRPr="00CF6561">
        <w:t xml:space="preserve">те 5.4.1.2.4 ДОПОГ говорится о классе 6.2. № 3291 ООН </w:t>
      </w:r>
      <w:r>
        <w:t>–</w:t>
      </w:r>
      <w:r w:rsidR="00DC2F89">
        <w:br/>
      </w:r>
      <w:r w:rsidRPr="00CF6561">
        <w:t>это единственный номер ООН, классифицированный как 6.2, точный состав которого неизвестен. Добавление номера телефона и фамилии ответственного лица в транспортный документ в соответствии с требованиями пункта 5.4.1.2.4 ДОПОГ не гарантирует, что т</w:t>
      </w:r>
      <w:r>
        <w:t>ак</w:t>
      </w:r>
      <w:r w:rsidRPr="00CF6561">
        <w:t>о</w:t>
      </w:r>
      <w:r>
        <w:t>е</w:t>
      </w:r>
      <w:r w:rsidRPr="00CF6561">
        <w:t xml:space="preserve"> лицо, с которым связались в случае аварии, сможет определить точное происхождение тары и не сможет предоставить точную информацию о ее содержимом.</w:t>
      </w:r>
    </w:p>
    <w:p w14:paraId="501C3DAE" w14:textId="77777777" w:rsidR="00B220AC" w:rsidRPr="00CF6561" w:rsidRDefault="00B220AC" w:rsidP="00B220AC">
      <w:pPr>
        <w:pStyle w:val="SingleTxtG"/>
        <w:spacing w:before="120"/>
      </w:pPr>
      <w:r w:rsidRPr="00CF6561">
        <w:t>43.</w:t>
      </w:r>
      <w:r w:rsidRPr="00CF6561">
        <w:tab/>
        <w:t>Идентификация больницы и отделения, как это уже предусмотрено законом в некоторых странах, позволит получить достаточную и эффективную информацию.</w:t>
      </w:r>
    </w:p>
    <w:p w14:paraId="6677173F" w14:textId="77777777" w:rsidR="00B220AC" w:rsidRPr="00CF6561" w:rsidRDefault="00DC2F89" w:rsidP="00DC2F89">
      <w:pPr>
        <w:pStyle w:val="H23G"/>
        <w:rPr>
          <w:color w:val="000000"/>
        </w:rPr>
      </w:pPr>
      <w:r>
        <w:tab/>
      </w:r>
      <w:r>
        <w:tab/>
      </w:r>
      <w:r w:rsidR="00B220AC">
        <w:t xml:space="preserve">Изъятие в отношении </w:t>
      </w:r>
      <w:r w:rsidR="00B220AC" w:rsidRPr="002954FC">
        <w:t>готовы</w:t>
      </w:r>
      <w:r w:rsidR="00B220AC">
        <w:t>х</w:t>
      </w:r>
      <w:r w:rsidR="00B220AC" w:rsidRPr="002954FC">
        <w:t xml:space="preserve"> к употреблению издели</w:t>
      </w:r>
      <w:r w:rsidR="00B220AC">
        <w:t>й</w:t>
      </w:r>
      <w:r w:rsidR="00B220AC" w:rsidRPr="002954FC">
        <w:t xml:space="preserve"> фармацевтической промышленности</w:t>
      </w:r>
    </w:p>
    <w:p w14:paraId="01C3C054" w14:textId="77777777" w:rsidR="00B220AC" w:rsidRPr="00CF6561" w:rsidRDefault="00B220AC" w:rsidP="00B220AC">
      <w:pPr>
        <w:pStyle w:val="SingleTxtG"/>
        <w:spacing w:before="120"/>
      </w:pPr>
      <w:r w:rsidRPr="00CF6561">
        <w:t>44.</w:t>
      </w:r>
      <w:r w:rsidRPr="00CF6561">
        <w:tab/>
        <w:t>Специальное положение 601 освобождает от требований</w:t>
      </w:r>
      <w:r w:rsidRPr="002954FC">
        <w:t xml:space="preserve"> </w:t>
      </w:r>
      <w:r w:rsidRPr="00CF6561">
        <w:t xml:space="preserve">ДОПОГ перевозку </w:t>
      </w:r>
      <w:r w:rsidRPr="002954FC">
        <w:t>готовых к употреблению изделий фармацевтической промышленности</w:t>
      </w:r>
      <w:r>
        <w:t>. Д</w:t>
      </w:r>
      <w:r w:rsidRPr="00CF6561">
        <w:t>а</w:t>
      </w:r>
      <w:r>
        <w:t>нн</w:t>
      </w:r>
      <w:r w:rsidRPr="00CF6561">
        <w:t xml:space="preserve">ое освобождение действует только в отношении </w:t>
      </w:r>
      <w:r>
        <w:t>таких изделий</w:t>
      </w:r>
      <w:r w:rsidRPr="00CF6561">
        <w:t xml:space="preserve"> и не распространяется на отходы.</w:t>
      </w:r>
    </w:p>
    <w:p w14:paraId="4DB61455" w14:textId="77777777" w:rsidR="00B220AC" w:rsidRPr="00CF6561" w:rsidRDefault="00B220AC" w:rsidP="00B220AC">
      <w:pPr>
        <w:pStyle w:val="SingleTxtG"/>
        <w:spacing w:before="120"/>
      </w:pPr>
      <w:r>
        <w:t>45.</w:t>
      </w:r>
      <w:r>
        <w:tab/>
        <w:t xml:space="preserve">Включение этого вопроса </w:t>
      </w:r>
      <w:r w:rsidRPr="00CF6561">
        <w:t>о</w:t>
      </w:r>
      <w:r>
        <w:t>бусловле</w:t>
      </w:r>
      <w:r w:rsidRPr="00CF6561">
        <w:t>но многосторонним соглашением М287, инициированным Австрией.</w:t>
      </w:r>
    </w:p>
    <w:p w14:paraId="5D36D519" w14:textId="77777777" w:rsidR="00B220AC" w:rsidRPr="00CF6561" w:rsidRDefault="00B220AC" w:rsidP="00B220AC">
      <w:pPr>
        <w:pStyle w:val="SingleTxtG"/>
      </w:pPr>
      <w:r w:rsidRPr="00CF6561">
        <w:t>46.</w:t>
      </w:r>
      <w:r w:rsidRPr="00CF6561">
        <w:tab/>
        <w:t xml:space="preserve">К числу проблем в области безопасности относится нежелание освобождать неупакованные </w:t>
      </w:r>
      <w:r w:rsidRPr="000F7176">
        <w:t>издели</w:t>
      </w:r>
      <w:r>
        <w:t>я</w:t>
      </w:r>
      <w:r w:rsidRPr="000F7176">
        <w:t xml:space="preserve"> фармацевтической промышленности</w:t>
      </w:r>
      <w:r w:rsidRPr="00CF6561">
        <w:t xml:space="preserve"> из-под контроля. Перевозка </w:t>
      </w:r>
      <w:r>
        <w:t xml:space="preserve">таких </w:t>
      </w:r>
      <w:r w:rsidRPr="00CF6561">
        <w:t xml:space="preserve">неупакованных </w:t>
      </w:r>
      <w:r>
        <w:t xml:space="preserve">изделий </w:t>
      </w:r>
      <w:r w:rsidRPr="00CF6561">
        <w:t>может иметь последствия с точки зрения токсического или химического воздействия, а это означает, что их перевозка в больших количествах может привести к накоплению большого объема потенциально опасных веществ.</w:t>
      </w:r>
    </w:p>
    <w:p w14:paraId="1B9A1738" w14:textId="77777777" w:rsidR="00B220AC" w:rsidRPr="00CF6561" w:rsidRDefault="00B220AC" w:rsidP="00B220AC">
      <w:pPr>
        <w:pStyle w:val="SingleTxtG"/>
      </w:pPr>
      <w:r w:rsidRPr="00CF6561">
        <w:t>47.</w:t>
      </w:r>
      <w:r w:rsidRPr="00CF6561">
        <w:tab/>
        <w:t xml:space="preserve">Таким образом, в случае возможного распространения </w:t>
      </w:r>
      <w:r>
        <w:t xml:space="preserve">действия </w:t>
      </w:r>
      <w:r w:rsidRPr="00CF6561">
        <w:t>специального положения 601 ДОПОГ на отходы необходимо будет учесть вышеизложенные соображения.</w:t>
      </w:r>
    </w:p>
    <w:p w14:paraId="017991D8" w14:textId="77777777" w:rsidR="00B220AC" w:rsidRPr="00CF6561" w:rsidRDefault="00B220AC" w:rsidP="00DC2F89">
      <w:pPr>
        <w:pStyle w:val="HChG"/>
        <w:pageBreakBefore/>
      </w:pPr>
      <w:r w:rsidRPr="00CF6561">
        <w:tab/>
      </w:r>
      <w:r w:rsidRPr="00CF6561">
        <w:tab/>
      </w:r>
      <w:r w:rsidRPr="00CF6561">
        <w:rPr>
          <w:bCs/>
        </w:rPr>
        <w:t>Приложение А</w:t>
      </w:r>
    </w:p>
    <w:p w14:paraId="2FDCBE6C" w14:textId="77777777" w:rsidR="00B220AC" w:rsidRPr="00CF6561" w:rsidRDefault="00B220AC" w:rsidP="00B220AC">
      <w:pPr>
        <w:pStyle w:val="HChG"/>
      </w:pPr>
      <w:r w:rsidRPr="00CF6561">
        <w:tab/>
      </w:r>
      <w:r w:rsidRPr="00CF6561">
        <w:tab/>
      </w:r>
      <w:r w:rsidRPr="00CF6561">
        <w:rPr>
          <w:bCs/>
        </w:rPr>
        <w:t xml:space="preserve">Перечень всех вопросов, </w:t>
      </w:r>
      <w:r>
        <w:rPr>
          <w:bCs/>
        </w:rPr>
        <w:t xml:space="preserve">которые были </w:t>
      </w:r>
      <w:r w:rsidRPr="00CF6561">
        <w:rPr>
          <w:bCs/>
        </w:rPr>
        <w:t>обсужд</w:t>
      </w:r>
      <w:r>
        <w:rPr>
          <w:bCs/>
        </w:rPr>
        <w:t xml:space="preserve">ены </w:t>
      </w:r>
      <w:r w:rsidRPr="00CF6561">
        <w:rPr>
          <w:bCs/>
        </w:rPr>
        <w:t>в ходе совещания неофициальной рабочей группы</w:t>
      </w:r>
    </w:p>
    <w:p w14:paraId="4281FC7E" w14:textId="77777777" w:rsidR="00B220AC" w:rsidRPr="00CF6561" w:rsidRDefault="00DC2F89" w:rsidP="00DC2F89">
      <w:pPr>
        <w:pStyle w:val="SingleTxtG"/>
        <w:spacing w:after="240"/>
      </w:pPr>
      <w:r>
        <w:tab/>
      </w:r>
      <w:r>
        <w:tab/>
      </w:r>
      <w:r w:rsidR="00B220AC" w:rsidRPr="00CF6561">
        <w:t xml:space="preserve">Вопросы представлены в хронологическом порядке их обсуждения в </w:t>
      </w:r>
      <w:r w:rsidR="00B220AC">
        <w:t xml:space="preserve">рамках </w:t>
      </w:r>
      <w:r w:rsidR="00B220AC" w:rsidRPr="00CF6561">
        <w:t>неофициальной рабочей групп</w:t>
      </w:r>
      <w:r w:rsidR="00B220AC">
        <w:t>ы</w:t>
      </w:r>
      <w:r w:rsidR="00B220AC" w:rsidRPr="00CF6561">
        <w:t>.</w:t>
      </w:r>
    </w:p>
    <w:tbl>
      <w:tblPr>
        <w:tblStyle w:val="TableGrid1"/>
        <w:tblW w:w="9629" w:type="dxa"/>
        <w:tblLayout w:type="fixed"/>
        <w:tblLook w:val="04A0" w:firstRow="1" w:lastRow="0" w:firstColumn="1" w:lastColumn="0" w:noHBand="0" w:noVBand="1"/>
      </w:tblPr>
      <w:tblGrid>
        <w:gridCol w:w="1115"/>
        <w:gridCol w:w="5039"/>
        <w:gridCol w:w="3475"/>
      </w:tblGrid>
      <w:tr w:rsidR="00B220AC" w:rsidRPr="00CF6561" w14:paraId="0BC180E2" w14:textId="77777777" w:rsidTr="00BD0512">
        <w:trPr>
          <w:trHeight w:val="454"/>
          <w:tblHeader/>
        </w:trPr>
        <w:tc>
          <w:tcPr>
            <w:tcW w:w="1115" w:type="dxa"/>
            <w:shd w:val="clear" w:color="auto" w:fill="AEAAAA"/>
          </w:tcPr>
          <w:p w14:paraId="0FC04927" w14:textId="77777777" w:rsidR="00B220AC" w:rsidRPr="00DC2F89" w:rsidRDefault="00B220AC" w:rsidP="00BD0512">
            <w:pPr>
              <w:spacing w:before="80" w:after="8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F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темы</w:t>
            </w:r>
          </w:p>
        </w:tc>
        <w:tc>
          <w:tcPr>
            <w:tcW w:w="5039" w:type="dxa"/>
            <w:shd w:val="clear" w:color="auto" w:fill="AEAAAA"/>
          </w:tcPr>
          <w:p w14:paraId="5EC31104" w14:textId="77777777" w:rsidR="00B220AC" w:rsidRPr="00DC2F89" w:rsidRDefault="00B220AC" w:rsidP="00BD0512">
            <w:pPr>
              <w:spacing w:before="80" w:after="8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F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3475" w:type="dxa"/>
            <w:shd w:val="clear" w:color="auto" w:fill="AEAAAA"/>
          </w:tcPr>
          <w:p w14:paraId="7C70BAF7" w14:textId="77777777" w:rsidR="00B220AC" w:rsidRPr="00DC2F89" w:rsidRDefault="00B220AC" w:rsidP="00BD0512">
            <w:pPr>
              <w:spacing w:before="80" w:after="8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F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Решение</w:t>
            </w:r>
          </w:p>
        </w:tc>
      </w:tr>
      <w:tr w:rsidR="00B220AC" w:rsidRPr="00CF6561" w14:paraId="7A1F199C" w14:textId="77777777" w:rsidTr="00BD0512">
        <w:trPr>
          <w:trHeight w:val="389"/>
        </w:trPr>
        <w:tc>
          <w:tcPr>
            <w:tcW w:w="1115" w:type="dxa"/>
            <w:shd w:val="clear" w:color="auto" w:fill="D9D9D9" w:themeFill="background1" w:themeFillShade="D9"/>
          </w:tcPr>
          <w:p w14:paraId="197A07FD" w14:textId="77777777" w:rsidR="00B220AC" w:rsidRPr="00DC2F89" w:rsidRDefault="00B220AC" w:rsidP="00BD0512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14:paraId="79913CFD" w14:textId="77777777" w:rsidR="00B220AC" w:rsidRPr="00DC2F89" w:rsidRDefault="00B220AC" w:rsidP="00BD0512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/описание/изъятие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14:paraId="53DDAC12" w14:textId="77777777" w:rsidR="00B220AC" w:rsidRPr="00DC2F89" w:rsidRDefault="00B220AC" w:rsidP="00BD0512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AC" w:rsidRPr="00CF6561" w14:paraId="192AABC3" w14:textId="77777777" w:rsidTr="00BD0512">
        <w:trPr>
          <w:trHeight w:val="402"/>
        </w:trPr>
        <w:tc>
          <w:tcPr>
            <w:tcW w:w="1115" w:type="dxa"/>
            <w:shd w:val="clear" w:color="auto" w:fill="FFFF00"/>
          </w:tcPr>
          <w:p w14:paraId="1626652B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39" w:type="dxa"/>
          </w:tcPr>
          <w:p w14:paraId="5A03E0E3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Изъятие в отношении ламп, содержащих опасные грузы</w:t>
            </w:r>
          </w:p>
        </w:tc>
        <w:tc>
          <w:tcPr>
            <w:tcW w:w="3475" w:type="dxa"/>
          </w:tcPr>
          <w:p w14:paraId="61D73C21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</w:t>
            </w:r>
            <w:r w:rsidRPr="00BD0512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 не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 выбран</w:t>
            </w:r>
          </w:p>
        </w:tc>
      </w:tr>
      <w:tr w:rsidR="00B220AC" w:rsidRPr="00CF6561" w14:paraId="76D056ED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150C0F4A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39" w:type="dxa"/>
          </w:tcPr>
          <w:p w14:paraId="0AB34D3F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Изъятие в отношении готовых к употреблению изделий фармацевтической промышленности (лекарств)</w:t>
            </w:r>
          </w:p>
        </w:tc>
        <w:tc>
          <w:tcPr>
            <w:tcW w:w="3475" w:type="dxa"/>
          </w:tcPr>
          <w:p w14:paraId="1BA728A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7729E71F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31A3B962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39" w:type="dxa"/>
          </w:tcPr>
          <w:p w14:paraId="710BC508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Изъятие в отношении процедуры в чрезвычайных ситуациях</w:t>
            </w:r>
          </w:p>
        </w:tc>
        <w:tc>
          <w:tcPr>
            <w:tcW w:w="3475" w:type="dxa"/>
          </w:tcPr>
          <w:p w14:paraId="6B92BB57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</w:t>
            </w: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 выбран</w:t>
            </w:r>
          </w:p>
        </w:tc>
      </w:tr>
      <w:tr w:rsidR="00B220AC" w:rsidRPr="00CF6561" w14:paraId="0B5FE7B5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1D948D78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039" w:type="dxa"/>
          </w:tcPr>
          <w:p w14:paraId="6703FC26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Отличие критериев для опасных отходов от критериев для опасных грузов </w:t>
            </w:r>
          </w:p>
        </w:tc>
        <w:tc>
          <w:tcPr>
            <w:tcW w:w="3475" w:type="dxa"/>
          </w:tcPr>
          <w:p w14:paraId="1EED298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2AD95B58" w14:textId="77777777" w:rsidTr="00BD0512">
        <w:trPr>
          <w:trHeight w:val="375"/>
        </w:trPr>
        <w:tc>
          <w:tcPr>
            <w:tcW w:w="1115" w:type="dxa"/>
            <w:shd w:val="clear" w:color="auto" w:fill="D9D9D9" w:themeFill="background1" w:themeFillShade="D9"/>
          </w:tcPr>
          <w:p w14:paraId="7948CA4A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039" w:type="dxa"/>
          </w:tcPr>
          <w:p w14:paraId="78857A48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Неидентифицированные отходы</w:t>
            </w:r>
          </w:p>
        </w:tc>
        <w:tc>
          <w:tcPr>
            <w:tcW w:w="3475" w:type="dxa"/>
          </w:tcPr>
          <w:p w14:paraId="33B110AC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5401B803" w14:textId="77777777" w:rsidTr="00BD0512">
        <w:trPr>
          <w:trHeight w:val="454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21608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526433A8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Изъятие в отношении неочищенной пустой тары: определение пустой тары</w:t>
            </w:r>
          </w:p>
        </w:tc>
        <w:tc>
          <w:tcPr>
            <w:tcW w:w="3475" w:type="dxa"/>
          </w:tcPr>
          <w:p w14:paraId="691E8C85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</w:t>
            </w:r>
            <w:r w:rsidRPr="00DC2F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 выбран</w:t>
            </w:r>
          </w:p>
        </w:tc>
      </w:tr>
      <w:tr w:rsidR="00B220AC" w:rsidRPr="00CF6561" w14:paraId="14365C24" w14:textId="77777777" w:rsidTr="00BD0512">
        <w:trPr>
          <w:trHeight w:val="361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FD21E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B954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Тара/маркировка – знаки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14:paraId="596BB61D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AC" w:rsidRPr="00CF6561" w14:paraId="47A6A201" w14:textId="77777777" w:rsidTr="00BD0512">
        <w:trPr>
          <w:trHeight w:val="454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79903F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469F7915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Перевозка упакованных отходов: внутренние упаковки в общей таре</w:t>
            </w:r>
          </w:p>
        </w:tc>
        <w:tc>
          <w:tcPr>
            <w:tcW w:w="3475" w:type="dxa"/>
          </w:tcPr>
          <w:p w14:paraId="6EF4FD4F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7A5D3F0E" w14:textId="77777777" w:rsidTr="00BD0512">
        <w:trPr>
          <w:trHeight w:val="389"/>
        </w:trPr>
        <w:tc>
          <w:tcPr>
            <w:tcW w:w="1115" w:type="dxa"/>
            <w:shd w:val="clear" w:color="auto" w:fill="D9D9D9" w:themeFill="background1" w:themeFillShade="D9"/>
          </w:tcPr>
          <w:p w14:paraId="5EA1E630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39" w:type="dxa"/>
          </w:tcPr>
          <w:p w14:paraId="0408B9E0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Сбор опасных отходов домашних хозяйств</w:t>
            </w:r>
          </w:p>
        </w:tc>
        <w:tc>
          <w:tcPr>
            <w:tcW w:w="3475" w:type="dxa"/>
          </w:tcPr>
          <w:p w14:paraId="5DCF7235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559F9D42" w14:textId="77777777" w:rsidTr="00BD0512">
        <w:trPr>
          <w:trHeight w:val="375"/>
        </w:trPr>
        <w:tc>
          <w:tcPr>
            <w:tcW w:w="1115" w:type="dxa"/>
            <w:shd w:val="clear" w:color="auto" w:fill="D9D9D9" w:themeFill="background1" w:themeFillShade="D9"/>
          </w:tcPr>
          <w:p w14:paraId="6648FA30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039" w:type="dxa"/>
          </w:tcPr>
          <w:p w14:paraId="18B2F841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Повторное использование тары</w:t>
            </w:r>
          </w:p>
        </w:tc>
        <w:tc>
          <w:tcPr>
            <w:tcW w:w="3475" w:type="dxa"/>
          </w:tcPr>
          <w:p w14:paraId="24EA8FE9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08258BCA" w14:textId="77777777" w:rsidTr="00BD0512">
        <w:trPr>
          <w:trHeight w:val="319"/>
        </w:trPr>
        <w:tc>
          <w:tcPr>
            <w:tcW w:w="1115" w:type="dxa"/>
            <w:shd w:val="clear" w:color="auto" w:fill="D9D9D9" w:themeFill="background1" w:themeFillShade="D9"/>
          </w:tcPr>
          <w:p w14:paraId="6760CEFB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039" w:type="dxa"/>
          </w:tcPr>
          <w:p w14:paraId="07F16381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Тара или КСМ с истекшим сроком годности</w:t>
            </w:r>
          </w:p>
        </w:tc>
        <w:tc>
          <w:tcPr>
            <w:tcW w:w="3475" w:type="dxa"/>
          </w:tcPr>
          <w:p w14:paraId="52830A0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</w:t>
            </w: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выбран</w:t>
            </w:r>
          </w:p>
        </w:tc>
      </w:tr>
      <w:tr w:rsidR="00B220AC" w:rsidRPr="00CF6561" w14:paraId="09679C2C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2370698D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2A8DFD4C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Маркировочный знак вещества, опасного для окружающей среды</w:t>
            </w:r>
          </w:p>
        </w:tc>
        <w:tc>
          <w:tcPr>
            <w:tcW w:w="3475" w:type="dxa"/>
          </w:tcPr>
          <w:p w14:paraId="243B137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</w:t>
            </w: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выбран</w:t>
            </w:r>
          </w:p>
        </w:tc>
      </w:tr>
      <w:tr w:rsidR="00DC2F89" w:rsidRPr="00CF6561" w14:paraId="2074E224" w14:textId="77777777" w:rsidTr="00BD0512">
        <w:trPr>
          <w:trHeight w:val="222"/>
        </w:trPr>
        <w:tc>
          <w:tcPr>
            <w:tcW w:w="1115" w:type="dxa"/>
            <w:vMerge w:val="restart"/>
            <w:shd w:val="clear" w:color="auto" w:fill="D9D9D9" w:themeFill="background1" w:themeFillShade="D9"/>
          </w:tcPr>
          <w:p w14:paraId="66DEFDD4" w14:textId="77777777" w:rsidR="00DC2F89" w:rsidRPr="00DC2F89" w:rsidRDefault="00DC2F89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039" w:type="dxa"/>
            <w:tcBorders>
              <w:bottom w:val="nil"/>
            </w:tcBorders>
          </w:tcPr>
          <w:p w14:paraId="13BC908D" w14:textId="77777777" w:rsidR="00DC2F89" w:rsidRPr="00DC2F89" w:rsidRDefault="00DC2F89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«Порожняя неочищенная тара» или «тара отбракованная порожняя неочищенная» (№ ООН 3509)</w:t>
            </w:r>
          </w:p>
        </w:tc>
        <w:tc>
          <w:tcPr>
            <w:tcW w:w="3475" w:type="dxa"/>
            <w:vMerge w:val="restart"/>
          </w:tcPr>
          <w:p w14:paraId="44021F3B" w14:textId="77777777" w:rsidR="00DC2F89" w:rsidRPr="00DC2F89" w:rsidRDefault="00DC2F89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DC2F89" w:rsidRPr="00CF6561" w14:paraId="25CC4E8D" w14:textId="77777777" w:rsidTr="00BD0512">
        <w:trPr>
          <w:trHeight w:val="221"/>
        </w:trPr>
        <w:tc>
          <w:tcPr>
            <w:tcW w:w="1115" w:type="dxa"/>
            <w:vMerge/>
            <w:shd w:val="clear" w:color="auto" w:fill="D9D9D9" w:themeFill="background1" w:themeFillShade="D9"/>
          </w:tcPr>
          <w:p w14:paraId="3F145266" w14:textId="77777777" w:rsidR="00DC2F89" w:rsidRPr="00DC2F89" w:rsidRDefault="00DC2F89" w:rsidP="00DC2F89">
            <w:pPr>
              <w:spacing w:before="60" w:after="60" w:line="220" w:lineRule="exact"/>
              <w:rPr>
                <w:rFonts w:cs="Times New Roman"/>
                <w:szCs w:val="20"/>
              </w:rPr>
            </w:pPr>
          </w:p>
        </w:tc>
        <w:tc>
          <w:tcPr>
            <w:tcW w:w="5039" w:type="dxa"/>
            <w:tcBorders>
              <w:top w:val="nil"/>
            </w:tcBorders>
          </w:tcPr>
          <w:p w14:paraId="09A9EC4C" w14:textId="77777777" w:rsidR="00DC2F89" w:rsidRPr="00DC2F89" w:rsidRDefault="00DC2F89" w:rsidP="00DC2F89">
            <w:pPr>
              <w:spacing w:before="60" w:after="60" w:line="220" w:lineRule="exact"/>
              <w:rPr>
                <w:rFonts w:cs="Times New Roman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Уточнение сферы применения</w:t>
            </w:r>
          </w:p>
        </w:tc>
        <w:tc>
          <w:tcPr>
            <w:tcW w:w="3475" w:type="dxa"/>
            <w:vMerge/>
          </w:tcPr>
          <w:p w14:paraId="56DADFE6" w14:textId="77777777" w:rsidR="00DC2F89" w:rsidRPr="00DC2F89" w:rsidRDefault="00DC2F89" w:rsidP="00DC2F89">
            <w:pPr>
              <w:spacing w:before="60" w:after="60" w:line="220" w:lineRule="exact"/>
              <w:rPr>
                <w:rFonts w:cs="Times New Roman"/>
                <w:szCs w:val="20"/>
              </w:rPr>
            </w:pPr>
          </w:p>
        </w:tc>
      </w:tr>
      <w:tr w:rsidR="00B220AC" w:rsidRPr="00CF6561" w14:paraId="6438395F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29EE4274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039" w:type="dxa"/>
          </w:tcPr>
          <w:p w14:paraId="34781DB4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использования аварийной тары для перевозки поврежденных, имеющих дефекты, протекших или не соответствующих требованиям упаковок. Допущение использования тары более крупных размеров, КСМ типа 11A или крупногабаритной тары при определенных условиях</w:t>
            </w:r>
          </w:p>
        </w:tc>
        <w:tc>
          <w:tcPr>
            <w:tcW w:w="3475" w:type="dxa"/>
          </w:tcPr>
          <w:p w14:paraId="7F1859C1" w14:textId="77777777" w:rsidR="00B220AC" w:rsidRPr="00DC2F89" w:rsidRDefault="00B220AC" w:rsidP="00DC2F89">
            <w:pPr>
              <w:shd w:val="clear" w:color="auto" w:fill="FFFFFF" w:themeFill="background1"/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</w:t>
            </w: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выбран</w:t>
            </w:r>
          </w:p>
        </w:tc>
      </w:tr>
      <w:tr w:rsidR="00B220AC" w:rsidRPr="00CF6561" w14:paraId="43DC5BEB" w14:textId="77777777" w:rsidTr="00BD0512">
        <w:trPr>
          <w:trHeight w:val="361"/>
        </w:trPr>
        <w:tc>
          <w:tcPr>
            <w:tcW w:w="1115" w:type="dxa"/>
            <w:shd w:val="clear" w:color="auto" w:fill="D9D9D9" w:themeFill="background1" w:themeFillShade="D9"/>
          </w:tcPr>
          <w:p w14:paraId="5BFDDFE1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039" w:type="dxa"/>
          </w:tcPr>
          <w:p w14:paraId="3582A9EF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Химическая совместимость</w:t>
            </w:r>
          </w:p>
        </w:tc>
        <w:tc>
          <w:tcPr>
            <w:tcW w:w="3475" w:type="dxa"/>
          </w:tcPr>
          <w:p w14:paraId="70BDFE94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2BE816F1" w14:textId="77777777" w:rsidTr="00BD0512">
        <w:trPr>
          <w:trHeight w:val="402"/>
        </w:trPr>
        <w:tc>
          <w:tcPr>
            <w:tcW w:w="1115" w:type="dxa"/>
            <w:shd w:val="clear" w:color="auto" w:fill="D9D9D9" w:themeFill="background1" w:themeFillShade="D9"/>
          </w:tcPr>
          <w:p w14:paraId="77BF0C6D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039" w:type="dxa"/>
          </w:tcPr>
          <w:p w14:paraId="774CAB6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Тара для медицинских отходов</w:t>
            </w:r>
          </w:p>
        </w:tc>
        <w:tc>
          <w:tcPr>
            <w:tcW w:w="3475" w:type="dxa"/>
          </w:tcPr>
          <w:p w14:paraId="53598249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выбран.</w:t>
            </w:r>
          </w:p>
        </w:tc>
      </w:tr>
      <w:tr w:rsidR="00B220AC" w:rsidRPr="00CF6561" w14:paraId="17D19C66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01C4EF06" w14:textId="77777777" w:rsidR="00B220AC" w:rsidRPr="00DC2F89" w:rsidRDefault="00B220AC" w:rsidP="00BD0512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14:paraId="7B1279FD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Перевозка навалом/насыпью/цистерны/размещение больших знаков опасности и табличек оранжевого цвета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14:paraId="0EDEE3B0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AC" w:rsidRPr="00CF6561" w14:paraId="0A20DDCD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5F69B724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39" w:type="dxa"/>
          </w:tcPr>
          <w:p w14:paraId="75A3C1DB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Перевозка больших объемов загрязненных асбестом веществ или грунта навалом/насыпью</w:t>
            </w:r>
          </w:p>
        </w:tc>
        <w:tc>
          <w:tcPr>
            <w:tcW w:w="3475" w:type="dxa"/>
          </w:tcPr>
          <w:p w14:paraId="2650F056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018DB092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29E9AAAF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039" w:type="dxa"/>
          </w:tcPr>
          <w:p w14:paraId="0445D1AC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Перевозка № ООН 3509 в крытых брезентом контейнерах для массовых грузов или транспортных средствах (и не только в закрытых)</w:t>
            </w:r>
          </w:p>
        </w:tc>
        <w:tc>
          <w:tcPr>
            <w:tcW w:w="3475" w:type="dxa"/>
          </w:tcPr>
          <w:p w14:paraId="05895BA6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23C8B3FD" w14:textId="77777777" w:rsidTr="00BD0512">
        <w:trPr>
          <w:trHeight w:val="361"/>
        </w:trPr>
        <w:tc>
          <w:tcPr>
            <w:tcW w:w="1115" w:type="dxa"/>
            <w:shd w:val="clear" w:color="auto" w:fill="D9D9D9" w:themeFill="background1" w:themeFillShade="D9"/>
          </w:tcPr>
          <w:p w14:paraId="33BB8C89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14:paraId="3D0B1FCA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Документация/перевозка/ответственность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14:paraId="6ECF5A50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220AC" w:rsidRPr="00CF6561" w14:paraId="285D61DE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65ADAD60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039" w:type="dxa"/>
          </w:tcPr>
          <w:p w14:paraId="52E12C1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Оцифровка транспортного документа в случае использования специального документа об отслеживаемости отходов в соответствии с природоохранным законодательством</w:t>
            </w:r>
          </w:p>
        </w:tc>
        <w:tc>
          <w:tcPr>
            <w:tcW w:w="3475" w:type="dxa"/>
          </w:tcPr>
          <w:p w14:paraId="2366587C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</w:t>
            </w: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выбран</w:t>
            </w:r>
          </w:p>
        </w:tc>
      </w:tr>
      <w:tr w:rsidR="00B220AC" w:rsidRPr="00CF6561" w14:paraId="02C2454E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21804CC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039" w:type="dxa"/>
          </w:tcPr>
          <w:p w14:paraId="520F356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Указание количества транспортируемых отходов в транспортном документе</w:t>
            </w:r>
          </w:p>
        </w:tc>
        <w:tc>
          <w:tcPr>
            <w:tcW w:w="3475" w:type="dxa"/>
          </w:tcPr>
          <w:p w14:paraId="2C819873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04A834E7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71E9666C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039" w:type="dxa"/>
          </w:tcPr>
          <w:p w14:paraId="220B3A12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Необходимость указания в случае класса 6.2</w:t>
            </w:r>
            <w:r w:rsidR="00BD0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 помимо информации, касающейся грузополучателя, фамилии</w:t>
            </w:r>
            <w:r w:rsidR="00F072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и номера телефона ответственного лица</w:t>
            </w:r>
          </w:p>
        </w:tc>
        <w:tc>
          <w:tcPr>
            <w:tcW w:w="3475" w:type="dxa"/>
          </w:tcPr>
          <w:p w14:paraId="23BF8042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4469C06B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44023BFD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039" w:type="dxa"/>
          </w:tcPr>
          <w:p w14:paraId="24C429FC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Всегда ли производитель отходов является грузоотправителем? Согласно главе 1.4 грузоотправитель имеет большое число обязанностей</w:t>
            </w:r>
          </w:p>
        </w:tc>
        <w:tc>
          <w:tcPr>
            <w:tcW w:w="3475" w:type="dxa"/>
          </w:tcPr>
          <w:p w14:paraId="148B708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</w:t>
            </w: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выбран</w:t>
            </w:r>
          </w:p>
        </w:tc>
      </w:tr>
      <w:tr w:rsidR="00B220AC" w:rsidRPr="00CF6561" w14:paraId="497C2AED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280791A1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14:paraId="456A8F46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Подготовка </w:t>
            </w:r>
            <w:r w:rsidR="00F072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консультант по вопросам безопасности </w:t>
            </w:r>
            <w:r w:rsidR="00F072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–</w:t>
            </w: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положения о безопасности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14:paraId="24075CB4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20AC" w:rsidRPr="00CF6561" w14:paraId="24D0ADDF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3B878F27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39" w:type="dxa"/>
          </w:tcPr>
          <w:p w14:paraId="5A8BA8D4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Необходима ли специализированная подготовка по вопросам перевозки отходов?</w:t>
            </w:r>
          </w:p>
        </w:tc>
        <w:tc>
          <w:tcPr>
            <w:tcW w:w="3475" w:type="dxa"/>
          </w:tcPr>
          <w:p w14:paraId="3AD8A8CE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 xml:space="preserve">Данный вопрос </w:t>
            </w:r>
            <w:r w:rsidRPr="00DC2F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выбран</w:t>
            </w:r>
          </w:p>
        </w:tc>
      </w:tr>
      <w:tr w:rsidR="00B220AC" w:rsidRPr="00CF6561" w14:paraId="50B9CD0F" w14:textId="77777777" w:rsidTr="00BD0512">
        <w:trPr>
          <w:trHeight w:val="347"/>
        </w:trPr>
        <w:tc>
          <w:tcPr>
            <w:tcW w:w="1115" w:type="dxa"/>
            <w:shd w:val="clear" w:color="auto" w:fill="D9D9D9" w:themeFill="background1" w:themeFillShade="D9"/>
          </w:tcPr>
          <w:p w14:paraId="74AAFEFA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14:paraId="5F04BB26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Конкретная тема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14:paraId="538C843C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AC" w:rsidRPr="00CF6561" w14:paraId="54C236C9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02FC9B6F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039" w:type="dxa"/>
          </w:tcPr>
          <w:p w14:paraId="2FE3A2C7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Перевозка полимеризующихся веществ в качестве отходов</w:t>
            </w:r>
          </w:p>
        </w:tc>
        <w:tc>
          <w:tcPr>
            <w:tcW w:w="3475" w:type="dxa"/>
          </w:tcPr>
          <w:p w14:paraId="4AE881A3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  <w:tr w:rsidR="00B220AC" w:rsidRPr="00CF6561" w14:paraId="4127B260" w14:textId="77777777" w:rsidTr="00BD0512">
        <w:trPr>
          <w:trHeight w:val="454"/>
        </w:trPr>
        <w:tc>
          <w:tcPr>
            <w:tcW w:w="1115" w:type="dxa"/>
            <w:shd w:val="clear" w:color="auto" w:fill="D9D9D9" w:themeFill="background1" w:themeFillShade="D9"/>
          </w:tcPr>
          <w:p w14:paraId="39BC9E6D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039" w:type="dxa"/>
          </w:tcPr>
          <w:p w14:paraId="14169A89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Наличие опасных бытовых отходов при (селективном) сборе неопасных отходов (например пустой тары)</w:t>
            </w:r>
          </w:p>
        </w:tc>
        <w:tc>
          <w:tcPr>
            <w:tcW w:w="3475" w:type="dxa"/>
          </w:tcPr>
          <w:p w14:paraId="42333291" w14:textId="77777777" w:rsidR="00B220AC" w:rsidRPr="00DC2F89" w:rsidRDefault="00B220AC" w:rsidP="00DC2F89">
            <w:pPr>
              <w:spacing w:before="60" w:after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9">
              <w:rPr>
                <w:rFonts w:ascii="Times New Roman" w:hAnsi="Times New Roman" w:cs="Times New Roman"/>
                <w:sz w:val="20"/>
                <w:szCs w:val="20"/>
              </w:rPr>
              <w:t>Данный вопрос выбран</w:t>
            </w:r>
          </w:p>
        </w:tc>
      </w:tr>
    </w:tbl>
    <w:p w14:paraId="2AF2F494" w14:textId="77777777" w:rsidR="00E12C5F" w:rsidRPr="00DC2F89" w:rsidRDefault="00DC2F89" w:rsidP="00DC2F8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C2F89" w:rsidSect="00B220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CE62" w14:textId="77777777" w:rsidR="00CB1FE6" w:rsidRPr="00A312BC" w:rsidRDefault="00CB1FE6" w:rsidP="00A312BC"/>
  </w:endnote>
  <w:endnote w:type="continuationSeparator" w:id="0">
    <w:p w14:paraId="570FC640" w14:textId="77777777" w:rsidR="00CB1FE6" w:rsidRPr="00A312BC" w:rsidRDefault="00CB1F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6614" w14:textId="77777777" w:rsidR="00B220AC" w:rsidRPr="00B220AC" w:rsidRDefault="00B220AC">
    <w:pPr>
      <w:pStyle w:val="Footer"/>
    </w:pPr>
    <w:r w:rsidRPr="00B220AC">
      <w:rPr>
        <w:b/>
        <w:sz w:val="18"/>
      </w:rPr>
      <w:fldChar w:fldCharType="begin"/>
    </w:r>
    <w:r w:rsidRPr="00B220AC">
      <w:rPr>
        <w:b/>
        <w:sz w:val="18"/>
      </w:rPr>
      <w:instrText xml:space="preserve"> PAGE  \* MERGEFORMAT </w:instrText>
    </w:r>
    <w:r w:rsidRPr="00B220AC">
      <w:rPr>
        <w:b/>
        <w:sz w:val="18"/>
      </w:rPr>
      <w:fldChar w:fldCharType="separate"/>
    </w:r>
    <w:r w:rsidRPr="00B220AC">
      <w:rPr>
        <w:b/>
        <w:noProof/>
        <w:sz w:val="18"/>
      </w:rPr>
      <w:t>2</w:t>
    </w:r>
    <w:r w:rsidRPr="00B220AC">
      <w:rPr>
        <w:b/>
        <w:sz w:val="18"/>
      </w:rPr>
      <w:fldChar w:fldCharType="end"/>
    </w:r>
    <w:r>
      <w:rPr>
        <w:b/>
        <w:sz w:val="18"/>
      </w:rPr>
      <w:tab/>
    </w:r>
    <w:r>
      <w:t>GE.19-10108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141F" w14:textId="77777777" w:rsidR="00B220AC" w:rsidRPr="00B220AC" w:rsidRDefault="00B220AC" w:rsidP="00B220AC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GE.19-10108</w:t>
    </w:r>
    <w:r>
      <w:tab/>
    </w:r>
    <w:r w:rsidRPr="00B220AC">
      <w:rPr>
        <w:b/>
        <w:sz w:val="18"/>
      </w:rPr>
      <w:fldChar w:fldCharType="begin"/>
    </w:r>
    <w:r w:rsidRPr="00B220AC">
      <w:rPr>
        <w:b/>
        <w:sz w:val="18"/>
      </w:rPr>
      <w:instrText xml:space="preserve"> PAGE  \* MERGEFORMAT </w:instrText>
    </w:r>
    <w:r w:rsidRPr="00B220AC">
      <w:rPr>
        <w:b/>
        <w:sz w:val="18"/>
      </w:rPr>
      <w:fldChar w:fldCharType="separate"/>
    </w:r>
    <w:r w:rsidRPr="00B220AC">
      <w:rPr>
        <w:b/>
        <w:noProof/>
        <w:sz w:val="18"/>
      </w:rPr>
      <w:t>3</w:t>
    </w:r>
    <w:r w:rsidRPr="00B220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A4E2" w14:textId="77777777" w:rsidR="00042B72" w:rsidRPr="00B220AC" w:rsidRDefault="00B220AC" w:rsidP="00B220A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C27C55" wp14:editId="2028A14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19-10108  (R)</w:t>
    </w:r>
    <w:r>
      <w:rPr>
        <w:lang w:val="en-US"/>
      </w:rPr>
      <w:t xml:space="preserve">  120719  150719</w:t>
    </w:r>
    <w:r>
      <w:br/>
    </w:r>
    <w:r w:rsidRPr="00B220AC">
      <w:rPr>
        <w:rFonts w:ascii="C39T30Lfz" w:hAnsi="C39T30Lfz"/>
        <w:kern w:val="14"/>
        <w:sz w:val="56"/>
      </w:rPr>
      <w:t></w:t>
    </w:r>
    <w:r w:rsidRPr="00B220AC">
      <w:rPr>
        <w:rFonts w:ascii="C39T30Lfz" w:hAnsi="C39T30Lfz"/>
        <w:kern w:val="14"/>
        <w:sz w:val="56"/>
      </w:rPr>
      <w:t></w:t>
    </w:r>
    <w:r w:rsidRPr="00B220AC">
      <w:rPr>
        <w:rFonts w:ascii="C39T30Lfz" w:hAnsi="C39T30Lfz"/>
        <w:kern w:val="14"/>
        <w:sz w:val="56"/>
      </w:rPr>
      <w:t></w:t>
    </w:r>
    <w:r w:rsidRPr="00B220AC">
      <w:rPr>
        <w:rFonts w:ascii="C39T30Lfz" w:hAnsi="C39T30Lfz"/>
        <w:kern w:val="14"/>
        <w:sz w:val="56"/>
      </w:rPr>
      <w:t></w:t>
    </w:r>
    <w:r w:rsidRPr="00B220AC">
      <w:rPr>
        <w:rFonts w:ascii="C39T30Lfz" w:hAnsi="C39T30Lfz"/>
        <w:kern w:val="14"/>
        <w:sz w:val="56"/>
      </w:rPr>
      <w:t></w:t>
    </w:r>
    <w:r w:rsidRPr="00B220AC">
      <w:rPr>
        <w:rFonts w:ascii="C39T30Lfz" w:hAnsi="C39T30Lfz"/>
        <w:kern w:val="14"/>
        <w:sz w:val="56"/>
      </w:rPr>
      <w:t></w:t>
    </w:r>
    <w:r w:rsidRPr="00B220AC">
      <w:rPr>
        <w:rFonts w:ascii="C39T30Lfz" w:hAnsi="C39T30Lfz"/>
        <w:kern w:val="14"/>
        <w:sz w:val="56"/>
      </w:rPr>
      <w:t></w:t>
    </w:r>
    <w:r w:rsidRPr="00B220AC">
      <w:rPr>
        <w:rFonts w:ascii="C39T30Lfz" w:hAnsi="C39T30Lfz"/>
        <w:kern w:val="14"/>
        <w:sz w:val="56"/>
      </w:rPr>
      <w:t></w:t>
    </w:r>
    <w:r w:rsidRPr="00B220A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E71A99" wp14:editId="48F452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659F" w14:textId="77777777" w:rsidR="00CB1FE6" w:rsidRPr="001075E9" w:rsidRDefault="00CB1F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67EAB8" w14:textId="77777777" w:rsidR="00CB1FE6" w:rsidRDefault="00CB1F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FD6B5B" w14:textId="77777777" w:rsidR="00B220AC" w:rsidRPr="00CF6561" w:rsidRDefault="00B220AC" w:rsidP="00463D2A">
      <w:pPr>
        <w:pStyle w:val="FootnoteText"/>
        <w:ind w:left="1418" w:right="1532" w:hanging="284"/>
        <w:rPr>
          <w:sz w:val="20"/>
        </w:rPr>
      </w:pPr>
      <w:r>
        <w:t>*</w:t>
      </w:r>
      <w:r>
        <w:tab/>
        <w:t>В соответствии с программой работы Комитета по внутреннему транспорту</w:t>
      </w:r>
      <w:r>
        <w:br/>
        <w:t>на 2018–2019 годы (ECE/TRANS/2018/21/Add.1, направление деятельности 9 (9.2)).</w:t>
      </w:r>
    </w:p>
  </w:footnote>
  <w:footnote w:id="2">
    <w:p w14:paraId="180C74B4" w14:textId="77777777" w:rsidR="00B220AC" w:rsidRPr="00CF6561" w:rsidRDefault="00B220AC" w:rsidP="00463D2A">
      <w:pPr>
        <w:pStyle w:val="FootnoteText"/>
        <w:spacing w:after="240"/>
        <w:ind w:left="1418" w:right="1531" w:hanging="284"/>
        <w:rPr>
          <w:sz w:val="20"/>
        </w:rPr>
      </w:pPr>
      <w: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</w:t>
      </w:r>
      <w:r w:rsidRPr="00B220AC">
        <w:t xml:space="preserve"> </w:t>
      </w:r>
      <w:r>
        <w:t>2019/34.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BAAC" w14:textId="457DEB3B" w:rsidR="00B220AC" w:rsidRPr="00B220AC" w:rsidRDefault="00B220AC">
    <w:pPr>
      <w:pStyle w:val="Header"/>
    </w:pPr>
    <w:fldSimple w:instr=" TITLE  \* MERGEFORMAT ">
      <w:r w:rsidR="00DD32FE">
        <w:t>ECE/TRANS/WP.15/AC.1/2019/34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8499" w14:textId="07FC83B0" w:rsidR="00B220AC" w:rsidRPr="00B220AC" w:rsidRDefault="00B220AC" w:rsidP="00B220AC">
    <w:pPr>
      <w:pStyle w:val="Header"/>
      <w:jc w:val="right"/>
    </w:pPr>
    <w:fldSimple w:instr=" TITLE  \* MERGEFORMAT ">
      <w:r w:rsidR="00DD32FE">
        <w:t>ECE/TRANS/WP.15/AC.1/2019/34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E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1873"/>
    <w:rsid w:val="00407B78"/>
    <w:rsid w:val="00424203"/>
    <w:rsid w:val="00452493"/>
    <w:rsid w:val="00453318"/>
    <w:rsid w:val="00454AF2"/>
    <w:rsid w:val="00454E07"/>
    <w:rsid w:val="00463D2A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210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C31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2AB8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166D"/>
    <w:rsid w:val="00AB4B51"/>
    <w:rsid w:val="00AC1D8D"/>
    <w:rsid w:val="00B10CC7"/>
    <w:rsid w:val="00B220AC"/>
    <w:rsid w:val="00B36DF7"/>
    <w:rsid w:val="00B539E7"/>
    <w:rsid w:val="00B62458"/>
    <w:rsid w:val="00BC18B2"/>
    <w:rsid w:val="00BD051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1FE6"/>
    <w:rsid w:val="00CE5A1A"/>
    <w:rsid w:val="00CF55F6"/>
    <w:rsid w:val="00D010C9"/>
    <w:rsid w:val="00D33D63"/>
    <w:rsid w:val="00D5253A"/>
    <w:rsid w:val="00D873A8"/>
    <w:rsid w:val="00D90028"/>
    <w:rsid w:val="00D90138"/>
    <w:rsid w:val="00D9145B"/>
    <w:rsid w:val="00DC2F89"/>
    <w:rsid w:val="00DD32FE"/>
    <w:rsid w:val="00DD78D1"/>
    <w:rsid w:val="00DE32CD"/>
    <w:rsid w:val="00DE7964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72BA"/>
    <w:rsid w:val="00F21A5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70C8E"/>
  <w15:docId w15:val="{5F5AEE2F-E7C0-41C7-8DAE-5578A3D0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220AC"/>
    <w:rPr>
      <w:lang w:val="ru-RU" w:eastAsia="en-US"/>
    </w:rPr>
  </w:style>
  <w:style w:type="paragraph" w:customStyle="1" w:styleId="ParNoG">
    <w:name w:val="_ParNo_G"/>
    <w:basedOn w:val="SingleTxtG"/>
    <w:qFormat/>
    <w:rsid w:val="00B220AC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qFormat/>
    <w:rsid w:val="00B220AC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B220AC"/>
    <w:rPr>
      <w:b/>
      <w:sz w:val="28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B220AC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3097</Words>
  <Characters>17315</Characters>
  <Application>Microsoft Office Word</Application>
  <DocSecurity>0</DocSecurity>
  <Lines>368</Lines>
  <Paragraphs>206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ECE/TRANS/WP.15/AC.1/2019/34</vt:lpstr>
      <vt:lpstr>ECE/TRANS/WP.15/AC.1/2019/34</vt:lpstr>
      <vt:lpstr>A/</vt:lpstr>
    </vt:vector>
  </TitlesOfParts>
  <Company>DCM</Company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ECE/TRANS/WP.15/AC.1/2019/34</dc:title>
  <dc:subject/>
  <dc:creator>Anna KISSELEVA</dc:creator>
  <cp:keywords/>
  <cp:lastModifiedBy>Christine Barrio-Champeau</cp:lastModifiedBy>
  <cp:revision>2</cp:revision>
  <cp:lastPrinted>2019-07-15T09:49:00Z</cp:lastPrinted>
  <dcterms:created xsi:type="dcterms:W3CDTF">2019-08-05T14:20:00Z</dcterms:created>
  <dcterms:modified xsi:type="dcterms:W3CDTF">2019-08-05T14:20:00Z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