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3DCA243" w14:textId="77777777" w:rsidTr="00C97039">
        <w:trPr>
          <w:trHeight w:hRule="exact" w:val="851"/>
        </w:trPr>
        <w:tc>
          <w:tcPr>
            <w:tcW w:w="1276" w:type="dxa"/>
            <w:tcBorders>
              <w:bottom w:val="single" w:sz="4" w:space="0" w:color="auto"/>
            </w:tcBorders>
          </w:tcPr>
          <w:p w14:paraId="7B3A5213" w14:textId="77777777" w:rsidR="00F35BAF" w:rsidRPr="00DB58B5" w:rsidRDefault="00F35BAF" w:rsidP="00FC537F">
            <w:bookmarkStart w:id="0" w:name="_GoBack"/>
            <w:bookmarkEnd w:id="0"/>
          </w:p>
        </w:tc>
        <w:tc>
          <w:tcPr>
            <w:tcW w:w="2268" w:type="dxa"/>
            <w:tcBorders>
              <w:bottom w:val="single" w:sz="4" w:space="0" w:color="auto"/>
            </w:tcBorders>
            <w:vAlign w:val="bottom"/>
          </w:tcPr>
          <w:p w14:paraId="076B8A4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3A59F4A" w14:textId="77777777" w:rsidR="00F35BAF" w:rsidRPr="00DB58B5" w:rsidRDefault="00FC537F" w:rsidP="00FC537F">
            <w:pPr>
              <w:jc w:val="right"/>
            </w:pPr>
            <w:r w:rsidRPr="00FC537F">
              <w:rPr>
                <w:sz w:val="40"/>
              </w:rPr>
              <w:t>ECE</w:t>
            </w:r>
            <w:r>
              <w:t>/TRANS/WP.15/AC.1/2019/32</w:t>
            </w:r>
          </w:p>
        </w:tc>
      </w:tr>
      <w:tr w:rsidR="00F35BAF" w:rsidRPr="00DB58B5" w14:paraId="2740CDC0" w14:textId="77777777" w:rsidTr="0005246C">
        <w:trPr>
          <w:trHeight w:val="2547"/>
        </w:trPr>
        <w:tc>
          <w:tcPr>
            <w:tcW w:w="1276" w:type="dxa"/>
            <w:tcBorders>
              <w:top w:val="single" w:sz="4" w:space="0" w:color="auto"/>
              <w:bottom w:val="single" w:sz="12" w:space="0" w:color="auto"/>
            </w:tcBorders>
          </w:tcPr>
          <w:p w14:paraId="0249D004" w14:textId="77777777" w:rsidR="00F35BAF" w:rsidRPr="00DB58B5" w:rsidRDefault="00F35BAF" w:rsidP="00C97039">
            <w:pPr>
              <w:spacing w:before="120"/>
              <w:jc w:val="center"/>
            </w:pPr>
            <w:r>
              <w:rPr>
                <w:noProof/>
                <w:lang w:eastAsia="fr-CH"/>
              </w:rPr>
              <w:drawing>
                <wp:inline distT="0" distB="0" distL="0" distR="0" wp14:anchorId="2FC2AC3D" wp14:editId="5A56792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BDDD9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2EB46F8" w14:textId="77777777" w:rsidR="00F35BAF" w:rsidRDefault="00FC537F" w:rsidP="00C97039">
            <w:pPr>
              <w:spacing w:before="240"/>
            </w:pPr>
            <w:r>
              <w:t>Distr. générale</w:t>
            </w:r>
          </w:p>
          <w:p w14:paraId="770E89C2" w14:textId="77777777" w:rsidR="00FC537F" w:rsidRDefault="00FC537F" w:rsidP="00FC537F">
            <w:pPr>
              <w:spacing w:line="240" w:lineRule="exact"/>
            </w:pPr>
            <w:r>
              <w:t>19 juin 2019</w:t>
            </w:r>
          </w:p>
          <w:p w14:paraId="03C7C660" w14:textId="77777777" w:rsidR="00FC537F" w:rsidRDefault="00FC537F" w:rsidP="00FC537F">
            <w:pPr>
              <w:spacing w:line="240" w:lineRule="exact"/>
            </w:pPr>
            <w:r>
              <w:t>Français</w:t>
            </w:r>
          </w:p>
          <w:p w14:paraId="2211FDC2" w14:textId="77777777" w:rsidR="00FC537F" w:rsidRPr="00DB58B5" w:rsidRDefault="00FC537F" w:rsidP="00FC537F">
            <w:pPr>
              <w:spacing w:line="240" w:lineRule="exact"/>
            </w:pPr>
            <w:r>
              <w:t>Original : anglais</w:t>
            </w:r>
          </w:p>
        </w:tc>
      </w:tr>
    </w:tbl>
    <w:p w14:paraId="7C220328" w14:textId="77777777" w:rsidR="007F20FA" w:rsidRPr="000312C0" w:rsidRDefault="007F20FA" w:rsidP="007F20FA">
      <w:pPr>
        <w:spacing w:before="120"/>
        <w:rPr>
          <w:b/>
          <w:sz w:val="28"/>
          <w:szCs w:val="28"/>
        </w:rPr>
      </w:pPr>
      <w:r w:rsidRPr="000312C0">
        <w:rPr>
          <w:b/>
          <w:sz w:val="28"/>
          <w:szCs w:val="28"/>
        </w:rPr>
        <w:t>Commission économique pour l’Europe</w:t>
      </w:r>
    </w:p>
    <w:p w14:paraId="3FE00F84" w14:textId="77777777" w:rsidR="007F20FA" w:rsidRDefault="007F20FA" w:rsidP="007F20FA">
      <w:pPr>
        <w:spacing w:before="120"/>
        <w:rPr>
          <w:sz w:val="28"/>
          <w:szCs w:val="28"/>
        </w:rPr>
      </w:pPr>
      <w:r w:rsidRPr="00685843">
        <w:rPr>
          <w:sz w:val="28"/>
          <w:szCs w:val="28"/>
        </w:rPr>
        <w:t>Comité des transports intérieurs</w:t>
      </w:r>
    </w:p>
    <w:p w14:paraId="11C009B5" w14:textId="77777777" w:rsidR="00FC537F" w:rsidRPr="00FC537F" w:rsidRDefault="00FC537F" w:rsidP="00FC537F">
      <w:pPr>
        <w:spacing w:before="120"/>
        <w:rPr>
          <w:b/>
          <w:sz w:val="24"/>
          <w:szCs w:val="24"/>
        </w:rPr>
      </w:pPr>
      <w:r w:rsidRPr="00FC537F">
        <w:rPr>
          <w:b/>
          <w:bCs/>
          <w:sz w:val="24"/>
          <w:szCs w:val="24"/>
          <w:lang w:val="fr-FR"/>
        </w:rPr>
        <w:t>Groupe de travail des transports de marchandises dangereuses</w:t>
      </w:r>
    </w:p>
    <w:p w14:paraId="0F411490" w14:textId="77777777" w:rsidR="00FC537F" w:rsidRPr="00FC537F" w:rsidRDefault="00FC537F" w:rsidP="00652A5B">
      <w:pPr>
        <w:spacing w:before="120" w:after="120"/>
        <w:rPr>
          <w:b/>
        </w:rPr>
      </w:pPr>
      <w:r w:rsidRPr="00FC537F">
        <w:rPr>
          <w:b/>
          <w:bCs/>
          <w:lang w:val="fr-FR"/>
        </w:rPr>
        <w:t xml:space="preserve">Réunion commune de la Commission d’experts du RID et du Groupe </w:t>
      </w:r>
      <w:r>
        <w:rPr>
          <w:b/>
          <w:bCs/>
          <w:lang w:val="fr-FR"/>
        </w:rPr>
        <w:br/>
      </w:r>
      <w:r w:rsidRPr="00FC537F">
        <w:rPr>
          <w:b/>
          <w:bCs/>
          <w:lang w:val="fr-FR"/>
        </w:rPr>
        <w:t>de travail des transports de marchandises dangereuses</w:t>
      </w:r>
    </w:p>
    <w:p w14:paraId="4EBE8771" w14:textId="77777777" w:rsidR="00FC537F" w:rsidRPr="00FC537F" w:rsidRDefault="00FC537F" w:rsidP="00FC537F">
      <w:r w:rsidRPr="00FC537F">
        <w:rPr>
          <w:lang w:val="fr-FR"/>
        </w:rPr>
        <w:t>Genève, 17-27 septembre 2019</w:t>
      </w:r>
    </w:p>
    <w:p w14:paraId="7E5EDD8D" w14:textId="77777777" w:rsidR="00FC537F" w:rsidRPr="00FC537F" w:rsidRDefault="00FC537F" w:rsidP="00FC537F">
      <w:r w:rsidRPr="00FC537F">
        <w:rPr>
          <w:lang w:val="fr-FR"/>
        </w:rPr>
        <w:t>Point 5 b) de l’ordre du jour provisoire</w:t>
      </w:r>
    </w:p>
    <w:p w14:paraId="186672D2" w14:textId="77777777" w:rsidR="00FC537F" w:rsidRPr="00FC537F" w:rsidRDefault="00FC537F" w:rsidP="00FC537F">
      <w:pPr>
        <w:rPr>
          <w:b/>
          <w:bCs/>
        </w:rPr>
      </w:pPr>
      <w:r w:rsidRPr="00FC537F">
        <w:rPr>
          <w:b/>
          <w:bCs/>
          <w:lang w:val="fr-FR"/>
        </w:rPr>
        <w:t>Propositions diverses d’amendements au RID/ADR/ADN :</w:t>
      </w:r>
    </w:p>
    <w:p w14:paraId="2D4F9ADD" w14:textId="77777777" w:rsidR="00FC537F" w:rsidRPr="00FC537F" w:rsidRDefault="00FC537F" w:rsidP="00FC537F">
      <w:pPr>
        <w:rPr>
          <w:b/>
          <w:bCs/>
        </w:rPr>
      </w:pPr>
      <w:r w:rsidRPr="00FC537F">
        <w:rPr>
          <w:b/>
          <w:bCs/>
          <w:lang w:val="fr-FR"/>
        </w:rPr>
        <w:t>nouvelles propositions</w:t>
      </w:r>
    </w:p>
    <w:p w14:paraId="61F4C914" w14:textId="295A00F0" w:rsidR="00FC537F" w:rsidRPr="00942C05" w:rsidRDefault="00FC537F" w:rsidP="00FC537F">
      <w:pPr>
        <w:pStyle w:val="HChG"/>
      </w:pPr>
      <w:r>
        <w:rPr>
          <w:lang w:val="fr-FR"/>
        </w:rPr>
        <w:tab/>
      </w:r>
      <w:r>
        <w:rPr>
          <w:lang w:val="fr-FR"/>
        </w:rPr>
        <w:tab/>
        <w:t xml:space="preserve">Numéros ONU dont le nom et la description diffèrent </w:t>
      </w:r>
      <w:r>
        <w:rPr>
          <w:lang w:val="fr-FR"/>
        </w:rPr>
        <w:br/>
        <w:t>dans le Règlement type et dans le RID</w:t>
      </w:r>
      <w:r w:rsidR="00931C16">
        <w:rPr>
          <w:lang w:val="fr-FR"/>
        </w:rPr>
        <w:t xml:space="preserve"> et l’</w:t>
      </w:r>
      <w:r>
        <w:rPr>
          <w:lang w:val="fr-FR"/>
        </w:rPr>
        <w:t>ADR</w:t>
      </w:r>
    </w:p>
    <w:p w14:paraId="06D2F855" w14:textId="77777777" w:rsidR="00FC537F" w:rsidRDefault="00FC537F" w:rsidP="00FC537F">
      <w:pPr>
        <w:pStyle w:val="H1G"/>
        <w:rPr>
          <w:b w:val="0"/>
          <w:sz w:val="20"/>
          <w:lang w:eastAsia="fr-FR"/>
        </w:rPr>
      </w:pPr>
      <w:r>
        <w:rPr>
          <w:lang w:val="fr-FR"/>
        </w:rPr>
        <w:tab/>
      </w:r>
      <w:r>
        <w:rPr>
          <w:lang w:val="fr-FR"/>
        </w:rPr>
        <w:tab/>
        <w:t>Communication du Gouvernement espagnol</w:t>
      </w:r>
      <w:r w:rsidRPr="00FC537F">
        <w:rPr>
          <w:rStyle w:val="FootnoteReference"/>
          <w:b w:val="0"/>
          <w:sz w:val="20"/>
          <w:vertAlign w:val="baseline"/>
        </w:rPr>
        <w:footnoteReference w:customMarkFollows="1" w:id="2"/>
        <w:t>*</w:t>
      </w:r>
      <w:r w:rsidRPr="00652A5B">
        <w:rPr>
          <w:b w:val="0"/>
          <w:position w:val="6"/>
          <w:sz w:val="20"/>
          <w:lang w:val="fr-FR" w:eastAsia="fr-FR"/>
        </w:rPr>
        <w:t>,</w:t>
      </w:r>
      <w:r w:rsidRPr="00FC537F">
        <w:rPr>
          <w:b w:val="0"/>
          <w:vertAlign w:val="superscript"/>
          <w:lang w:val="fr-FR" w:eastAsia="fr-FR"/>
        </w:rPr>
        <w:t xml:space="preserve"> </w:t>
      </w:r>
      <w:r w:rsidRPr="00FC537F">
        <w:rPr>
          <w:rStyle w:val="FootnoteReference"/>
          <w:b w:val="0"/>
          <w:sz w:val="20"/>
          <w:vertAlign w:val="baseline"/>
          <w:lang w:eastAsia="fr-FR"/>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FC537F" w14:paraId="60C8A4CE" w14:textId="77777777">
        <w:trPr>
          <w:jc w:val="center"/>
        </w:trPr>
        <w:tc>
          <w:tcPr>
            <w:tcW w:w="9637" w:type="dxa"/>
            <w:shd w:val="clear" w:color="auto" w:fill="auto"/>
          </w:tcPr>
          <w:p w14:paraId="668D9637" w14:textId="77777777" w:rsidR="00FC537F" w:rsidRDefault="00FC537F">
            <w:pPr>
              <w:spacing w:before="240" w:after="120"/>
              <w:ind w:left="255"/>
              <w:rPr>
                <w:i/>
                <w:sz w:val="24"/>
              </w:rPr>
            </w:pPr>
            <w:r>
              <w:rPr>
                <w:i/>
                <w:sz w:val="24"/>
              </w:rPr>
              <w:t>Résumé</w:t>
            </w:r>
          </w:p>
        </w:tc>
      </w:tr>
      <w:tr w:rsidR="00FC537F" w14:paraId="729EF2E3" w14:textId="77777777">
        <w:trPr>
          <w:jc w:val="center"/>
        </w:trPr>
        <w:tc>
          <w:tcPr>
            <w:tcW w:w="9637" w:type="dxa"/>
            <w:shd w:val="clear" w:color="auto" w:fill="auto"/>
          </w:tcPr>
          <w:p w14:paraId="0C675119" w14:textId="77777777" w:rsidR="00FC537F" w:rsidRDefault="00FC537F" w:rsidP="00FC537F">
            <w:pPr>
              <w:pStyle w:val="SingleTxtG"/>
              <w:ind w:left="3402" w:hanging="2268"/>
            </w:pPr>
            <w:r>
              <w:rPr>
                <w:b/>
                <w:bCs/>
                <w:lang w:val="fr-FR"/>
              </w:rPr>
              <w:t>Résumé opérationnel :</w:t>
            </w:r>
            <w:r>
              <w:rPr>
                <w:b/>
                <w:bCs/>
                <w:lang w:val="fr-FR"/>
              </w:rPr>
              <w:tab/>
            </w:r>
            <w:r>
              <w:rPr>
                <w:lang w:val="fr-FR"/>
              </w:rPr>
              <w:t xml:space="preserve">Étudier les différences entre le nom et la description de certains numéros ONU dans le Règlement type </w:t>
            </w:r>
            <w:r w:rsidR="000933EF">
              <w:rPr>
                <w:lang w:val="fr-FR"/>
              </w:rPr>
              <w:t xml:space="preserve">ONU </w:t>
            </w:r>
            <w:r>
              <w:rPr>
                <w:lang w:val="fr-FR"/>
              </w:rPr>
              <w:t>et dans le RID</w:t>
            </w:r>
            <w:r w:rsidR="00E71EDA">
              <w:rPr>
                <w:lang w:val="fr-FR"/>
              </w:rPr>
              <w:t xml:space="preserve"> et l’</w:t>
            </w:r>
            <w:r>
              <w:rPr>
                <w:lang w:val="fr-FR"/>
              </w:rPr>
              <w:t>ADR.</w:t>
            </w:r>
          </w:p>
        </w:tc>
      </w:tr>
      <w:tr w:rsidR="00FC537F" w14:paraId="59465EF1" w14:textId="77777777">
        <w:trPr>
          <w:jc w:val="center"/>
        </w:trPr>
        <w:tc>
          <w:tcPr>
            <w:tcW w:w="9637" w:type="dxa"/>
            <w:shd w:val="clear" w:color="auto" w:fill="auto"/>
          </w:tcPr>
          <w:p w14:paraId="56D8E141" w14:textId="77777777" w:rsidR="00FC537F" w:rsidRDefault="00FC537F" w:rsidP="00FC537F">
            <w:pPr>
              <w:pStyle w:val="SingleTxtG"/>
              <w:ind w:left="3402" w:hanging="2268"/>
              <w:rPr>
                <w:b/>
                <w:bCs/>
                <w:lang w:val="fr-FR"/>
              </w:rPr>
            </w:pPr>
            <w:r>
              <w:rPr>
                <w:b/>
                <w:bCs/>
                <w:lang w:val="fr-FR"/>
              </w:rPr>
              <w:t>Mesure à prendre :</w:t>
            </w:r>
            <w:r>
              <w:rPr>
                <w:b/>
                <w:bCs/>
                <w:lang w:val="fr-FR"/>
              </w:rPr>
              <w:tab/>
            </w:r>
            <w:r>
              <w:rPr>
                <w:lang w:val="fr-FR"/>
              </w:rPr>
              <w:t>Examiner la possibilité d</w:t>
            </w:r>
            <w:r>
              <w:t>’</w:t>
            </w:r>
            <w:r>
              <w:rPr>
                <w:lang w:val="fr-FR"/>
              </w:rPr>
              <w:t>harmoniser le nom et la description de ces numéros ONU.</w:t>
            </w:r>
          </w:p>
        </w:tc>
      </w:tr>
      <w:tr w:rsidR="00FC537F" w14:paraId="6F7468A4" w14:textId="77777777">
        <w:trPr>
          <w:jc w:val="center"/>
        </w:trPr>
        <w:tc>
          <w:tcPr>
            <w:tcW w:w="9637" w:type="dxa"/>
            <w:shd w:val="clear" w:color="auto" w:fill="auto"/>
          </w:tcPr>
          <w:p w14:paraId="7BB525B4" w14:textId="77777777" w:rsidR="00FC537F" w:rsidRDefault="00FC537F"/>
        </w:tc>
      </w:tr>
    </w:tbl>
    <w:p w14:paraId="5FDF5E54" w14:textId="77777777" w:rsidR="00FC537F" w:rsidRPr="00942C05" w:rsidRDefault="00FC537F" w:rsidP="00FC537F">
      <w:pPr>
        <w:pStyle w:val="HChG"/>
      </w:pPr>
      <w:r>
        <w:rPr>
          <w:lang w:val="fr-FR"/>
        </w:rPr>
        <w:tab/>
      </w:r>
      <w:r>
        <w:rPr>
          <w:lang w:val="fr-FR"/>
        </w:rPr>
        <w:tab/>
        <w:t>Introduction</w:t>
      </w:r>
    </w:p>
    <w:p w14:paraId="17329502" w14:textId="77777777" w:rsidR="00FC537F" w:rsidRPr="00942C05" w:rsidRDefault="00FC537F" w:rsidP="00FC537F">
      <w:pPr>
        <w:pStyle w:val="SingleTxtG"/>
      </w:pPr>
      <w:r>
        <w:rPr>
          <w:lang w:val="fr-FR"/>
        </w:rPr>
        <w:t>1.</w:t>
      </w:r>
      <w:r>
        <w:rPr>
          <w:lang w:val="fr-FR"/>
        </w:rPr>
        <w:tab/>
        <w:t>Le nom et la description de plusieurs numéros ONU diffèrent dans le Règlement type et dans le RID</w:t>
      </w:r>
      <w:r w:rsidR="00E71EDA">
        <w:rPr>
          <w:lang w:val="fr-FR"/>
        </w:rPr>
        <w:t xml:space="preserve"> et l’</w:t>
      </w:r>
      <w:r>
        <w:rPr>
          <w:lang w:val="fr-FR"/>
        </w:rPr>
        <w:t>ADR. Généralement, cela se produit lorsqu’un numéro ONU est « subdivisé », dans le RID</w:t>
      </w:r>
      <w:r w:rsidR="00E71EDA">
        <w:rPr>
          <w:lang w:val="fr-FR"/>
        </w:rPr>
        <w:t xml:space="preserve"> et l’</w:t>
      </w:r>
      <w:r>
        <w:rPr>
          <w:lang w:val="fr-FR"/>
        </w:rPr>
        <w:t>ADR, à cause du groupe d’emballage ou de circonstances particulières. Par exemple :</w:t>
      </w:r>
    </w:p>
    <w:tbl>
      <w:tblPr>
        <w:tblStyle w:val="Grilledutableau1"/>
        <w:tblW w:w="7370" w:type="dxa"/>
        <w:tblInd w:w="1134" w:type="dxa"/>
        <w:tblLayout w:type="fixed"/>
        <w:tblLook w:val="04A0" w:firstRow="1" w:lastRow="0" w:firstColumn="1" w:lastColumn="0" w:noHBand="0" w:noVBand="1"/>
      </w:tblPr>
      <w:tblGrid>
        <w:gridCol w:w="1139"/>
        <w:gridCol w:w="1763"/>
        <w:gridCol w:w="2915"/>
        <w:gridCol w:w="1553"/>
      </w:tblGrid>
      <w:tr w:rsidR="00FC537F" w:rsidRPr="00F16B37" w14:paraId="334546F0" w14:textId="77777777" w:rsidTr="00FC537F">
        <w:trPr>
          <w:tblHeader/>
        </w:trPr>
        <w:tc>
          <w:tcPr>
            <w:tcW w:w="1139" w:type="dxa"/>
            <w:shd w:val="clear" w:color="auto" w:fill="auto"/>
            <w:vAlign w:val="bottom"/>
          </w:tcPr>
          <w:p w14:paraId="0A8B3510" w14:textId="77777777" w:rsidR="00FC537F" w:rsidRPr="00F16B37" w:rsidRDefault="00FC537F" w:rsidP="00FC537F">
            <w:pPr>
              <w:spacing w:before="80" w:after="80" w:line="200" w:lineRule="exact"/>
              <w:ind w:left="57" w:right="113"/>
              <w:rPr>
                <w:sz w:val="16"/>
              </w:rPr>
            </w:pPr>
            <w:r w:rsidRPr="00F16B37">
              <w:rPr>
                <w:sz w:val="16"/>
              </w:rPr>
              <w:t>Numéro ONU</w:t>
            </w:r>
          </w:p>
        </w:tc>
        <w:tc>
          <w:tcPr>
            <w:tcW w:w="1763" w:type="dxa"/>
            <w:shd w:val="clear" w:color="auto" w:fill="auto"/>
            <w:vAlign w:val="bottom"/>
          </w:tcPr>
          <w:p w14:paraId="197F574B" w14:textId="77777777" w:rsidR="00FC537F" w:rsidRPr="00F16B37" w:rsidRDefault="00FC537F" w:rsidP="00FC537F">
            <w:pPr>
              <w:spacing w:before="80" w:after="80" w:line="200" w:lineRule="exact"/>
              <w:ind w:left="57" w:right="113"/>
              <w:rPr>
                <w:sz w:val="16"/>
              </w:rPr>
            </w:pPr>
            <w:r w:rsidRPr="00F16B37">
              <w:rPr>
                <w:sz w:val="16"/>
              </w:rPr>
              <w:t>Règlement type</w:t>
            </w:r>
          </w:p>
        </w:tc>
        <w:tc>
          <w:tcPr>
            <w:tcW w:w="2915" w:type="dxa"/>
            <w:shd w:val="clear" w:color="auto" w:fill="auto"/>
            <w:vAlign w:val="bottom"/>
          </w:tcPr>
          <w:p w14:paraId="45449FBA" w14:textId="77777777" w:rsidR="00FC537F" w:rsidRPr="00F16B37" w:rsidRDefault="00FC537F" w:rsidP="00FC537F">
            <w:pPr>
              <w:spacing w:before="80" w:after="80" w:line="200" w:lineRule="exact"/>
              <w:ind w:left="57" w:right="113"/>
              <w:rPr>
                <w:sz w:val="16"/>
              </w:rPr>
            </w:pPr>
            <w:r w:rsidRPr="00F16B37">
              <w:rPr>
                <w:sz w:val="16"/>
              </w:rPr>
              <w:t>RID/ADR</w:t>
            </w:r>
          </w:p>
        </w:tc>
        <w:tc>
          <w:tcPr>
            <w:tcW w:w="1553" w:type="dxa"/>
            <w:shd w:val="clear" w:color="auto" w:fill="auto"/>
            <w:vAlign w:val="bottom"/>
          </w:tcPr>
          <w:p w14:paraId="74B08759" w14:textId="77777777" w:rsidR="00FC537F" w:rsidRPr="00F16B37" w:rsidRDefault="00FC537F" w:rsidP="00FC537F">
            <w:pPr>
              <w:spacing w:before="80" w:after="80" w:line="200" w:lineRule="exact"/>
              <w:ind w:left="57" w:right="113"/>
              <w:rPr>
                <w:sz w:val="16"/>
              </w:rPr>
            </w:pPr>
            <w:r w:rsidRPr="00F16B37">
              <w:rPr>
                <w:sz w:val="16"/>
              </w:rPr>
              <w:t>Groupe d’emballage</w:t>
            </w:r>
          </w:p>
        </w:tc>
      </w:tr>
      <w:tr w:rsidR="00FC537F" w:rsidRPr="00FC537F" w14:paraId="7687150C" w14:textId="77777777" w:rsidTr="00FC537F">
        <w:tc>
          <w:tcPr>
            <w:tcW w:w="1139" w:type="dxa"/>
            <w:shd w:val="clear" w:color="auto" w:fill="auto"/>
          </w:tcPr>
          <w:p w14:paraId="03BF245B" w14:textId="77777777" w:rsidR="00FC537F" w:rsidRPr="00FC537F" w:rsidRDefault="00FC537F" w:rsidP="00FC537F">
            <w:pPr>
              <w:spacing w:before="40" w:after="120"/>
              <w:ind w:left="57" w:right="113"/>
            </w:pPr>
            <w:r w:rsidRPr="00FC537F">
              <w:t>1169</w:t>
            </w:r>
          </w:p>
        </w:tc>
        <w:tc>
          <w:tcPr>
            <w:tcW w:w="1763" w:type="dxa"/>
            <w:shd w:val="clear" w:color="auto" w:fill="auto"/>
          </w:tcPr>
          <w:p w14:paraId="56E26F41" w14:textId="77777777" w:rsidR="00FC537F" w:rsidRPr="00FC537F" w:rsidRDefault="00FC537F" w:rsidP="00FC537F">
            <w:pPr>
              <w:spacing w:before="40" w:after="120"/>
              <w:ind w:left="57" w:right="113"/>
            </w:pPr>
            <w:r w:rsidRPr="00FC537F">
              <w:t>EXTRAITS AROMATIQUES LIQUIDES</w:t>
            </w:r>
          </w:p>
        </w:tc>
        <w:tc>
          <w:tcPr>
            <w:tcW w:w="2915" w:type="dxa"/>
            <w:shd w:val="clear" w:color="auto" w:fill="auto"/>
          </w:tcPr>
          <w:p w14:paraId="47D2F34B" w14:textId="77777777" w:rsidR="00FC537F" w:rsidRPr="00FC537F" w:rsidRDefault="00FC537F" w:rsidP="001D0A4D">
            <w:pPr>
              <w:spacing w:before="40" w:after="120"/>
              <w:ind w:left="57" w:right="113"/>
            </w:pPr>
            <w:r w:rsidRPr="00FC537F">
              <w:t xml:space="preserve">EXTRAITS AROMATIQUES LIQUIDES </w:t>
            </w:r>
            <w:r w:rsidRPr="000933EF">
              <w:rPr>
                <w:rFonts w:asciiTheme="majorBidi" w:hAnsiTheme="majorBidi" w:cstheme="majorBidi"/>
                <w:color w:val="008080"/>
                <w:u w:val="single"/>
                <w:lang w:val="fr-CH" w:eastAsia="es-ES"/>
              </w:rPr>
              <w:t xml:space="preserve">(pression de vapeur </w:t>
            </w:r>
            <w:r w:rsidRPr="000933EF">
              <w:rPr>
                <w:rFonts w:asciiTheme="majorBidi" w:hAnsiTheme="majorBidi" w:cstheme="majorBidi"/>
                <w:color w:val="008080"/>
                <w:u w:val="single"/>
                <w:lang w:val="fr-CH" w:eastAsia="es-ES"/>
              </w:rPr>
              <w:br/>
              <w:t>à 50 °C supérieure à 110 kPa)</w:t>
            </w:r>
          </w:p>
        </w:tc>
        <w:tc>
          <w:tcPr>
            <w:tcW w:w="1553" w:type="dxa"/>
            <w:shd w:val="clear" w:color="auto" w:fill="auto"/>
          </w:tcPr>
          <w:p w14:paraId="02CC668E" w14:textId="77777777" w:rsidR="00FC537F" w:rsidRPr="00FC537F" w:rsidRDefault="00FC537F" w:rsidP="00FC537F">
            <w:pPr>
              <w:spacing w:before="40" w:after="120"/>
              <w:ind w:left="57" w:right="113"/>
            </w:pPr>
            <w:r w:rsidRPr="00FC537F">
              <w:t>II</w:t>
            </w:r>
          </w:p>
        </w:tc>
      </w:tr>
      <w:tr w:rsidR="00FC537F" w:rsidRPr="00FC537F" w14:paraId="33A16860" w14:textId="77777777" w:rsidTr="00FC537F">
        <w:tc>
          <w:tcPr>
            <w:tcW w:w="1139" w:type="dxa"/>
            <w:shd w:val="clear" w:color="auto" w:fill="auto"/>
          </w:tcPr>
          <w:p w14:paraId="373F67CC" w14:textId="77777777" w:rsidR="00FC537F" w:rsidRPr="00FC537F" w:rsidRDefault="00FC537F" w:rsidP="00FC537F">
            <w:pPr>
              <w:spacing w:before="40" w:after="120"/>
              <w:ind w:left="57" w:right="113"/>
              <w:rPr>
                <w:lang w:val="nl-NL"/>
              </w:rPr>
            </w:pPr>
          </w:p>
        </w:tc>
        <w:tc>
          <w:tcPr>
            <w:tcW w:w="1763" w:type="dxa"/>
            <w:shd w:val="clear" w:color="auto" w:fill="auto"/>
          </w:tcPr>
          <w:p w14:paraId="167DC006" w14:textId="77777777" w:rsidR="00FC537F" w:rsidRPr="00FC537F" w:rsidRDefault="00FC537F" w:rsidP="00FC537F">
            <w:pPr>
              <w:spacing w:before="40" w:after="120"/>
              <w:ind w:left="57" w:right="113"/>
              <w:rPr>
                <w:lang w:val="nl-NL"/>
              </w:rPr>
            </w:pPr>
          </w:p>
        </w:tc>
        <w:tc>
          <w:tcPr>
            <w:tcW w:w="2915" w:type="dxa"/>
            <w:shd w:val="clear" w:color="auto" w:fill="auto"/>
          </w:tcPr>
          <w:p w14:paraId="713C6185" w14:textId="77777777" w:rsidR="00FC537F" w:rsidRPr="00FC537F" w:rsidRDefault="00FC537F" w:rsidP="00FC537F">
            <w:pPr>
              <w:spacing w:before="40" w:after="120"/>
              <w:ind w:left="57" w:right="113"/>
            </w:pPr>
            <w:r w:rsidRPr="00FC537F">
              <w:t xml:space="preserve">EXTRAITS AROMATIQUES LIQUIDES </w:t>
            </w:r>
            <w:r w:rsidRPr="000933EF">
              <w:rPr>
                <w:rFonts w:asciiTheme="majorBidi" w:hAnsiTheme="majorBidi" w:cstheme="majorBidi"/>
                <w:color w:val="008080"/>
                <w:u w:val="single"/>
                <w:lang w:val="fr-CH" w:eastAsia="es-ES"/>
              </w:rPr>
              <w:t xml:space="preserve">(pression de vapeur </w:t>
            </w:r>
            <w:r w:rsidRPr="000933EF">
              <w:rPr>
                <w:rFonts w:asciiTheme="majorBidi" w:hAnsiTheme="majorBidi" w:cstheme="majorBidi"/>
                <w:color w:val="008080"/>
                <w:u w:val="single"/>
                <w:lang w:val="fr-CH" w:eastAsia="es-ES"/>
              </w:rPr>
              <w:br/>
              <w:t xml:space="preserve">à 50 °C inférieure ou égale </w:t>
            </w:r>
            <w:r w:rsidRPr="000933EF">
              <w:rPr>
                <w:rFonts w:asciiTheme="majorBidi" w:hAnsiTheme="majorBidi" w:cstheme="majorBidi"/>
                <w:color w:val="008080"/>
                <w:u w:val="single"/>
                <w:lang w:val="fr-CH" w:eastAsia="es-ES"/>
              </w:rPr>
              <w:br/>
              <w:t>à 110 kPa)</w:t>
            </w:r>
          </w:p>
        </w:tc>
        <w:tc>
          <w:tcPr>
            <w:tcW w:w="1553" w:type="dxa"/>
            <w:shd w:val="clear" w:color="auto" w:fill="auto"/>
          </w:tcPr>
          <w:p w14:paraId="34762620" w14:textId="77777777" w:rsidR="00FC537F" w:rsidRPr="00FC537F" w:rsidRDefault="00FC537F" w:rsidP="00FC537F">
            <w:pPr>
              <w:spacing w:before="40" w:after="120"/>
              <w:ind w:left="57" w:right="113"/>
            </w:pPr>
            <w:r w:rsidRPr="00FC537F">
              <w:t>II</w:t>
            </w:r>
          </w:p>
        </w:tc>
      </w:tr>
      <w:tr w:rsidR="00FC537F" w:rsidRPr="00FC537F" w14:paraId="11629006" w14:textId="77777777" w:rsidTr="00FC537F">
        <w:tc>
          <w:tcPr>
            <w:tcW w:w="1139" w:type="dxa"/>
            <w:shd w:val="clear" w:color="auto" w:fill="auto"/>
          </w:tcPr>
          <w:p w14:paraId="522E010B" w14:textId="77777777" w:rsidR="00FC537F" w:rsidRPr="00FC537F" w:rsidRDefault="00FC537F" w:rsidP="00FC537F">
            <w:pPr>
              <w:spacing w:before="40" w:after="120"/>
              <w:ind w:left="57" w:right="113"/>
              <w:rPr>
                <w:lang w:val="nl-NL"/>
              </w:rPr>
            </w:pPr>
          </w:p>
        </w:tc>
        <w:tc>
          <w:tcPr>
            <w:tcW w:w="1763" w:type="dxa"/>
            <w:shd w:val="clear" w:color="auto" w:fill="auto"/>
          </w:tcPr>
          <w:p w14:paraId="49EAD87D" w14:textId="77777777" w:rsidR="00FC537F" w:rsidRPr="00FC537F" w:rsidRDefault="00FC537F" w:rsidP="00FC537F">
            <w:pPr>
              <w:spacing w:before="40" w:after="120"/>
              <w:ind w:left="57" w:right="113"/>
              <w:rPr>
                <w:lang w:val="nl-NL"/>
              </w:rPr>
            </w:pPr>
          </w:p>
        </w:tc>
        <w:tc>
          <w:tcPr>
            <w:tcW w:w="2915" w:type="dxa"/>
            <w:shd w:val="clear" w:color="auto" w:fill="auto"/>
          </w:tcPr>
          <w:p w14:paraId="518016EA" w14:textId="77777777" w:rsidR="00FC537F" w:rsidRPr="00FC537F" w:rsidRDefault="00FC537F" w:rsidP="00FC537F">
            <w:pPr>
              <w:spacing w:before="40" w:after="120"/>
              <w:ind w:left="57" w:right="113"/>
            </w:pPr>
            <w:r w:rsidRPr="00FC537F">
              <w:t>EXTRAITS AROMATIQUES LIQUIDES</w:t>
            </w:r>
          </w:p>
        </w:tc>
        <w:tc>
          <w:tcPr>
            <w:tcW w:w="1553" w:type="dxa"/>
            <w:shd w:val="clear" w:color="auto" w:fill="auto"/>
          </w:tcPr>
          <w:p w14:paraId="39FBF13D" w14:textId="77777777" w:rsidR="00FC537F" w:rsidRPr="00FC537F" w:rsidRDefault="00FC537F" w:rsidP="00FC537F">
            <w:pPr>
              <w:spacing w:before="40" w:after="120"/>
              <w:ind w:left="57" w:right="113"/>
            </w:pPr>
            <w:r w:rsidRPr="00FC537F">
              <w:t>III</w:t>
            </w:r>
          </w:p>
        </w:tc>
      </w:tr>
      <w:tr w:rsidR="00FC537F" w:rsidRPr="00FC537F" w14:paraId="406E26BD" w14:textId="77777777" w:rsidTr="00FC537F">
        <w:tc>
          <w:tcPr>
            <w:tcW w:w="1139" w:type="dxa"/>
            <w:shd w:val="clear" w:color="auto" w:fill="auto"/>
          </w:tcPr>
          <w:p w14:paraId="0D3BE803" w14:textId="77777777" w:rsidR="00FC537F" w:rsidRPr="00FC537F" w:rsidRDefault="00FC537F" w:rsidP="00FC537F">
            <w:pPr>
              <w:spacing w:before="40" w:after="120"/>
              <w:ind w:left="57" w:right="113"/>
              <w:rPr>
                <w:lang w:val="nl-NL"/>
              </w:rPr>
            </w:pPr>
          </w:p>
        </w:tc>
        <w:tc>
          <w:tcPr>
            <w:tcW w:w="1763" w:type="dxa"/>
            <w:shd w:val="clear" w:color="auto" w:fill="auto"/>
          </w:tcPr>
          <w:p w14:paraId="4E40668C" w14:textId="77777777" w:rsidR="00FC537F" w:rsidRPr="00FC537F" w:rsidRDefault="00FC537F" w:rsidP="00FC537F">
            <w:pPr>
              <w:spacing w:before="40" w:after="120"/>
              <w:ind w:left="57" w:right="113"/>
              <w:rPr>
                <w:lang w:val="nl-NL"/>
              </w:rPr>
            </w:pPr>
          </w:p>
        </w:tc>
        <w:tc>
          <w:tcPr>
            <w:tcW w:w="2915" w:type="dxa"/>
            <w:shd w:val="clear" w:color="auto" w:fill="auto"/>
          </w:tcPr>
          <w:p w14:paraId="17AAF030" w14:textId="77777777" w:rsidR="00FC537F" w:rsidRPr="00FC537F" w:rsidRDefault="00FC537F" w:rsidP="00FC537F">
            <w:pPr>
              <w:spacing w:before="40" w:after="120"/>
              <w:ind w:left="57" w:right="113"/>
            </w:pPr>
            <w:r w:rsidRPr="00FC537F">
              <w:t xml:space="preserve">EXTRAITS AROMATIQUES LIQUIDES </w:t>
            </w:r>
            <w:r w:rsidRPr="000933EF">
              <w:rPr>
                <w:rFonts w:asciiTheme="majorBidi" w:hAnsiTheme="majorBidi" w:cstheme="majorBidi"/>
                <w:color w:val="008080"/>
                <w:u w:val="single"/>
                <w:lang w:val="fr-CH" w:eastAsia="es-ES"/>
              </w:rPr>
              <w:t>(ayant un point d’éclair inférieur à 23 °C et visqueux selon 2.2.3.1.4) (pression de vapeur à 50 °C supérieure à 110 kPa)</w:t>
            </w:r>
          </w:p>
        </w:tc>
        <w:tc>
          <w:tcPr>
            <w:tcW w:w="1553" w:type="dxa"/>
            <w:shd w:val="clear" w:color="auto" w:fill="auto"/>
          </w:tcPr>
          <w:p w14:paraId="13CD276C" w14:textId="77777777" w:rsidR="00FC537F" w:rsidRPr="00FC537F" w:rsidRDefault="00FC537F" w:rsidP="00FC537F">
            <w:pPr>
              <w:spacing w:before="40" w:after="120"/>
              <w:ind w:left="57" w:right="113"/>
            </w:pPr>
            <w:r w:rsidRPr="00FC537F">
              <w:t>III</w:t>
            </w:r>
          </w:p>
        </w:tc>
      </w:tr>
      <w:tr w:rsidR="00FC537F" w:rsidRPr="00FC537F" w14:paraId="526F993F" w14:textId="77777777" w:rsidTr="00FC537F">
        <w:tc>
          <w:tcPr>
            <w:tcW w:w="1139" w:type="dxa"/>
            <w:shd w:val="clear" w:color="auto" w:fill="auto"/>
          </w:tcPr>
          <w:p w14:paraId="5CD0E598" w14:textId="77777777" w:rsidR="00FC537F" w:rsidRPr="00FC537F" w:rsidRDefault="00FC537F" w:rsidP="00FC537F">
            <w:pPr>
              <w:spacing w:before="40" w:after="120"/>
              <w:ind w:left="57" w:right="113"/>
              <w:rPr>
                <w:lang w:val="nl-NL"/>
              </w:rPr>
            </w:pPr>
          </w:p>
        </w:tc>
        <w:tc>
          <w:tcPr>
            <w:tcW w:w="1763" w:type="dxa"/>
            <w:shd w:val="clear" w:color="auto" w:fill="auto"/>
          </w:tcPr>
          <w:p w14:paraId="5504D641" w14:textId="77777777" w:rsidR="00FC537F" w:rsidRPr="00FC537F" w:rsidRDefault="00FC537F" w:rsidP="00FC537F">
            <w:pPr>
              <w:spacing w:before="40" w:after="120"/>
              <w:ind w:left="57" w:right="113"/>
              <w:rPr>
                <w:lang w:val="nl-NL"/>
              </w:rPr>
            </w:pPr>
          </w:p>
        </w:tc>
        <w:tc>
          <w:tcPr>
            <w:tcW w:w="2915" w:type="dxa"/>
            <w:shd w:val="clear" w:color="auto" w:fill="auto"/>
          </w:tcPr>
          <w:p w14:paraId="359C53E1" w14:textId="77777777" w:rsidR="00FC537F" w:rsidRPr="00FC537F" w:rsidRDefault="00FC537F" w:rsidP="00FC537F">
            <w:pPr>
              <w:spacing w:before="40" w:after="120"/>
              <w:ind w:left="57" w:right="113"/>
            </w:pPr>
            <w:r w:rsidRPr="00FC537F">
              <w:t xml:space="preserve">EXTRAITS AROMATIQUES LIQUIDES </w:t>
            </w:r>
            <w:r w:rsidRPr="000933EF">
              <w:rPr>
                <w:rFonts w:asciiTheme="majorBidi" w:hAnsiTheme="majorBidi" w:cstheme="majorBidi"/>
                <w:color w:val="008080"/>
                <w:u w:val="single"/>
                <w:lang w:val="fr-CH" w:eastAsia="es-ES"/>
              </w:rPr>
              <w:t>(ayant un point d’éclair inférieur à 23 °C et visqueux selon 2.2.3.1.4) (pression de vapeur à 50 °C inférieure ou égale à 110 kPa)</w:t>
            </w:r>
          </w:p>
        </w:tc>
        <w:tc>
          <w:tcPr>
            <w:tcW w:w="1553" w:type="dxa"/>
            <w:shd w:val="clear" w:color="auto" w:fill="auto"/>
          </w:tcPr>
          <w:p w14:paraId="494AB787" w14:textId="77777777" w:rsidR="00FC537F" w:rsidRPr="00FC537F" w:rsidRDefault="00FC537F" w:rsidP="00FC537F">
            <w:pPr>
              <w:spacing w:before="40" w:after="120"/>
              <w:ind w:left="57" w:right="113"/>
            </w:pPr>
            <w:r w:rsidRPr="00FC537F">
              <w:t>III</w:t>
            </w:r>
          </w:p>
        </w:tc>
      </w:tr>
    </w:tbl>
    <w:p w14:paraId="1E56F29C" w14:textId="77777777" w:rsidR="00FC537F" w:rsidRPr="00942C05" w:rsidRDefault="00FC537F" w:rsidP="00FC537F">
      <w:pPr>
        <w:pStyle w:val="SingleTxtG"/>
        <w:spacing w:before="240"/>
      </w:pPr>
      <w:r>
        <w:rPr>
          <w:lang w:val="fr-FR"/>
        </w:rPr>
        <w:t>2.</w:t>
      </w:r>
      <w:r>
        <w:rPr>
          <w:lang w:val="fr-FR"/>
        </w:rPr>
        <w:tab/>
        <w:t>Néanmoins, dans d’autres cas, le motif de cette différence n’est pas si évident, par exemple pour les numéros ONU 1012, 1326, 1345, 1352, 1358, 2015 et 2071.</w:t>
      </w:r>
    </w:p>
    <w:p w14:paraId="08A613A8" w14:textId="77777777" w:rsidR="00FC537F" w:rsidRPr="00942C05" w:rsidRDefault="00FC537F" w:rsidP="00FC537F">
      <w:pPr>
        <w:pStyle w:val="SingleTxtG"/>
      </w:pPr>
      <w:r>
        <w:rPr>
          <w:lang w:val="fr-FR"/>
        </w:rPr>
        <w:t>3.</w:t>
      </w:r>
      <w:r>
        <w:rPr>
          <w:lang w:val="fr-FR"/>
        </w:rPr>
        <w:tab/>
        <w:t xml:space="preserve">Cette situation sera étudiée plus en détail dans le présent document, étant entendu qu’une harmonisation avec le Règlement type et les autres modes de transport permettrait d’adopter une approche plus rationnelle et de simplifier les formalités administratives durant le transport. </w:t>
      </w:r>
    </w:p>
    <w:p w14:paraId="664CC45C" w14:textId="77777777" w:rsidR="00FC537F" w:rsidRPr="00942C05" w:rsidRDefault="00FC537F" w:rsidP="00FC537F">
      <w:pPr>
        <w:pStyle w:val="HChG"/>
        <w:rPr>
          <w:rFonts w:eastAsiaTheme="minorEastAsia"/>
        </w:rPr>
      </w:pPr>
      <w:r>
        <w:rPr>
          <w:lang w:val="fr-FR"/>
        </w:rPr>
        <w:tab/>
      </w:r>
      <w:r>
        <w:rPr>
          <w:lang w:val="fr-FR"/>
        </w:rPr>
        <w:tab/>
        <w:t>N</w:t>
      </w:r>
      <w:r w:rsidRPr="00FC537F">
        <w:rPr>
          <w:vertAlign w:val="superscript"/>
          <w:lang w:val="fr-FR"/>
        </w:rPr>
        <w:t>o</w:t>
      </w:r>
      <w:r>
        <w:rPr>
          <w:lang w:val="fr-FR"/>
        </w:rPr>
        <w:t> ONU 1012 BUTYLÈNE</w:t>
      </w:r>
    </w:p>
    <w:p w14:paraId="2A15DD55" w14:textId="0F269EDB" w:rsidR="00FC537F" w:rsidRPr="00942C05" w:rsidRDefault="00FC537F" w:rsidP="00F16B37">
      <w:pPr>
        <w:pStyle w:val="SingleTxtG"/>
      </w:pPr>
      <w:r>
        <w:rPr>
          <w:lang w:val="fr-FR"/>
        </w:rPr>
        <w:t>4.</w:t>
      </w:r>
      <w:r>
        <w:rPr>
          <w:lang w:val="fr-FR"/>
        </w:rPr>
        <w:tab/>
        <w:t>Le nom et la description du numéro ONU 1012 dans le Règlement type et le RID</w:t>
      </w:r>
      <w:r w:rsidR="006878C6">
        <w:rPr>
          <w:lang w:val="fr-FR"/>
        </w:rPr>
        <w:t xml:space="preserve"> et l’</w:t>
      </w:r>
      <w:r>
        <w:rPr>
          <w:lang w:val="fr-FR"/>
        </w:rPr>
        <w:t>ADR sont les suivants :</w:t>
      </w:r>
    </w:p>
    <w:tbl>
      <w:tblPr>
        <w:tblStyle w:val="Grilledutableau1"/>
        <w:tblW w:w="7370" w:type="dxa"/>
        <w:tblInd w:w="1134" w:type="dxa"/>
        <w:tblLayout w:type="fixed"/>
        <w:tblLook w:val="04A0" w:firstRow="1" w:lastRow="0" w:firstColumn="1" w:lastColumn="0" w:noHBand="0" w:noVBand="1"/>
      </w:tblPr>
      <w:tblGrid>
        <w:gridCol w:w="1418"/>
        <w:gridCol w:w="2267"/>
        <w:gridCol w:w="3685"/>
      </w:tblGrid>
      <w:tr w:rsidR="00F16B37" w:rsidRPr="00F16B37" w14:paraId="30892649" w14:textId="77777777" w:rsidTr="00051919">
        <w:trPr>
          <w:tblHeader/>
        </w:trPr>
        <w:tc>
          <w:tcPr>
            <w:tcW w:w="1418" w:type="dxa"/>
            <w:shd w:val="clear" w:color="auto" w:fill="auto"/>
            <w:vAlign w:val="bottom"/>
          </w:tcPr>
          <w:p w14:paraId="23D8CC8A" w14:textId="77777777" w:rsidR="00FC537F" w:rsidRPr="00F16B37" w:rsidRDefault="00FC537F" w:rsidP="00F16B37">
            <w:pPr>
              <w:spacing w:before="80" w:after="80" w:line="200" w:lineRule="exact"/>
              <w:ind w:left="57" w:right="113"/>
              <w:rPr>
                <w:sz w:val="16"/>
                <w:szCs w:val="16"/>
              </w:rPr>
            </w:pPr>
            <w:r w:rsidRPr="00F16B37">
              <w:rPr>
                <w:sz w:val="16"/>
              </w:rPr>
              <w:t>Numéro ONU</w:t>
            </w:r>
          </w:p>
        </w:tc>
        <w:tc>
          <w:tcPr>
            <w:tcW w:w="2268" w:type="dxa"/>
            <w:shd w:val="clear" w:color="auto" w:fill="auto"/>
            <w:vAlign w:val="bottom"/>
          </w:tcPr>
          <w:p w14:paraId="4F2B889F" w14:textId="77777777" w:rsidR="00FC537F" w:rsidRPr="00F16B37" w:rsidRDefault="00FC537F" w:rsidP="00F16B37">
            <w:pPr>
              <w:spacing w:before="80" w:after="80" w:line="200" w:lineRule="exact"/>
              <w:ind w:left="57" w:right="113"/>
              <w:rPr>
                <w:sz w:val="16"/>
                <w:szCs w:val="16"/>
              </w:rPr>
            </w:pPr>
            <w:r w:rsidRPr="00F16B37">
              <w:rPr>
                <w:sz w:val="16"/>
              </w:rPr>
              <w:t>Règlement type</w:t>
            </w:r>
          </w:p>
        </w:tc>
        <w:tc>
          <w:tcPr>
            <w:tcW w:w="3686" w:type="dxa"/>
            <w:shd w:val="clear" w:color="auto" w:fill="auto"/>
            <w:vAlign w:val="bottom"/>
          </w:tcPr>
          <w:p w14:paraId="54252855" w14:textId="77777777" w:rsidR="00FC537F" w:rsidRPr="00F16B37" w:rsidRDefault="00FC537F" w:rsidP="00F16B37">
            <w:pPr>
              <w:spacing w:before="80" w:after="80" w:line="200" w:lineRule="exact"/>
              <w:ind w:left="57" w:right="113"/>
              <w:rPr>
                <w:sz w:val="16"/>
                <w:szCs w:val="16"/>
              </w:rPr>
            </w:pPr>
            <w:r w:rsidRPr="00F16B37">
              <w:rPr>
                <w:sz w:val="16"/>
              </w:rPr>
              <w:t>RID/ADR</w:t>
            </w:r>
          </w:p>
        </w:tc>
      </w:tr>
      <w:tr w:rsidR="00F16B37" w:rsidRPr="00F16B37" w14:paraId="7C17632F" w14:textId="77777777" w:rsidTr="00051919">
        <w:tc>
          <w:tcPr>
            <w:tcW w:w="1418" w:type="dxa"/>
            <w:shd w:val="clear" w:color="auto" w:fill="auto"/>
          </w:tcPr>
          <w:p w14:paraId="188E9D75" w14:textId="77777777" w:rsidR="00FC537F" w:rsidRPr="00F16B37" w:rsidRDefault="00FC537F" w:rsidP="00F16B37">
            <w:pPr>
              <w:spacing w:before="40" w:after="120"/>
              <w:ind w:left="57" w:right="113"/>
              <w:rPr>
                <w:szCs w:val="16"/>
              </w:rPr>
            </w:pPr>
            <w:r w:rsidRPr="00F16B37">
              <w:t>1012</w:t>
            </w:r>
          </w:p>
        </w:tc>
        <w:tc>
          <w:tcPr>
            <w:tcW w:w="2268" w:type="dxa"/>
            <w:shd w:val="clear" w:color="auto" w:fill="auto"/>
          </w:tcPr>
          <w:p w14:paraId="323B4A4D" w14:textId="77777777" w:rsidR="00FC537F" w:rsidRPr="00F16B37" w:rsidRDefault="00FC537F" w:rsidP="00F16B37">
            <w:pPr>
              <w:spacing w:before="40" w:after="120"/>
              <w:ind w:left="57" w:right="113"/>
              <w:rPr>
                <w:szCs w:val="16"/>
              </w:rPr>
            </w:pPr>
            <w:r w:rsidRPr="00F16B37">
              <w:t>BUTYLÈNE</w:t>
            </w:r>
          </w:p>
        </w:tc>
        <w:tc>
          <w:tcPr>
            <w:tcW w:w="3686" w:type="dxa"/>
            <w:shd w:val="clear" w:color="auto" w:fill="auto"/>
          </w:tcPr>
          <w:p w14:paraId="279E39AD" w14:textId="77777777" w:rsidR="00FC537F" w:rsidRPr="00F16B37" w:rsidRDefault="00FC537F" w:rsidP="00F16B37">
            <w:pPr>
              <w:spacing w:before="40" w:after="120"/>
              <w:ind w:left="57" w:right="113"/>
              <w:rPr>
                <w:szCs w:val="16"/>
              </w:rPr>
            </w:pPr>
            <w:r w:rsidRPr="00345F3F">
              <w:rPr>
                <w:rFonts w:cstheme="minorBidi"/>
                <w:strike/>
                <w:color w:val="FF0000"/>
                <w:lang w:val="fr-CH"/>
              </w:rPr>
              <w:t>BUTYLÈNE</w:t>
            </w:r>
            <w:r w:rsidRPr="00345F3F">
              <w:rPr>
                <w:rFonts w:asciiTheme="majorBidi" w:hAnsiTheme="majorBidi" w:cstheme="majorBidi"/>
                <w:color w:val="008080"/>
                <w:u w:val="single"/>
                <w:lang w:val="fr-CH" w:eastAsia="es-ES"/>
              </w:rPr>
              <w:t xml:space="preserve">BUTYLÈNES EN MÉLANGE ou BUTYLÈNE-1 ou </w:t>
            </w:r>
            <w:r w:rsidR="000933EF">
              <w:rPr>
                <w:rFonts w:asciiTheme="majorBidi" w:hAnsiTheme="majorBidi" w:cstheme="majorBidi"/>
                <w:color w:val="008080"/>
                <w:u w:val="single"/>
                <w:lang w:val="fr-CH" w:eastAsia="es-ES"/>
              </w:rPr>
              <w:br/>
            </w:r>
            <w:r w:rsidRPr="00345F3F">
              <w:rPr>
                <w:rFonts w:asciiTheme="majorBidi" w:hAnsiTheme="majorBidi" w:cstheme="majorBidi"/>
                <w:color w:val="008080"/>
                <w:u w:val="single"/>
                <w:lang w:val="fr-CH" w:eastAsia="es-ES"/>
              </w:rPr>
              <w:t>cis-BUTYLÈNE-2 ou trans-BUTYLÈNE-2</w:t>
            </w:r>
          </w:p>
        </w:tc>
      </w:tr>
    </w:tbl>
    <w:p w14:paraId="2844EAE7" w14:textId="77777777" w:rsidR="00FC537F" w:rsidRPr="00942C05" w:rsidRDefault="00FC537F" w:rsidP="00F16B37">
      <w:pPr>
        <w:pStyle w:val="SingleTxtG"/>
        <w:spacing w:before="240"/>
      </w:pPr>
      <w:r>
        <w:rPr>
          <w:lang w:val="fr-FR"/>
        </w:rPr>
        <w:t>5.</w:t>
      </w:r>
      <w:r>
        <w:rPr>
          <w:lang w:val="fr-FR"/>
        </w:rPr>
        <w:tab/>
        <w:t>Les butylènes, également connus sous la dénomination de butènes, sont un groupe d’alcènes dont la formule générale est C</w:t>
      </w:r>
      <w:r>
        <w:rPr>
          <w:vertAlign w:val="subscript"/>
          <w:lang w:val="fr-FR"/>
        </w:rPr>
        <w:t>4</w:t>
      </w:r>
      <w:r>
        <w:rPr>
          <w:lang w:val="fr-FR"/>
        </w:rPr>
        <w:t>H</w:t>
      </w:r>
      <w:r>
        <w:rPr>
          <w:vertAlign w:val="subscript"/>
          <w:lang w:val="fr-FR"/>
        </w:rPr>
        <w:t>8</w:t>
      </w:r>
      <w:r>
        <w:rPr>
          <w:lang w:val="fr-FR"/>
        </w:rPr>
        <w:t>. On dénombre quatre isomères d’alcènes pour la formule susmentionnée :</w:t>
      </w:r>
    </w:p>
    <w:tbl>
      <w:tblPr>
        <w:tblStyle w:val="Grilledutableau1"/>
        <w:tblW w:w="7371" w:type="dxa"/>
        <w:tblInd w:w="1134" w:type="dxa"/>
        <w:tblLayout w:type="fixed"/>
        <w:tblLook w:val="04A0" w:firstRow="1" w:lastRow="0" w:firstColumn="1" w:lastColumn="0" w:noHBand="0" w:noVBand="1"/>
      </w:tblPr>
      <w:tblGrid>
        <w:gridCol w:w="1683"/>
        <w:gridCol w:w="2010"/>
        <w:gridCol w:w="3678"/>
      </w:tblGrid>
      <w:tr w:rsidR="00FC537F" w:rsidRPr="00F16B37" w14:paraId="4841507B" w14:textId="77777777" w:rsidTr="00F16B37">
        <w:tc>
          <w:tcPr>
            <w:tcW w:w="1683" w:type="dxa"/>
            <w:vAlign w:val="center"/>
          </w:tcPr>
          <w:p w14:paraId="76F457E3" w14:textId="77777777" w:rsidR="00FC537F" w:rsidRPr="00F16B37" w:rsidRDefault="00FC537F" w:rsidP="00F16B37">
            <w:pPr>
              <w:spacing w:before="80" w:after="80" w:line="200" w:lineRule="exact"/>
              <w:jc w:val="center"/>
              <w:rPr>
                <w:rFonts w:asciiTheme="majorBidi" w:hAnsiTheme="majorBidi" w:cstheme="majorBidi"/>
                <w:b/>
                <w:bCs/>
                <w:sz w:val="16"/>
                <w:szCs w:val="16"/>
              </w:rPr>
            </w:pPr>
            <w:r w:rsidRPr="00F16B37">
              <w:rPr>
                <w:b/>
                <w:bCs/>
                <w:sz w:val="16"/>
                <w:szCs w:val="16"/>
              </w:rPr>
              <w:t>Désignation UICPA</w:t>
            </w:r>
          </w:p>
        </w:tc>
        <w:tc>
          <w:tcPr>
            <w:tcW w:w="2010" w:type="dxa"/>
            <w:vAlign w:val="center"/>
          </w:tcPr>
          <w:p w14:paraId="16DC939B" w14:textId="77777777" w:rsidR="00FC537F" w:rsidRPr="00F16B37" w:rsidRDefault="00FC537F" w:rsidP="00F16B37">
            <w:pPr>
              <w:spacing w:before="80" w:after="80" w:line="200" w:lineRule="exact"/>
              <w:jc w:val="center"/>
              <w:rPr>
                <w:rFonts w:asciiTheme="majorBidi" w:hAnsiTheme="majorBidi" w:cstheme="majorBidi"/>
                <w:b/>
                <w:bCs/>
                <w:sz w:val="16"/>
                <w:szCs w:val="16"/>
              </w:rPr>
            </w:pPr>
            <w:r w:rsidRPr="00F16B37">
              <w:rPr>
                <w:b/>
                <w:bCs/>
                <w:sz w:val="16"/>
                <w:szCs w:val="16"/>
              </w:rPr>
              <w:t>Dénomination courante</w:t>
            </w:r>
          </w:p>
        </w:tc>
        <w:tc>
          <w:tcPr>
            <w:tcW w:w="3678" w:type="dxa"/>
            <w:vAlign w:val="center"/>
          </w:tcPr>
          <w:p w14:paraId="271769C4" w14:textId="77777777" w:rsidR="00FC537F" w:rsidRPr="00F16B37" w:rsidRDefault="00FC537F" w:rsidP="00F16B37">
            <w:pPr>
              <w:spacing w:before="80" w:after="80" w:line="200" w:lineRule="exact"/>
              <w:jc w:val="center"/>
              <w:rPr>
                <w:rFonts w:asciiTheme="majorBidi" w:hAnsiTheme="majorBidi" w:cstheme="majorBidi"/>
                <w:b/>
                <w:bCs/>
                <w:sz w:val="16"/>
                <w:szCs w:val="16"/>
              </w:rPr>
            </w:pPr>
            <w:r w:rsidRPr="00F16B37">
              <w:rPr>
                <w:b/>
                <w:bCs/>
                <w:sz w:val="16"/>
                <w:szCs w:val="16"/>
              </w:rPr>
              <w:t>Structure</w:t>
            </w:r>
          </w:p>
        </w:tc>
      </w:tr>
      <w:tr w:rsidR="00FC537F" w:rsidRPr="00942C05" w14:paraId="09B03CE5" w14:textId="77777777" w:rsidTr="00F16B37">
        <w:tc>
          <w:tcPr>
            <w:tcW w:w="1683" w:type="dxa"/>
          </w:tcPr>
          <w:p w14:paraId="0CB95514" w14:textId="5F8B25B8" w:rsidR="00FC537F" w:rsidRPr="00942C05" w:rsidRDefault="000563D4" w:rsidP="00F16B37">
            <w:pPr>
              <w:spacing w:after="120"/>
              <w:ind w:left="57"/>
              <w:rPr>
                <w:rFonts w:asciiTheme="majorBidi" w:hAnsiTheme="majorBidi" w:cstheme="majorBidi"/>
                <w:sz w:val="16"/>
                <w:szCs w:val="16"/>
              </w:rPr>
            </w:pPr>
            <w:hyperlink r:id="rId8" w:tooltip="1-Butene" w:history="1">
              <w:r w:rsidR="00FC537F" w:rsidRPr="00345F3F">
                <w:rPr>
                  <w:rStyle w:val="Hyperlink"/>
                  <w:rFonts w:asciiTheme="majorBidi" w:eastAsia="Times New Roman" w:hAnsiTheme="majorBidi" w:cstheme="majorBidi"/>
                  <w:color w:val="0000FF" w:themeColor="hyperlink"/>
                  <w:lang w:val="ru-RU"/>
                </w:rPr>
                <w:t>But-1-ène</w:t>
              </w:r>
            </w:hyperlink>
          </w:p>
        </w:tc>
        <w:tc>
          <w:tcPr>
            <w:tcW w:w="2010" w:type="dxa"/>
          </w:tcPr>
          <w:p w14:paraId="3D01A44D" w14:textId="77777777" w:rsidR="00FC537F" w:rsidRPr="00942C05" w:rsidRDefault="00FC537F" w:rsidP="00F16B37">
            <w:pPr>
              <w:spacing w:after="120"/>
              <w:ind w:left="57"/>
              <w:rPr>
                <w:rFonts w:asciiTheme="majorBidi" w:hAnsiTheme="majorBidi" w:cstheme="majorBidi"/>
                <w:sz w:val="16"/>
                <w:szCs w:val="16"/>
              </w:rPr>
            </w:pPr>
            <w:r>
              <w:t>1-butène</w:t>
            </w:r>
          </w:p>
        </w:tc>
        <w:tc>
          <w:tcPr>
            <w:tcW w:w="3678" w:type="dxa"/>
          </w:tcPr>
          <w:p w14:paraId="0308F51E" w14:textId="77777777" w:rsidR="00FC537F" w:rsidRPr="00942C05" w:rsidRDefault="00FC537F" w:rsidP="00F16B37">
            <w:pPr>
              <w:spacing w:after="120"/>
              <w:jc w:val="center"/>
              <w:rPr>
                <w:rFonts w:asciiTheme="majorBidi" w:hAnsiTheme="majorBidi" w:cstheme="majorBidi"/>
                <w:sz w:val="16"/>
                <w:szCs w:val="16"/>
                <w:lang w:val="en-US"/>
              </w:rPr>
            </w:pPr>
            <w:r w:rsidRPr="00942C05">
              <w:rPr>
                <w:rFonts w:asciiTheme="majorBidi" w:hAnsiTheme="majorBidi" w:cstheme="majorBidi"/>
                <w:noProof/>
                <w:color w:val="0000FF"/>
                <w:sz w:val="16"/>
                <w:szCs w:val="16"/>
                <w:lang w:eastAsia="fr-CH"/>
              </w:rPr>
              <w:drawing>
                <wp:inline distT="0" distB="0" distL="0" distR="0" wp14:anchorId="42738518" wp14:editId="64C5CA13">
                  <wp:extent cx="1997075" cy="1170305"/>
                  <wp:effectExtent l="0" t="0" r="3175" b="0"/>
                  <wp:docPr id="13" name="Imagen 13" descr="1-butene.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butene.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7075" cy="1170305"/>
                          </a:xfrm>
                          <a:prstGeom prst="rect">
                            <a:avLst/>
                          </a:prstGeom>
                          <a:noFill/>
                          <a:ln>
                            <a:noFill/>
                          </a:ln>
                        </pic:spPr>
                      </pic:pic>
                    </a:graphicData>
                  </a:graphic>
                </wp:inline>
              </w:drawing>
            </w:r>
          </w:p>
        </w:tc>
      </w:tr>
      <w:tr w:rsidR="00FC537F" w:rsidRPr="00942C05" w14:paraId="044BD356" w14:textId="77777777" w:rsidTr="00F16B37">
        <w:tc>
          <w:tcPr>
            <w:tcW w:w="1683" w:type="dxa"/>
            <w:vAlign w:val="center"/>
          </w:tcPr>
          <w:p w14:paraId="491CCB20" w14:textId="7832E6F9" w:rsidR="00FC537F" w:rsidRPr="00942C05" w:rsidRDefault="000563D4" w:rsidP="00345F3F">
            <w:pPr>
              <w:spacing w:after="120"/>
              <w:ind w:left="57"/>
              <w:rPr>
                <w:rFonts w:asciiTheme="majorBidi" w:hAnsiTheme="majorBidi" w:cstheme="majorBidi"/>
                <w:sz w:val="16"/>
                <w:szCs w:val="16"/>
              </w:rPr>
            </w:pPr>
            <w:hyperlink r:id="rId11" w:tooltip="2-Butene" w:history="1">
              <w:r w:rsidR="00FC537F" w:rsidRPr="00345F3F">
                <w:rPr>
                  <w:rStyle w:val="Hyperlink"/>
                  <w:rFonts w:asciiTheme="majorBidi" w:eastAsia="Times New Roman" w:hAnsiTheme="majorBidi" w:cstheme="majorBidi"/>
                  <w:color w:val="0000FF" w:themeColor="hyperlink"/>
                  <w:lang w:val="ru-RU"/>
                </w:rPr>
                <w:t xml:space="preserve">Z-but-2-ène </w:t>
              </w:r>
            </w:hyperlink>
          </w:p>
        </w:tc>
        <w:tc>
          <w:tcPr>
            <w:tcW w:w="2010" w:type="dxa"/>
            <w:vAlign w:val="center"/>
          </w:tcPr>
          <w:p w14:paraId="70A9625B" w14:textId="77777777" w:rsidR="00FC537F" w:rsidRPr="00942C05" w:rsidRDefault="00FC537F" w:rsidP="00F16B37">
            <w:pPr>
              <w:spacing w:after="120"/>
              <w:ind w:left="57" w:right="113"/>
              <w:rPr>
                <w:rFonts w:asciiTheme="majorBidi" w:hAnsiTheme="majorBidi" w:cstheme="majorBidi"/>
                <w:sz w:val="16"/>
                <w:szCs w:val="16"/>
              </w:rPr>
            </w:pPr>
            <w:r>
              <w:t>cis-2-butène</w:t>
            </w:r>
          </w:p>
        </w:tc>
        <w:tc>
          <w:tcPr>
            <w:tcW w:w="3678" w:type="dxa"/>
            <w:vAlign w:val="center"/>
          </w:tcPr>
          <w:p w14:paraId="2D2F2283" w14:textId="77777777" w:rsidR="00FC537F" w:rsidRPr="00942C05" w:rsidRDefault="00FC537F" w:rsidP="00F16B37">
            <w:pPr>
              <w:spacing w:after="120"/>
              <w:jc w:val="center"/>
              <w:rPr>
                <w:rFonts w:asciiTheme="majorBidi" w:hAnsiTheme="majorBidi" w:cstheme="majorBidi"/>
                <w:sz w:val="16"/>
                <w:szCs w:val="16"/>
                <w:lang w:val="en-GB"/>
              </w:rPr>
            </w:pPr>
            <w:r w:rsidRPr="00942C05">
              <w:rPr>
                <w:rFonts w:asciiTheme="majorBidi" w:hAnsiTheme="majorBidi" w:cstheme="majorBidi"/>
                <w:noProof/>
                <w:color w:val="0000FF"/>
                <w:sz w:val="16"/>
                <w:szCs w:val="16"/>
                <w:lang w:eastAsia="fr-CH"/>
              </w:rPr>
              <w:drawing>
                <wp:inline distT="0" distB="0" distL="0" distR="0" wp14:anchorId="12E62B5F" wp14:editId="231AA7A4">
                  <wp:extent cx="1616710" cy="1192530"/>
                  <wp:effectExtent l="0" t="0" r="2540" b="0"/>
                  <wp:docPr id="14" name="Imagen 14" descr="Cis-2-butene.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s-2-butene.sv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6710" cy="1192530"/>
                          </a:xfrm>
                          <a:prstGeom prst="rect">
                            <a:avLst/>
                          </a:prstGeom>
                          <a:noFill/>
                          <a:ln>
                            <a:noFill/>
                          </a:ln>
                        </pic:spPr>
                      </pic:pic>
                    </a:graphicData>
                  </a:graphic>
                </wp:inline>
              </w:drawing>
            </w:r>
          </w:p>
        </w:tc>
      </w:tr>
      <w:tr w:rsidR="00FC537F" w:rsidRPr="00942C05" w14:paraId="2048210B" w14:textId="77777777" w:rsidTr="00F16B37">
        <w:tc>
          <w:tcPr>
            <w:tcW w:w="1683" w:type="dxa"/>
            <w:vAlign w:val="center"/>
          </w:tcPr>
          <w:p w14:paraId="6BF73240" w14:textId="53D3C435" w:rsidR="00FC537F" w:rsidRPr="00942C05" w:rsidRDefault="000563D4" w:rsidP="00345F3F">
            <w:pPr>
              <w:spacing w:after="120"/>
              <w:ind w:left="57"/>
              <w:rPr>
                <w:rFonts w:asciiTheme="majorBidi" w:hAnsiTheme="majorBidi" w:cstheme="majorBidi"/>
                <w:sz w:val="16"/>
                <w:szCs w:val="16"/>
              </w:rPr>
            </w:pPr>
            <w:hyperlink r:id="rId14" w:tooltip="2-Butene" w:history="1">
              <w:r w:rsidR="00FC537F" w:rsidRPr="00345F3F">
                <w:rPr>
                  <w:rStyle w:val="Hyperlink"/>
                  <w:rFonts w:asciiTheme="majorBidi" w:eastAsia="Times New Roman" w:hAnsiTheme="majorBidi" w:cstheme="majorBidi"/>
                  <w:color w:val="0000FF" w:themeColor="hyperlink"/>
                  <w:lang w:val="ru-RU"/>
                </w:rPr>
                <w:t>E-but-2-ène</w:t>
              </w:r>
              <w:r w:rsidR="00FC537F">
                <w:t xml:space="preserve"> </w:t>
              </w:r>
            </w:hyperlink>
          </w:p>
        </w:tc>
        <w:tc>
          <w:tcPr>
            <w:tcW w:w="2010" w:type="dxa"/>
            <w:vAlign w:val="center"/>
          </w:tcPr>
          <w:p w14:paraId="054FC14E" w14:textId="77777777" w:rsidR="00FC537F" w:rsidRPr="00942C05" w:rsidRDefault="00FC537F" w:rsidP="00F16B37">
            <w:pPr>
              <w:spacing w:after="120"/>
              <w:ind w:left="57" w:right="113"/>
              <w:rPr>
                <w:rFonts w:asciiTheme="majorBidi" w:hAnsiTheme="majorBidi" w:cstheme="majorBidi"/>
                <w:sz w:val="16"/>
                <w:szCs w:val="16"/>
              </w:rPr>
            </w:pPr>
            <w:r>
              <w:t>trans-2-butène</w:t>
            </w:r>
          </w:p>
        </w:tc>
        <w:tc>
          <w:tcPr>
            <w:tcW w:w="3678" w:type="dxa"/>
            <w:vAlign w:val="center"/>
          </w:tcPr>
          <w:p w14:paraId="5FB79125" w14:textId="77777777" w:rsidR="00FC537F" w:rsidRPr="00942C05" w:rsidRDefault="00FC537F" w:rsidP="00F16B37">
            <w:pPr>
              <w:spacing w:after="120"/>
              <w:jc w:val="center"/>
              <w:rPr>
                <w:rFonts w:asciiTheme="majorBidi" w:hAnsiTheme="majorBidi" w:cstheme="majorBidi"/>
                <w:sz w:val="16"/>
                <w:szCs w:val="16"/>
                <w:lang w:val="en-GB"/>
              </w:rPr>
            </w:pPr>
            <w:r w:rsidRPr="00942C05">
              <w:rPr>
                <w:rFonts w:asciiTheme="majorBidi" w:hAnsiTheme="majorBidi" w:cstheme="majorBidi"/>
                <w:noProof/>
                <w:color w:val="0000FF"/>
                <w:sz w:val="16"/>
                <w:szCs w:val="16"/>
                <w:lang w:eastAsia="fr-CH"/>
              </w:rPr>
              <w:drawing>
                <wp:inline distT="0" distB="0" distL="0" distR="0" wp14:anchorId="509E0708" wp14:editId="5980B08C">
                  <wp:extent cx="1616710" cy="1228725"/>
                  <wp:effectExtent l="0" t="0" r="2540" b="0"/>
                  <wp:docPr id="15" name="Imagen 15" descr="Trans-2-butene.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2-butene.sv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6710" cy="1228725"/>
                          </a:xfrm>
                          <a:prstGeom prst="rect">
                            <a:avLst/>
                          </a:prstGeom>
                          <a:noFill/>
                          <a:ln>
                            <a:noFill/>
                          </a:ln>
                        </pic:spPr>
                      </pic:pic>
                    </a:graphicData>
                  </a:graphic>
                </wp:inline>
              </w:drawing>
            </w:r>
          </w:p>
        </w:tc>
      </w:tr>
      <w:tr w:rsidR="00FC537F" w:rsidRPr="00942C05" w14:paraId="414BEF2C" w14:textId="77777777" w:rsidTr="00F16B37">
        <w:tc>
          <w:tcPr>
            <w:tcW w:w="1683" w:type="dxa"/>
            <w:vAlign w:val="center"/>
          </w:tcPr>
          <w:p w14:paraId="0A286C5B" w14:textId="7E1B18DD" w:rsidR="00FC537F" w:rsidRPr="00942C05" w:rsidRDefault="000563D4" w:rsidP="00345F3F">
            <w:pPr>
              <w:spacing w:after="120"/>
              <w:ind w:left="57"/>
              <w:rPr>
                <w:rFonts w:asciiTheme="majorBidi" w:hAnsiTheme="majorBidi" w:cstheme="majorBidi"/>
                <w:sz w:val="16"/>
                <w:szCs w:val="16"/>
              </w:rPr>
            </w:pPr>
            <w:hyperlink r:id="rId17" w:tooltip="Isobutylene" w:history="1">
              <w:r w:rsidR="00FC537F" w:rsidRPr="00345F3F">
                <w:rPr>
                  <w:rStyle w:val="Hyperlink"/>
                  <w:rFonts w:asciiTheme="majorBidi" w:eastAsia="Times New Roman" w:hAnsiTheme="majorBidi" w:cstheme="majorBidi"/>
                  <w:color w:val="0000FF" w:themeColor="hyperlink"/>
                  <w:lang w:val="ru-RU"/>
                </w:rPr>
                <w:t>2-methylpropène</w:t>
              </w:r>
              <w:r w:rsidR="00FC537F">
                <w:t xml:space="preserve"> </w:t>
              </w:r>
            </w:hyperlink>
          </w:p>
        </w:tc>
        <w:tc>
          <w:tcPr>
            <w:tcW w:w="2010" w:type="dxa"/>
            <w:vAlign w:val="center"/>
          </w:tcPr>
          <w:p w14:paraId="4BD18BDE" w14:textId="77777777" w:rsidR="00FC537F" w:rsidRPr="00942C05" w:rsidRDefault="00FC537F" w:rsidP="00F16B37">
            <w:pPr>
              <w:spacing w:after="120"/>
              <w:ind w:left="57" w:right="113"/>
              <w:rPr>
                <w:rFonts w:asciiTheme="majorBidi" w:hAnsiTheme="majorBidi" w:cstheme="majorBidi"/>
                <w:sz w:val="16"/>
                <w:szCs w:val="16"/>
              </w:rPr>
            </w:pPr>
            <w:r>
              <w:t xml:space="preserve">Isobutylène </w:t>
            </w:r>
          </w:p>
        </w:tc>
        <w:tc>
          <w:tcPr>
            <w:tcW w:w="3678" w:type="dxa"/>
            <w:vAlign w:val="center"/>
          </w:tcPr>
          <w:p w14:paraId="40EF8EF4" w14:textId="77777777" w:rsidR="00FC537F" w:rsidRPr="00942C05" w:rsidRDefault="00FC537F" w:rsidP="00F16B37">
            <w:pPr>
              <w:spacing w:after="120"/>
              <w:jc w:val="center"/>
              <w:rPr>
                <w:rFonts w:asciiTheme="majorBidi" w:hAnsiTheme="majorBidi" w:cstheme="majorBidi"/>
                <w:sz w:val="16"/>
                <w:szCs w:val="16"/>
                <w:lang w:val="en-GB"/>
              </w:rPr>
            </w:pPr>
            <w:r w:rsidRPr="00942C05">
              <w:rPr>
                <w:rFonts w:asciiTheme="majorBidi" w:hAnsiTheme="majorBidi" w:cstheme="majorBidi"/>
                <w:noProof/>
                <w:color w:val="0000FF"/>
                <w:sz w:val="16"/>
                <w:szCs w:val="16"/>
                <w:lang w:eastAsia="fr-CH"/>
              </w:rPr>
              <w:drawing>
                <wp:inline distT="0" distB="0" distL="0" distR="0" wp14:anchorId="3901C141" wp14:editId="135F9EA7">
                  <wp:extent cx="1382395" cy="1250950"/>
                  <wp:effectExtent l="0" t="0" r="0" b="0"/>
                  <wp:docPr id="16" name="Imagen 16" descr="Methylpropene.sv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thylpropene.sv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2395" cy="1250950"/>
                          </a:xfrm>
                          <a:prstGeom prst="rect">
                            <a:avLst/>
                          </a:prstGeom>
                          <a:noFill/>
                          <a:ln>
                            <a:noFill/>
                          </a:ln>
                        </pic:spPr>
                      </pic:pic>
                    </a:graphicData>
                  </a:graphic>
                </wp:inline>
              </w:drawing>
            </w:r>
          </w:p>
        </w:tc>
      </w:tr>
    </w:tbl>
    <w:p w14:paraId="19233E3B" w14:textId="77777777" w:rsidR="00FC537F" w:rsidRPr="00942C05" w:rsidRDefault="00FC537F" w:rsidP="00F16B37">
      <w:pPr>
        <w:pStyle w:val="SingleTxtG"/>
        <w:spacing w:before="240"/>
      </w:pPr>
      <w:r>
        <w:rPr>
          <w:lang w:val="fr-FR"/>
        </w:rPr>
        <w:t>6.</w:t>
      </w:r>
      <w:r>
        <w:rPr>
          <w:lang w:val="fr-FR"/>
        </w:rPr>
        <w:tab/>
        <w:t xml:space="preserve">Il semble que le nom </w:t>
      </w:r>
      <w:r w:rsidR="00F16B37">
        <w:rPr>
          <w:lang w:val="fr-FR"/>
        </w:rPr>
        <w:t>« </w:t>
      </w:r>
      <w:r>
        <w:rPr>
          <w:lang w:val="fr-FR"/>
        </w:rPr>
        <w:t>butylène</w:t>
      </w:r>
      <w:r w:rsidR="00F16B37">
        <w:rPr>
          <w:lang w:val="fr-FR"/>
        </w:rPr>
        <w:t> »</w:t>
      </w:r>
      <w:r>
        <w:rPr>
          <w:lang w:val="fr-FR"/>
        </w:rPr>
        <w:t xml:space="preserve"> englobe les quatre</w:t>
      </w:r>
      <w:r w:rsidR="00F16B37">
        <w:rPr>
          <w:lang w:val="fr-FR"/>
        </w:rPr>
        <w:t xml:space="preserve"> </w:t>
      </w:r>
      <w:r>
        <w:rPr>
          <w:lang w:val="fr-FR"/>
        </w:rPr>
        <w:t>isomères ; partant, il n’est pas nécessaire d’indiquer séparément les noms de ceux-ci, comme dans le RID</w:t>
      </w:r>
      <w:r w:rsidR="00973687">
        <w:rPr>
          <w:lang w:val="fr-FR"/>
        </w:rPr>
        <w:t xml:space="preserve"> et l’</w:t>
      </w:r>
      <w:r>
        <w:rPr>
          <w:lang w:val="fr-FR"/>
        </w:rPr>
        <w:t>ADR. La désignation « butylènes en mélange » englobe explicitement aussi les mélanges contenant ces isomères, mais ceux-ci sont généralement aussi visés par la désignation générique « butylène ». L’isobutylène n’est pas expressément mentionné dans le nom correspondant, dans le RID</w:t>
      </w:r>
      <w:r w:rsidR="00973687">
        <w:rPr>
          <w:lang w:val="fr-FR"/>
        </w:rPr>
        <w:t xml:space="preserve"> et l’</w:t>
      </w:r>
      <w:r>
        <w:rPr>
          <w:lang w:val="fr-FR"/>
        </w:rPr>
        <w:t>ADR, ce qui peut porter à croire qu’il n’est pas possible, au sens du RID</w:t>
      </w:r>
      <w:r w:rsidR="00973687">
        <w:rPr>
          <w:lang w:val="fr-FR"/>
        </w:rPr>
        <w:t xml:space="preserve"> et de l’</w:t>
      </w:r>
      <w:r>
        <w:rPr>
          <w:lang w:val="fr-FR"/>
        </w:rPr>
        <w:t>ADR, de transporter cette matière sous le numéro</w:t>
      </w:r>
      <w:r w:rsidR="00F16B37">
        <w:rPr>
          <w:lang w:val="fr-FR"/>
        </w:rPr>
        <w:t xml:space="preserve"> </w:t>
      </w:r>
      <w:r>
        <w:rPr>
          <w:lang w:val="fr-FR"/>
        </w:rPr>
        <w:t>ONU en question, sauf quand elle se trouve mélangée à d’autres isomères.</w:t>
      </w:r>
    </w:p>
    <w:p w14:paraId="78172FB4" w14:textId="77777777" w:rsidR="00FC537F" w:rsidRPr="00942C05" w:rsidRDefault="00FC537F" w:rsidP="00F16B37">
      <w:pPr>
        <w:pStyle w:val="SingleTxtG"/>
      </w:pPr>
      <w:r>
        <w:rPr>
          <w:lang w:val="fr-FR"/>
        </w:rPr>
        <w:t>7.</w:t>
      </w:r>
      <w:r>
        <w:rPr>
          <w:lang w:val="fr-FR"/>
        </w:rPr>
        <w:tab/>
        <w:t>Par conséquent, le texte additionnel qui figure dans le nom et la description du RID</w:t>
      </w:r>
      <w:r w:rsidR="00973687">
        <w:rPr>
          <w:lang w:val="fr-FR"/>
        </w:rPr>
        <w:t xml:space="preserve"> et de l’</w:t>
      </w:r>
      <w:r>
        <w:rPr>
          <w:lang w:val="fr-FR"/>
        </w:rPr>
        <w:t>ADR semble superflu.</w:t>
      </w:r>
    </w:p>
    <w:p w14:paraId="2C8DF72A" w14:textId="77777777" w:rsidR="00FC537F" w:rsidRPr="00942C05" w:rsidRDefault="00F16B37" w:rsidP="00F16B37">
      <w:pPr>
        <w:pStyle w:val="HChG"/>
        <w:rPr>
          <w:rFonts w:eastAsiaTheme="minorEastAsia"/>
        </w:rPr>
      </w:pPr>
      <w:r>
        <w:rPr>
          <w:lang w:val="fr-FR"/>
        </w:rPr>
        <w:tab/>
      </w:r>
      <w:r>
        <w:rPr>
          <w:lang w:val="fr-FR"/>
        </w:rPr>
        <w:tab/>
      </w:r>
      <w:r w:rsidR="00FC537F">
        <w:rPr>
          <w:lang w:val="fr-FR"/>
        </w:rPr>
        <w:t xml:space="preserve">Hafnium, zirconium et titane en poudre </w:t>
      </w:r>
      <w:r>
        <w:rPr>
          <w:lang w:val="fr-FR"/>
        </w:rPr>
        <w:br/>
      </w:r>
      <w:r w:rsidR="00FC537F">
        <w:rPr>
          <w:lang w:val="fr-FR"/>
        </w:rPr>
        <w:t>et déchets de caoutchouc</w:t>
      </w:r>
    </w:p>
    <w:p w14:paraId="5D4FD9F4" w14:textId="77777777" w:rsidR="00FC537F" w:rsidRPr="00942C05" w:rsidRDefault="00FC537F" w:rsidP="00F16B37">
      <w:pPr>
        <w:pStyle w:val="SingleTxtG"/>
      </w:pPr>
      <w:r>
        <w:rPr>
          <w:lang w:val="fr-FR"/>
        </w:rPr>
        <w:t>8.</w:t>
      </w:r>
      <w:r>
        <w:rPr>
          <w:lang w:val="fr-FR"/>
        </w:rPr>
        <w:tab/>
        <w:t>Les noms et descriptions des numéros ONU</w:t>
      </w:r>
      <w:r w:rsidR="00F16B37">
        <w:rPr>
          <w:lang w:val="fr-FR"/>
        </w:rPr>
        <w:t> </w:t>
      </w:r>
      <w:r>
        <w:rPr>
          <w:lang w:val="fr-FR"/>
        </w:rPr>
        <w:t>1326, 1345, 1352 et 1358 dans le Règlement type et le RID</w:t>
      </w:r>
      <w:r w:rsidR="00973687">
        <w:rPr>
          <w:lang w:val="fr-FR"/>
        </w:rPr>
        <w:t xml:space="preserve"> et l’</w:t>
      </w:r>
      <w:r>
        <w:rPr>
          <w:lang w:val="fr-FR"/>
        </w:rPr>
        <w:t>ADR sont les suivants</w:t>
      </w:r>
      <w:r w:rsidR="00F16B37">
        <w:rPr>
          <w:lang w:val="fr-FR"/>
        </w:rPr>
        <w:t> </w:t>
      </w:r>
      <w:r>
        <w:rPr>
          <w:lang w:val="fr-FR"/>
        </w:rPr>
        <w:t>:</w:t>
      </w:r>
    </w:p>
    <w:tbl>
      <w:tblPr>
        <w:tblStyle w:val="Grilledutableau1"/>
        <w:tblW w:w="7370" w:type="dxa"/>
        <w:tblInd w:w="1134" w:type="dxa"/>
        <w:tblLayout w:type="fixed"/>
        <w:tblLook w:val="04A0" w:firstRow="1" w:lastRow="0" w:firstColumn="1" w:lastColumn="0" w:noHBand="0" w:noVBand="1"/>
      </w:tblPr>
      <w:tblGrid>
        <w:gridCol w:w="1134"/>
        <w:gridCol w:w="3118"/>
        <w:gridCol w:w="3118"/>
      </w:tblGrid>
      <w:tr w:rsidR="00CD1988" w:rsidRPr="00CD1988" w14:paraId="39CF5600" w14:textId="77777777" w:rsidTr="00051919">
        <w:trPr>
          <w:tblHeader/>
        </w:trPr>
        <w:tc>
          <w:tcPr>
            <w:tcW w:w="1134" w:type="dxa"/>
            <w:shd w:val="clear" w:color="auto" w:fill="auto"/>
            <w:vAlign w:val="bottom"/>
          </w:tcPr>
          <w:p w14:paraId="5B693B5B" w14:textId="77777777" w:rsidR="00FC537F" w:rsidRPr="00CD1988" w:rsidRDefault="00FC537F" w:rsidP="00CD1988">
            <w:pPr>
              <w:spacing w:before="80" w:after="80" w:line="200" w:lineRule="exact"/>
              <w:ind w:left="57" w:right="113"/>
              <w:rPr>
                <w:i/>
                <w:sz w:val="16"/>
                <w:szCs w:val="16"/>
              </w:rPr>
            </w:pPr>
            <w:r w:rsidRPr="00CD1988">
              <w:rPr>
                <w:i/>
                <w:sz w:val="16"/>
              </w:rPr>
              <w:t>Numéro ONU</w:t>
            </w:r>
          </w:p>
        </w:tc>
        <w:tc>
          <w:tcPr>
            <w:tcW w:w="3119" w:type="dxa"/>
            <w:shd w:val="clear" w:color="auto" w:fill="auto"/>
            <w:vAlign w:val="bottom"/>
          </w:tcPr>
          <w:p w14:paraId="6F170A77" w14:textId="77777777" w:rsidR="00FC537F" w:rsidRPr="00CD1988" w:rsidRDefault="00FC537F" w:rsidP="00CD1988">
            <w:pPr>
              <w:spacing w:before="80" w:after="80" w:line="200" w:lineRule="exact"/>
              <w:ind w:left="57" w:right="113"/>
              <w:rPr>
                <w:i/>
                <w:sz w:val="16"/>
                <w:szCs w:val="16"/>
              </w:rPr>
            </w:pPr>
            <w:r w:rsidRPr="00CD1988">
              <w:rPr>
                <w:i/>
                <w:sz w:val="16"/>
              </w:rPr>
              <w:t>Règlement type</w:t>
            </w:r>
          </w:p>
        </w:tc>
        <w:tc>
          <w:tcPr>
            <w:tcW w:w="3119" w:type="dxa"/>
            <w:shd w:val="clear" w:color="auto" w:fill="auto"/>
            <w:vAlign w:val="bottom"/>
          </w:tcPr>
          <w:p w14:paraId="61F97376" w14:textId="77777777" w:rsidR="00FC537F" w:rsidRPr="00CD1988" w:rsidRDefault="00FC537F" w:rsidP="00CD1988">
            <w:pPr>
              <w:spacing w:before="80" w:after="80" w:line="200" w:lineRule="exact"/>
              <w:ind w:left="57" w:right="113"/>
              <w:rPr>
                <w:i/>
                <w:sz w:val="16"/>
                <w:szCs w:val="16"/>
              </w:rPr>
            </w:pPr>
            <w:r w:rsidRPr="00CD1988">
              <w:rPr>
                <w:i/>
                <w:sz w:val="16"/>
              </w:rPr>
              <w:t>RID/ADR</w:t>
            </w:r>
          </w:p>
        </w:tc>
      </w:tr>
      <w:tr w:rsidR="00CD1988" w:rsidRPr="00CD1988" w14:paraId="318CDF77" w14:textId="77777777" w:rsidTr="00051919">
        <w:tc>
          <w:tcPr>
            <w:tcW w:w="1134" w:type="dxa"/>
            <w:shd w:val="clear" w:color="auto" w:fill="auto"/>
          </w:tcPr>
          <w:p w14:paraId="62231990" w14:textId="77777777" w:rsidR="00FC537F" w:rsidRPr="00CD1988" w:rsidRDefault="00FC537F" w:rsidP="00CD1988">
            <w:pPr>
              <w:spacing w:before="40" w:after="120"/>
              <w:ind w:left="57" w:right="113"/>
              <w:rPr>
                <w:szCs w:val="16"/>
              </w:rPr>
            </w:pPr>
            <w:r w:rsidRPr="00CD1988">
              <w:t>1326</w:t>
            </w:r>
          </w:p>
        </w:tc>
        <w:tc>
          <w:tcPr>
            <w:tcW w:w="3119" w:type="dxa"/>
            <w:shd w:val="clear" w:color="auto" w:fill="auto"/>
          </w:tcPr>
          <w:p w14:paraId="779881CD" w14:textId="77777777" w:rsidR="00FC537F" w:rsidRPr="00CD1988" w:rsidRDefault="00FC537F" w:rsidP="00CD1988">
            <w:pPr>
              <w:spacing w:before="40" w:after="120"/>
              <w:ind w:left="57" w:right="113"/>
              <w:rPr>
                <w:szCs w:val="16"/>
              </w:rPr>
            </w:pPr>
            <w:r w:rsidRPr="00CD1988">
              <w:t>HAFNIUM EN POUDRE HUMIDIFIÉ avec au moins 25 % d’eau (un excès d’eau doit être apparent)</w:t>
            </w:r>
            <w:r w:rsidR="00CD1988">
              <w:t> </w:t>
            </w:r>
            <w:r w:rsidRPr="00CD1988">
              <w:t>: a) produit mécaniquement, d’une granulométrie de moins de 53 microns</w:t>
            </w:r>
            <w:r w:rsidR="00CD1988">
              <w:t> </w:t>
            </w:r>
            <w:r w:rsidRPr="00CD1988">
              <w:t>; b) produit chimiquement, d’une granulométrie de moins de 840 microns</w:t>
            </w:r>
          </w:p>
        </w:tc>
        <w:tc>
          <w:tcPr>
            <w:tcW w:w="3119" w:type="dxa"/>
            <w:shd w:val="clear" w:color="auto" w:fill="auto"/>
          </w:tcPr>
          <w:p w14:paraId="30B8832B" w14:textId="77777777" w:rsidR="00FC537F" w:rsidRPr="00CD1988" w:rsidRDefault="00FC537F" w:rsidP="00345F3F">
            <w:pPr>
              <w:spacing w:before="40" w:after="120"/>
              <w:ind w:left="57" w:right="113"/>
              <w:rPr>
                <w:szCs w:val="16"/>
              </w:rPr>
            </w:pPr>
            <w:r w:rsidRPr="00CD1988">
              <w:t>HAFNIUM EN POUDRE HUMIDIFIÉ avec au moins 25 % d’eau</w:t>
            </w:r>
            <w:r w:rsidRPr="00CD1988">
              <w:rPr>
                <w:strike/>
              </w:rPr>
              <w:t xml:space="preserve"> </w:t>
            </w:r>
            <w:r w:rsidRPr="000933EF">
              <w:rPr>
                <w:rFonts w:cstheme="minorBidi"/>
                <w:strike/>
                <w:color w:val="FF0000"/>
                <w:lang w:val="fr-CH"/>
              </w:rPr>
              <w:t>(un excès d’eau doit être apparent)</w:t>
            </w:r>
            <w:r w:rsidR="00CD1988" w:rsidRPr="000933EF">
              <w:rPr>
                <w:rFonts w:cstheme="minorBidi"/>
                <w:strike/>
                <w:color w:val="FF0000"/>
                <w:lang w:val="fr-CH"/>
              </w:rPr>
              <w:t> </w:t>
            </w:r>
            <w:r w:rsidRPr="000933EF">
              <w:rPr>
                <w:rFonts w:cstheme="minorBidi"/>
                <w:strike/>
                <w:color w:val="FF0000"/>
                <w:lang w:val="fr-CH"/>
              </w:rPr>
              <w:t>: a) produit mécaniquement, d’une granulométrie de moins de 53</w:t>
            </w:r>
            <w:r w:rsidR="00CD1988" w:rsidRPr="000933EF">
              <w:rPr>
                <w:rFonts w:cstheme="minorBidi"/>
                <w:strike/>
                <w:color w:val="FF0000"/>
                <w:lang w:val="fr-CH"/>
              </w:rPr>
              <w:t> </w:t>
            </w:r>
            <w:r w:rsidRPr="000933EF">
              <w:rPr>
                <w:rFonts w:cstheme="minorBidi"/>
                <w:strike/>
                <w:color w:val="FF0000"/>
                <w:lang w:val="fr-CH"/>
              </w:rPr>
              <w:t>microns</w:t>
            </w:r>
            <w:r w:rsidR="00CD1988" w:rsidRPr="000933EF">
              <w:rPr>
                <w:rFonts w:cstheme="minorBidi"/>
                <w:strike/>
                <w:color w:val="FF0000"/>
                <w:lang w:val="fr-CH"/>
              </w:rPr>
              <w:t> </w:t>
            </w:r>
            <w:r w:rsidRPr="000933EF">
              <w:rPr>
                <w:rFonts w:cstheme="minorBidi"/>
                <w:strike/>
                <w:color w:val="FF0000"/>
                <w:lang w:val="fr-CH"/>
              </w:rPr>
              <w:t>; b)</w:t>
            </w:r>
            <w:r w:rsidR="00CD1988" w:rsidRPr="000933EF">
              <w:rPr>
                <w:rFonts w:cstheme="minorBidi"/>
                <w:strike/>
                <w:color w:val="FF0000"/>
                <w:lang w:val="fr-CH"/>
              </w:rPr>
              <w:t> </w:t>
            </w:r>
            <w:r w:rsidRPr="000933EF">
              <w:rPr>
                <w:rFonts w:cstheme="minorBidi"/>
                <w:strike/>
                <w:color w:val="FF0000"/>
                <w:lang w:val="fr-CH"/>
              </w:rPr>
              <w:t>produit chimiquement, d’une granulométrie de moins de 840</w:t>
            </w:r>
            <w:r w:rsidR="00CD1988" w:rsidRPr="000933EF">
              <w:rPr>
                <w:rFonts w:cstheme="minorBidi"/>
                <w:strike/>
                <w:color w:val="FF0000"/>
                <w:lang w:val="fr-CH"/>
              </w:rPr>
              <w:t> </w:t>
            </w:r>
            <w:r w:rsidRPr="000933EF">
              <w:rPr>
                <w:rFonts w:cstheme="minorBidi"/>
                <w:strike/>
                <w:color w:val="FF0000"/>
                <w:lang w:val="fr-CH"/>
              </w:rPr>
              <w:t>microns</w:t>
            </w:r>
          </w:p>
        </w:tc>
      </w:tr>
      <w:tr w:rsidR="00CD1988" w:rsidRPr="00CD1988" w14:paraId="54150446" w14:textId="77777777" w:rsidTr="00051919">
        <w:tc>
          <w:tcPr>
            <w:tcW w:w="1134" w:type="dxa"/>
            <w:shd w:val="clear" w:color="auto" w:fill="auto"/>
          </w:tcPr>
          <w:p w14:paraId="04659FB7" w14:textId="77777777" w:rsidR="00FC537F" w:rsidRPr="00CD1988" w:rsidRDefault="00FC537F" w:rsidP="00CD1988">
            <w:pPr>
              <w:keepNext/>
              <w:spacing w:before="40" w:after="120"/>
              <w:ind w:left="57" w:right="113"/>
              <w:rPr>
                <w:szCs w:val="16"/>
              </w:rPr>
            </w:pPr>
            <w:r w:rsidRPr="00CD1988">
              <w:lastRenderedPageBreak/>
              <w:t>1345</w:t>
            </w:r>
          </w:p>
        </w:tc>
        <w:tc>
          <w:tcPr>
            <w:tcW w:w="3119" w:type="dxa"/>
            <w:shd w:val="clear" w:color="auto" w:fill="auto"/>
          </w:tcPr>
          <w:p w14:paraId="49ACEDE5" w14:textId="77777777" w:rsidR="00FC537F" w:rsidRPr="00CD1988" w:rsidRDefault="00FC537F" w:rsidP="00CD1988">
            <w:pPr>
              <w:keepNext/>
              <w:spacing w:before="40" w:after="120"/>
              <w:ind w:left="57" w:right="113"/>
              <w:rPr>
                <w:szCs w:val="16"/>
              </w:rPr>
            </w:pPr>
            <w:r w:rsidRPr="00CD1988">
              <w:t>CHUTES DE CAOUTCHOUC ou DÉCHETS DE CAOUTCHOUC, sous forme de poudre ou de grains, dont l’indice granulométrique ne dépasse pas 840 microns et avec une teneur en caoutchouc supérieure à 45 %</w:t>
            </w:r>
          </w:p>
        </w:tc>
        <w:tc>
          <w:tcPr>
            <w:tcW w:w="3119" w:type="dxa"/>
            <w:shd w:val="clear" w:color="auto" w:fill="auto"/>
          </w:tcPr>
          <w:p w14:paraId="0A2F4FCC" w14:textId="77777777" w:rsidR="00FC537F" w:rsidRPr="00CD1988" w:rsidRDefault="00FC537F" w:rsidP="00CD1988">
            <w:pPr>
              <w:keepNext/>
              <w:spacing w:before="40" w:after="120"/>
              <w:ind w:left="57" w:right="113"/>
              <w:rPr>
                <w:szCs w:val="16"/>
              </w:rPr>
            </w:pPr>
            <w:r w:rsidRPr="00CD1988">
              <w:t>CHUTES DE CAOUTCHOUC ou DÉCHETS DE CAOUTCHOUC, sous forme de poudre ou de grains</w:t>
            </w:r>
            <w:r w:rsidRPr="00345F3F">
              <w:rPr>
                <w:rFonts w:cstheme="minorBidi"/>
                <w:strike/>
                <w:color w:val="FF0000"/>
                <w:lang w:val="fr-CH"/>
              </w:rPr>
              <w:t>, dont l’indice granulométrique ne dépasse pas 840</w:t>
            </w:r>
            <w:r w:rsidR="00345F3F">
              <w:rPr>
                <w:rFonts w:cstheme="minorBidi"/>
                <w:strike/>
                <w:color w:val="FF0000"/>
                <w:lang w:val="fr-CH"/>
              </w:rPr>
              <w:t> </w:t>
            </w:r>
            <w:r w:rsidRPr="00345F3F">
              <w:rPr>
                <w:rFonts w:cstheme="minorBidi"/>
                <w:strike/>
                <w:color w:val="FF0000"/>
                <w:lang w:val="fr-CH"/>
              </w:rPr>
              <w:t>microns et avec une teneur en caoutchouc supérieure à 45</w:t>
            </w:r>
            <w:r w:rsidR="00345F3F">
              <w:rPr>
                <w:rFonts w:cstheme="minorBidi"/>
                <w:strike/>
                <w:color w:val="FF0000"/>
                <w:lang w:val="fr-CH"/>
              </w:rPr>
              <w:t> </w:t>
            </w:r>
            <w:r w:rsidRPr="00345F3F">
              <w:rPr>
                <w:rFonts w:cstheme="minorBidi"/>
                <w:strike/>
                <w:color w:val="FF0000"/>
                <w:lang w:val="fr-CH"/>
              </w:rPr>
              <w:t>%</w:t>
            </w:r>
          </w:p>
        </w:tc>
      </w:tr>
      <w:tr w:rsidR="00CD1988" w:rsidRPr="00CD1988" w14:paraId="2D3AD8B9" w14:textId="77777777" w:rsidTr="00051919">
        <w:tc>
          <w:tcPr>
            <w:tcW w:w="1134" w:type="dxa"/>
            <w:shd w:val="clear" w:color="auto" w:fill="auto"/>
          </w:tcPr>
          <w:p w14:paraId="4551CFFD" w14:textId="77777777" w:rsidR="00FC537F" w:rsidRPr="00CD1988" w:rsidRDefault="00FC537F" w:rsidP="00CD1988">
            <w:pPr>
              <w:spacing w:before="40" w:after="120"/>
              <w:ind w:left="57" w:right="113"/>
              <w:rPr>
                <w:szCs w:val="16"/>
              </w:rPr>
            </w:pPr>
            <w:r w:rsidRPr="00CD1988">
              <w:t>1352</w:t>
            </w:r>
          </w:p>
        </w:tc>
        <w:tc>
          <w:tcPr>
            <w:tcW w:w="3119" w:type="dxa"/>
            <w:shd w:val="clear" w:color="auto" w:fill="auto"/>
          </w:tcPr>
          <w:p w14:paraId="6EA4FF97" w14:textId="77777777" w:rsidR="00FC537F" w:rsidRPr="00CD1988" w:rsidRDefault="00FC537F" w:rsidP="00CD1988">
            <w:pPr>
              <w:spacing w:before="40" w:after="120"/>
              <w:ind w:left="57" w:right="113"/>
              <w:rPr>
                <w:szCs w:val="16"/>
              </w:rPr>
            </w:pPr>
            <w:r w:rsidRPr="00CD1988">
              <w:t>TITANE EN POUDRE HUMIDIFIÉ avec au moins 25</w:t>
            </w:r>
            <w:r w:rsidR="00CD1988">
              <w:t> </w:t>
            </w:r>
            <w:r w:rsidRPr="00CD1988">
              <w:t>% d’eau (un excès d’eau doit être apparent)</w:t>
            </w:r>
            <w:r w:rsidR="00CD1988">
              <w:t> </w:t>
            </w:r>
            <w:r w:rsidRPr="00CD1988">
              <w:t>: a)</w:t>
            </w:r>
            <w:r w:rsidR="00CD1988">
              <w:t> </w:t>
            </w:r>
            <w:r w:rsidRPr="00CD1988">
              <w:t>produit mécaniquement, d’une granulométrie de moins de 53</w:t>
            </w:r>
            <w:r w:rsidR="00CD1988">
              <w:t> </w:t>
            </w:r>
            <w:r w:rsidRPr="00CD1988">
              <w:t>microns</w:t>
            </w:r>
            <w:r w:rsidR="00CD1988">
              <w:t> </w:t>
            </w:r>
            <w:r w:rsidRPr="00CD1988">
              <w:t>; b)</w:t>
            </w:r>
            <w:r w:rsidR="00CD1988">
              <w:t> </w:t>
            </w:r>
            <w:r w:rsidRPr="00CD1988">
              <w:t>produit chimiquement, d’une granulométrie de moins de 840</w:t>
            </w:r>
            <w:r w:rsidR="00CD1988">
              <w:t> </w:t>
            </w:r>
            <w:r w:rsidRPr="00CD1988">
              <w:t>microns</w:t>
            </w:r>
          </w:p>
        </w:tc>
        <w:tc>
          <w:tcPr>
            <w:tcW w:w="3119" w:type="dxa"/>
            <w:shd w:val="clear" w:color="auto" w:fill="auto"/>
          </w:tcPr>
          <w:p w14:paraId="4AEE2629" w14:textId="77777777" w:rsidR="00FC537F" w:rsidRPr="00CD1988" w:rsidRDefault="00FC537F" w:rsidP="00CD1988">
            <w:pPr>
              <w:spacing w:before="40" w:after="120"/>
              <w:ind w:left="57" w:right="113"/>
              <w:rPr>
                <w:szCs w:val="16"/>
              </w:rPr>
            </w:pPr>
            <w:r w:rsidRPr="00CD1988">
              <w:t>TITANE EN POUDRE HUMIDIFIÉ avec au moins 25</w:t>
            </w:r>
            <w:r w:rsidR="00CD1988">
              <w:t> </w:t>
            </w:r>
            <w:r w:rsidRPr="00CD1988">
              <w:t>% d’eau</w:t>
            </w:r>
            <w:r w:rsidRPr="00345F3F">
              <w:t xml:space="preserve"> </w:t>
            </w:r>
            <w:r w:rsidRPr="00345F3F">
              <w:rPr>
                <w:rFonts w:cstheme="minorBidi"/>
                <w:strike/>
                <w:color w:val="FF0000"/>
                <w:lang w:val="fr-CH"/>
              </w:rPr>
              <w:t>(un excès d’eau doit être apparent)</w:t>
            </w:r>
            <w:r w:rsidR="00CD1988" w:rsidRPr="00345F3F">
              <w:rPr>
                <w:rFonts w:cstheme="minorBidi"/>
                <w:strike/>
                <w:color w:val="FF0000"/>
                <w:lang w:val="fr-CH"/>
              </w:rPr>
              <w:t> </w:t>
            </w:r>
            <w:r w:rsidRPr="00345F3F">
              <w:rPr>
                <w:rFonts w:cstheme="minorBidi"/>
                <w:strike/>
                <w:color w:val="FF0000"/>
                <w:lang w:val="fr-CH"/>
              </w:rPr>
              <w:t>: a)</w:t>
            </w:r>
            <w:r w:rsidR="00CD1988" w:rsidRPr="00345F3F">
              <w:rPr>
                <w:rFonts w:cstheme="minorBidi"/>
                <w:strike/>
                <w:color w:val="FF0000"/>
                <w:lang w:val="fr-CH"/>
              </w:rPr>
              <w:t> </w:t>
            </w:r>
            <w:r w:rsidRPr="00345F3F">
              <w:rPr>
                <w:rFonts w:cstheme="minorBidi"/>
                <w:strike/>
                <w:color w:val="FF0000"/>
                <w:lang w:val="fr-CH"/>
              </w:rPr>
              <w:t>produit mécaniquement, d’une granulométrie de moins de 53</w:t>
            </w:r>
            <w:r w:rsidR="00CD1988" w:rsidRPr="00345F3F">
              <w:rPr>
                <w:rFonts w:cstheme="minorBidi"/>
                <w:strike/>
                <w:color w:val="FF0000"/>
                <w:lang w:val="fr-CH"/>
              </w:rPr>
              <w:t> </w:t>
            </w:r>
            <w:r w:rsidRPr="00345F3F">
              <w:rPr>
                <w:rFonts w:cstheme="minorBidi"/>
                <w:strike/>
                <w:color w:val="FF0000"/>
                <w:lang w:val="fr-CH"/>
              </w:rPr>
              <w:t>microns</w:t>
            </w:r>
            <w:r w:rsidR="00CD1988" w:rsidRPr="00345F3F">
              <w:rPr>
                <w:rFonts w:cstheme="minorBidi"/>
                <w:strike/>
                <w:color w:val="FF0000"/>
                <w:lang w:val="fr-CH"/>
              </w:rPr>
              <w:t> </w:t>
            </w:r>
            <w:r w:rsidRPr="00345F3F">
              <w:rPr>
                <w:rFonts w:cstheme="minorBidi"/>
                <w:strike/>
                <w:color w:val="FF0000"/>
                <w:lang w:val="fr-CH"/>
              </w:rPr>
              <w:t>; b)</w:t>
            </w:r>
            <w:r w:rsidR="00CD1988" w:rsidRPr="00345F3F">
              <w:rPr>
                <w:rFonts w:cstheme="minorBidi"/>
                <w:strike/>
                <w:color w:val="FF0000"/>
                <w:lang w:val="fr-CH"/>
              </w:rPr>
              <w:t> </w:t>
            </w:r>
            <w:r w:rsidRPr="00345F3F">
              <w:rPr>
                <w:rFonts w:cstheme="minorBidi"/>
                <w:strike/>
                <w:color w:val="FF0000"/>
                <w:lang w:val="fr-CH"/>
              </w:rPr>
              <w:t>produit chimiquement, d’une granulométrie de moins de 840</w:t>
            </w:r>
            <w:r w:rsidR="00CD1988" w:rsidRPr="00345F3F">
              <w:rPr>
                <w:rFonts w:cstheme="minorBidi"/>
                <w:strike/>
                <w:color w:val="FF0000"/>
                <w:lang w:val="fr-CH"/>
              </w:rPr>
              <w:t> </w:t>
            </w:r>
            <w:r w:rsidRPr="00345F3F">
              <w:rPr>
                <w:rFonts w:cstheme="minorBidi"/>
                <w:strike/>
                <w:color w:val="FF0000"/>
                <w:lang w:val="fr-CH"/>
              </w:rPr>
              <w:t>microns</w:t>
            </w:r>
          </w:p>
        </w:tc>
      </w:tr>
      <w:tr w:rsidR="00CD1988" w:rsidRPr="00CD1988" w14:paraId="6FBBB338" w14:textId="77777777" w:rsidTr="00051919">
        <w:tc>
          <w:tcPr>
            <w:tcW w:w="1134" w:type="dxa"/>
            <w:shd w:val="clear" w:color="auto" w:fill="auto"/>
          </w:tcPr>
          <w:p w14:paraId="45990547" w14:textId="77777777" w:rsidR="00FC537F" w:rsidRPr="00CD1988" w:rsidRDefault="00FC537F" w:rsidP="00CD1988">
            <w:pPr>
              <w:spacing w:before="40" w:after="120"/>
              <w:ind w:left="57" w:right="113"/>
              <w:rPr>
                <w:szCs w:val="16"/>
              </w:rPr>
            </w:pPr>
            <w:r w:rsidRPr="00CD1988">
              <w:t>1358</w:t>
            </w:r>
          </w:p>
        </w:tc>
        <w:tc>
          <w:tcPr>
            <w:tcW w:w="3119" w:type="dxa"/>
            <w:shd w:val="clear" w:color="auto" w:fill="auto"/>
          </w:tcPr>
          <w:p w14:paraId="1A6C46FE" w14:textId="77777777" w:rsidR="00FC537F" w:rsidRPr="00CD1988" w:rsidRDefault="00FC537F" w:rsidP="00CD1988">
            <w:pPr>
              <w:spacing w:before="40" w:after="120"/>
              <w:ind w:left="57" w:right="113"/>
              <w:rPr>
                <w:szCs w:val="16"/>
              </w:rPr>
            </w:pPr>
            <w:r w:rsidRPr="00CD1988">
              <w:t>ZIRCONIUM EN POUDRE HUMIDIFIÉ avec au moins 25</w:t>
            </w:r>
            <w:r w:rsidR="00CD1988">
              <w:t> </w:t>
            </w:r>
            <w:r w:rsidRPr="00CD1988">
              <w:t>% d’eau (un excès d’eau doit être apparent)</w:t>
            </w:r>
            <w:r w:rsidR="00CD1988">
              <w:t> </w:t>
            </w:r>
            <w:r w:rsidRPr="00CD1988">
              <w:t>: a)</w:t>
            </w:r>
            <w:r w:rsidR="00CD1988">
              <w:t> </w:t>
            </w:r>
            <w:r w:rsidRPr="00CD1988">
              <w:t>produit mécaniquement, d’une granulométrie de moins de 53</w:t>
            </w:r>
            <w:r w:rsidR="00CD1988">
              <w:t> </w:t>
            </w:r>
            <w:r w:rsidRPr="00CD1988">
              <w:t>microns</w:t>
            </w:r>
            <w:r w:rsidR="00CD1988">
              <w:t> </w:t>
            </w:r>
            <w:r w:rsidRPr="00CD1988">
              <w:t>; b)</w:t>
            </w:r>
            <w:r w:rsidR="00CD1988">
              <w:t> </w:t>
            </w:r>
            <w:r w:rsidRPr="00CD1988">
              <w:t>produit chimiquement, d’une granulométrie de moins de 840</w:t>
            </w:r>
            <w:r w:rsidR="00CD1988">
              <w:t> </w:t>
            </w:r>
            <w:r w:rsidRPr="00CD1988">
              <w:t>microns</w:t>
            </w:r>
          </w:p>
        </w:tc>
        <w:tc>
          <w:tcPr>
            <w:tcW w:w="3119" w:type="dxa"/>
            <w:shd w:val="clear" w:color="auto" w:fill="auto"/>
          </w:tcPr>
          <w:p w14:paraId="46EC3BB7" w14:textId="77777777" w:rsidR="00FC537F" w:rsidRPr="00CD1988" w:rsidRDefault="00FC537F" w:rsidP="00CD1988">
            <w:pPr>
              <w:spacing w:before="40" w:after="120"/>
              <w:ind w:left="57" w:right="113"/>
              <w:rPr>
                <w:szCs w:val="16"/>
              </w:rPr>
            </w:pPr>
            <w:r w:rsidRPr="00CD1988">
              <w:t>ZIRCONIUM EN POUDRE HUMIDIFIÉ avec au moins 25</w:t>
            </w:r>
            <w:r w:rsidR="00CD1988">
              <w:t> </w:t>
            </w:r>
            <w:r w:rsidRPr="00CD1988">
              <w:t>% d’eau</w:t>
            </w:r>
            <w:r w:rsidRPr="00345F3F">
              <w:t xml:space="preserve"> </w:t>
            </w:r>
            <w:r w:rsidRPr="00345F3F">
              <w:rPr>
                <w:rFonts w:cstheme="minorBidi"/>
                <w:strike/>
                <w:color w:val="FF0000"/>
                <w:lang w:val="fr-CH"/>
              </w:rPr>
              <w:t>(un excès d’eau doit être apparent)</w:t>
            </w:r>
            <w:r w:rsidR="00CD1988" w:rsidRPr="00345F3F">
              <w:rPr>
                <w:rFonts w:cstheme="minorBidi"/>
                <w:strike/>
                <w:color w:val="FF0000"/>
                <w:lang w:val="fr-CH"/>
              </w:rPr>
              <w:t> </w:t>
            </w:r>
            <w:r w:rsidRPr="00345F3F">
              <w:rPr>
                <w:rFonts w:cstheme="minorBidi"/>
                <w:strike/>
                <w:color w:val="FF0000"/>
                <w:lang w:val="fr-CH"/>
              </w:rPr>
              <w:t>: a)</w:t>
            </w:r>
            <w:r w:rsidR="00CD1988" w:rsidRPr="00345F3F">
              <w:rPr>
                <w:rFonts w:cstheme="minorBidi"/>
                <w:strike/>
                <w:color w:val="FF0000"/>
                <w:lang w:val="fr-CH"/>
              </w:rPr>
              <w:t> </w:t>
            </w:r>
            <w:r w:rsidRPr="00345F3F">
              <w:rPr>
                <w:rFonts w:cstheme="minorBidi"/>
                <w:strike/>
                <w:color w:val="FF0000"/>
                <w:lang w:val="fr-CH"/>
              </w:rPr>
              <w:t>produit mécaniquement, d’une granulométrie de moins de 53</w:t>
            </w:r>
            <w:r w:rsidR="00CD1988" w:rsidRPr="00345F3F">
              <w:rPr>
                <w:rFonts w:cstheme="minorBidi"/>
                <w:strike/>
                <w:color w:val="FF0000"/>
                <w:lang w:val="fr-CH"/>
              </w:rPr>
              <w:t> </w:t>
            </w:r>
            <w:r w:rsidRPr="00345F3F">
              <w:rPr>
                <w:rFonts w:cstheme="minorBidi"/>
                <w:strike/>
                <w:color w:val="FF0000"/>
                <w:lang w:val="fr-CH"/>
              </w:rPr>
              <w:t>microns</w:t>
            </w:r>
            <w:r w:rsidR="00CD1988" w:rsidRPr="00345F3F">
              <w:rPr>
                <w:rFonts w:cstheme="minorBidi"/>
                <w:strike/>
                <w:color w:val="FF0000"/>
                <w:lang w:val="fr-CH"/>
              </w:rPr>
              <w:t> </w:t>
            </w:r>
            <w:r w:rsidRPr="00345F3F">
              <w:rPr>
                <w:rFonts w:cstheme="minorBidi"/>
                <w:strike/>
                <w:color w:val="FF0000"/>
                <w:lang w:val="fr-CH"/>
              </w:rPr>
              <w:t>; b)</w:t>
            </w:r>
            <w:r w:rsidR="00CD1988" w:rsidRPr="00345F3F">
              <w:rPr>
                <w:rFonts w:cstheme="minorBidi"/>
                <w:strike/>
                <w:color w:val="FF0000"/>
                <w:lang w:val="fr-CH"/>
              </w:rPr>
              <w:t> </w:t>
            </w:r>
            <w:r w:rsidRPr="00345F3F">
              <w:rPr>
                <w:rFonts w:cstheme="minorBidi"/>
                <w:strike/>
                <w:color w:val="FF0000"/>
                <w:lang w:val="fr-CH"/>
              </w:rPr>
              <w:t>produit chimiquement, d’une granulométrie de moins de 840</w:t>
            </w:r>
            <w:r w:rsidR="00CD1988" w:rsidRPr="00345F3F">
              <w:rPr>
                <w:rFonts w:cstheme="minorBidi"/>
                <w:strike/>
                <w:color w:val="FF0000"/>
                <w:lang w:val="fr-CH"/>
              </w:rPr>
              <w:t> </w:t>
            </w:r>
            <w:r w:rsidRPr="00345F3F">
              <w:rPr>
                <w:rFonts w:cstheme="minorBidi"/>
                <w:strike/>
                <w:color w:val="FF0000"/>
                <w:lang w:val="fr-CH"/>
              </w:rPr>
              <w:t>microns</w:t>
            </w:r>
          </w:p>
        </w:tc>
      </w:tr>
    </w:tbl>
    <w:p w14:paraId="0ED76016" w14:textId="77777777" w:rsidR="00FC537F" w:rsidRPr="00942C05" w:rsidRDefault="00FC537F" w:rsidP="004843A6">
      <w:pPr>
        <w:pStyle w:val="SingleTxtG"/>
        <w:spacing w:before="240"/>
      </w:pPr>
      <w:r>
        <w:rPr>
          <w:lang w:val="fr-FR"/>
        </w:rPr>
        <w:t>9.</w:t>
      </w:r>
      <w:r>
        <w:rPr>
          <w:lang w:val="fr-FR"/>
        </w:rPr>
        <w:tab/>
        <w:t>Dans tous les cas précités, les matières concernées sont classées dans le RID</w:t>
      </w:r>
      <w:r w:rsidR="00973687">
        <w:rPr>
          <w:lang w:val="fr-FR"/>
        </w:rPr>
        <w:t xml:space="preserve"> et l’</w:t>
      </w:r>
      <w:r>
        <w:rPr>
          <w:lang w:val="fr-FR"/>
        </w:rPr>
        <w:t xml:space="preserve">ADR indépendamment de leur granulométrie, tandis que, dans le Règlement type, seules sont visées les matières qui présentent apparemment le plus grand danger. </w:t>
      </w:r>
    </w:p>
    <w:p w14:paraId="778DDF77" w14:textId="77777777" w:rsidR="00FC537F" w:rsidRPr="00942C05" w:rsidRDefault="00FC537F" w:rsidP="004843A6">
      <w:pPr>
        <w:pStyle w:val="SingleTxtG"/>
      </w:pPr>
      <w:r>
        <w:rPr>
          <w:lang w:val="fr-FR"/>
        </w:rPr>
        <w:t>10.</w:t>
      </w:r>
      <w:r>
        <w:rPr>
          <w:lang w:val="fr-FR"/>
        </w:rPr>
        <w:tab/>
        <w:t>Dans les autres modes de transport, les numéros ONU ont le même nom que dans le Règlement type. Les descriptions données dans le RID</w:t>
      </w:r>
      <w:r w:rsidR="00973687">
        <w:rPr>
          <w:lang w:val="fr-FR"/>
        </w:rPr>
        <w:t xml:space="preserve"> et l’</w:t>
      </w:r>
      <w:r>
        <w:rPr>
          <w:lang w:val="fr-FR"/>
        </w:rPr>
        <w:t>ADR sont applicables à un plus grand nombre de cas que les descriptions qu’on trouve dans le Règlement type, ce qui peut entraîner des incohérences.</w:t>
      </w:r>
    </w:p>
    <w:p w14:paraId="18C2D045" w14:textId="77777777" w:rsidR="00FC537F" w:rsidRPr="00942C05" w:rsidRDefault="004843A6" w:rsidP="004843A6">
      <w:pPr>
        <w:pStyle w:val="HChG"/>
        <w:rPr>
          <w:rFonts w:eastAsiaTheme="minorEastAsia"/>
        </w:rPr>
      </w:pPr>
      <w:r>
        <w:rPr>
          <w:lang w:val="fr-FR"/>
        </w:rPr>
        <w:tab/>
      </w:r>
      <w:r>
        <w:rPr>
          <w:lang w:val="fr-FR"/>
        </w:rPr>
        <w:tab/>
        <w:t>N</w:t>
      </w:r>
      <w:r w:rsidR="00FC537F" w:rsidRPr="004843A6">
        <w:rPr>
          <w:vertAlign w:val="superscript"/>
          <w:lang w:val="fr-FR"/>
        </w:rPr>
        <w:t>o</w:t>
      </w:r>
      <w:r w:rsidR="00FC537F">
        <w:rPr>
          <w:lang w:val="fr-FR"/>
        </w:rPr>
        <w:t> ONU 2015 peroxyde d’hydrogène</w:t>
      </w:r>
    </w:p>
    <w:p w14:paraId="04BC9A3F" w14:textId="77777777" w:rsidR="00FC537F" w:rsidRPr="00942C05" w:rsidRDefault="00FC537F" w:rsidP="004843A6">
      <w:pPr>
        <w:pStyle w:val="SingleTxtG"/>
      </w:pPr>
      <w:r>
        <w:rPr>
          <w:lang w:val="fr-FR"/>
        </w:rPr>
        <w:t>11.</w:t>
      </w:r>
      <w:r>
        <w:rPr>
          <w:lang w:val="fr-FR"/>
        </w:rPr>
        <w:tab/>
        <w:t>En ce qui concerne le peroxyde d’hydrogène, on trouve deux rubriques différentes dans le RID</w:t>
      </w:r>
      <w:r w:rsidR="00973687">
        <w:rPr>
          <w:lang w:val="fr-FR"/>
        </w:rPr>
        <w:t xml:space="preserve"> et l’</w:t>
      </w:r>
      <w:r>
        <w:rPr>
          <w:lang w:val="fr-FR"/>
        </w:rPr>
        <w:t>ADR, pour lesquelles existent deux sous-catégories, à savoir la solution dont la teneur en peroxyde d’hydrogène est comprise entre 60 et 70</w:t>
      </w:r>
      <w:r w:rsidR="004843A6">
        <w:rPr>
          <w:lang w:val="fr-FR"/>
        </w:rPr>
        <w:t> </w:t>
      </w:r>
      <w:r>
        <w:rPr>
          <w:lang w:val="fr-FR"/>
        </w:rPr>
        <w:t>% et celle dont la teneur en peroxyde d’hydrogène est supérieure à 70</w:t>
      </w:r>
      <w:r w:rsidR="004843A6">
        <w:rPr>
          <w:lang w:val="fr-FR"/>
        </w:rPr>
        <w:t> </w:t>
      </w:r>
      <w:r>
        <w:rPr>
          <w:lang w:val="fr-FR"/>
        </w:rPr>
        <w:t>%. De plus, cette rubrique n’est applicable qu’au peroxyde d’hydrogène transporté en solution, et non sous sa forme stabilisée :</w:t>
      </w:r>
    </w:p>
    <w:tbl>
      <w:tblPr>
        <w:tblStyle w:val="Grilledutableau1"/>
        <w:tblW w:w="7370" w:type="dxa"/>
        <w:tblInd w:w="1134" w:type="dxa"/>
        <w:tblLayout w:type="fixed"/>
        <w:tblLook w:val="04A0" w:firstRow="1" w:lastRow="0" w:firstColumn="1" w:lastColumn="0" w:noHBand="0" w:noVBand="1"/>
      </w:tblPr>
      <w:tblGrid>
        <w:gridCol w:w="1134"/>
        <w:gridCol w:w="3118"/>
        <w:gridCol w:w="3118"/>
      </w:tblGrid>
      <w:tr w:rsidR="00EC27EC" w:rsidRPr="00EC27EC" w14:paraId="64D909B3" w14:textId="77777777" w:rsidTr="00051919">
        <w:trPr>
          <w:tblHeader/>
        </w:trPr>
        <w:tc>
          <w:tcPr>
            <w:tcW w:w="1134" w:type="dxa"/>
            <w:shd w:val="clear" w:color="auto" w:fill="auto"/>
            <w:vAlign w:val="bottom"/>
          </w:tcPr>
          <w:p w14:paraId="527618AF" w14:textId="77777777" w:rsidR="00FC537F" w:rsidRPr="00EC27EC" w:rsidRDefault="00FC537F" w:rsidP="00EC27EC">
            <w:pPr>
              <w:spacing w:before="80" w:after="80" w:line="200" w:lineRule="exact"/>
              <w:ind w:left="57" w:right="113"/>
              <w:rPr>
                <w:i/>
                <w:sz w:val="16"/>
                <w:szCs w:val="16"/>
              </w:rPr>
            </w:pPr>
            <w:r w:rsidRPr="00EC27EC">
              <w:rPr>
                <w:i/>
                <w:sz w:val="16"/>
              </w:rPr>
              <w:t>Numéro ONU</w:t>
            </w:r>
          </w:p>
        </w:tc>
        <w:tc>
          <w:tcPr>
            <w:tcW w:w="3119" w:type="dxa"/>
            <w:shd w:val="clear" w:color="auto" w:fill="auto"/>
            <w:vAlign w:val="bottom"/>
          </w:tcPr>
          <w:p w14:paraId="179DDB73" w14:textId="77777777" w:rsidR="00FC537F" w:rsidRPr="00EC27EC" w:rsidRDefault="00FC537F" w:rsidP="00EC27EC">
            <w:pPr>
              <w:spacing w:before="80" w:after="80" w:line="200" w:lineRule="exact"/>
              <w:ind w:left="57" w:right="113"/>
              <w:rPr>
                <w:i/>
                <w:sz w:val="16"/>
                <w:szCs w:val="16"/>
              </w:rPr>
            </w:pPr>
            <w:r w:rsidRPr="00EC27EC">
              <w:rPr>
                <w:i/>
                <w:sz w:val="16"/>
              </w:rPr>
              <w:t>Règlement type</w:t>
            </w:r>
          </w:p>
        </w:tc>
        <w:tc>
          <w:tcPr>
            <w:tcW w:w="3119" w:type="dxa"/>
            <w:shd w:val="clear" w:color="auto" w:fill="auto"/>
            <w:vAlign w:val="bottom"/>
          </w:tcPr>
          <w:p w14:paraId="1DF89782" w14:textId="77777777" w:rsidR="00FC537F" w:rsidRPr="00EC27EC" w:rsidRDefault="00FC537F" w:rsidP="00EC27EC">
            <w:pPr>
              <w:spacing w:before="80" w:after="80" w:line="200" w:lineRule="exact"/>
              <w:ind w:left="57" w:right="113"/>
              <w:rPr>
                <w:i/>
                <w:sz w:val="16"/>
                <w:szCs w:val="16"/>
              </w:rPr>
            </w:pPr>
            <w:r w:rsidRPr="00EC27EC">
              <w:rPr>
                <w:i/>
                <w:sz w:val="16"/>
              </w:rPr>
              <w:t>RID/ADR</w:t>
            </w:r>
          </w:p>
        </w:tc>
      </w:tr>
      <w:tr w:rsidR="00EC27EC" w:rsidRPr="00EC27EC" w14:paraId="38EF8686" w14:textId="77777777" w:rsidTr="00051919">
        <w:tc>
          <w:tcPr>
            <w:tcW w:w="1134" w:type="dxa"/>
            <w:shd w:val="clear" w:color="auto" w:fill="auto"/>
          </w:tcPr>
          <w:p w14:paraId="7556100F" w14:textId="77777777" w:rsidR="00FC537F" w:rsidRPr="00EC27EC" w:rsidRDefault="00FC537F" w:rsidP="00EC27EC">
            <w:pPr>
              <w:spacing w:before="40" w:after="120"/>
              <w:ind w:left="57" w:right="113"/>
              <w:rPr>
                <w:szCs w:val="16"/>
              </w:rPr>
            </w:pPr>
            <w:r w:rsidRPr="00EC27EC">
              <w:t>2015</w:t>
            </w:r>
          </w:p>
        </w:tc>
        <w:tc>
          <w:tcPr>
            <w:tcW w:w="3119" w:type="dxa"/>
            <w:shd w:val="clear" w:color="auto" w:fill="auto"/>
          </w:tcPr>
          <w:p w14:paraId="01B30F35" w14:textId="77777777" w:rsidR="00FC537F" w:rsidRPr="00EC27EC" w:rsidRDefault="00FC537F" w:rsidP="00EC27EC">
            <w:pPr>
              <w:spacing w:before="40" w:after="120"/>
              <w:ind w:left="57" w:right="113"/>
              <w:rPr>
                <w:szCs w:val="16"/>
              </w:rPr>
            </w:pPr>
            <w:r w:rsidRPr="00EC27EC">
              <w:t>PEROXYDE D’HYDROGÈNE STABILISÉ ou PEROXYDE D’HYDROGÈNE EN SOLUTION AQUEUSE STABILISÉE contenant plus de 60 % de peroxyde d’hydrogène</w:t>
            </w:r>
          </w:p>
        </w:tc>
        <w:tc>
          <w:tcPr>
            <w:tcW w:w="3119" w:type="dxa"/>
            <w:shd w:val="clear" w:color="auto" w:fill="auto"/>
          </w:tcPr>
          <w:p w14:paraId="4D5B0C31" w14:textId="77777777" w:rsidR="00FC537F" w:rsidRPr="00EC27EC" w:rsidRDefault="00FC537F" w:rsidP="00EC27EC">
            <w:pPr>
              <w:spacing w:before="40" w:after="120"/>
              <w:ind w:left="57" w:right="113"/>
              <w:rPr>
                <w:szCs w:val="16"/>
              </w:rPr>
            </w:pPr>
            <w:r w:rsidRPr="00051919">
              <w:rPr>
                <w:rFonts w:asciiTheme="majorBidi" w:eastAsia="Times New Roman" w:hAnsiTheme="majorBidi" w:cstheme="majorBidi"/>
                <w:strike/>
                <w:color w:val="FF0000"/>
                <w:lang w:val="fr-CH" w:eastAsia="es-ES"/>
              </w:rPr>
              <w:t>PEROXYDE D’HYDROGÈNE STABILISÉ ou</w:t>
            </w:r>
            <w:r w:rsidRPr="00EC27EC">
              <w:rPr>
                <w:strike/>
              </w:rPr>
              <w:t xml:space="preserve"> </w:t>
            </w:r>
            <w:r w:rsidRPr="00EC27EC">
              <w:t xml:space="preserve">PEROXYDE D’HYDROGÈNE EN SOLUTION AQUEUSE STABILISÉE contenant plus de </w:t>
            </w:r>
            <w:r w:rsidRPr="00051919">
              <w:rPr>
                <w:rFonts w:asciiTheme="majorBidi" w:eastAsia="Times New Roman" w:hAnsiTheme="majorBidi" w:cstheme="majorBidi"/>
                <w:strike/>
                <w:color w:val="FF0000"/>
                <w:lang w:val="fr-CH" w:eastAsia="es-ES"/>
              </w:rPr>
              <w:t xml:space="preserve">60 </w:t>
            </w:r>
            <w:r w:rsidRPr="00EC27EC">
              <w:rPr>
                <w:u w:val="single"/>
              </w:rPr>
              <w:t>70</w:t>
            </w:r>
            <w:r w:rsidR="00051919">
              <w:rPr>
                <w:u w:val="single"/>
              </w:rPr>
              <w:t> </w:t>
            </w:r>
            <w:r w:rsidRPr="00EC27EC">
              <w:t>% de peroxyde d’hydrogène</w:t>
            </w:r>
          </w:p>
        </w:tc>
      </w:tr>
      <w:tr w:rsidR="00EC27EC" w:rsidRPr="00EC27EC" w14:paraId="63382FC8" w14:textId="77777777" w:rsidTr="00051919">
        <w:tc>
          <w:tcPr>
            <w:tcW w:w="1134" w:type="dxa"/>
            <w:shd w:val="clear" w:color="auto" w:fill="auto"/>
          </w:tcPr>
          <w:p w14:paraId="5808A18A" w14:textId="77777777" w:rsidR="00FC537F" w:rsidRPr="00EC27EC" w:rsidRDefault="00FC537F" w:rsidP="00051919">
            <w:pPr>
              <w:keepNext/>
              <w:spacing w:before="40" w:after="120"/>
              <w:ind w:left="57" w:right="113"/>
              <w:rPr>
                <w:szCs w:val="16"/>
                <w:lang w:eastAsia="es-ES"/>
              </w:rPr>
            </w:pPr>
          </w:p>
        </w:tc>
        <w:tc>
          <w:tcPr>
            <w:tcW w:w="3119" w:type="dxa"/>
            <w:shd w:val="clear" w:color="auto" w:fill="auto"/>
          </w:tcPr>
          <w:p w14:paraId="5E2A0352" w14:textId="77777777" w:rsidR="00FC537F" w:rsidRPr="00EC27EC" w:rsidRDefault="00FC537F" w:rsidP="00051919">
            <w:pPr>
              <w:keepNext/>
              <w:spacing w:before="40" w:after="120"/>
              <w:ind w:left="57" w:right="113"/>
              <w:rPr>
                <w:szCs w:val="16"/>
                <w:lang w:eastAsia="es-ES"/>
              </w:rPr>
            </w:pPr>
          </w:p>
        </w:tc>
        <w:tc>
          <w:tcPr>
            <w:tcW w:w="3119" w:type="dxa"/>
            <w:shd w:val="clear" w:color="auto" w:fill="auto"/>
          </w:tcPr>
          <w:p w14:paraId="0CCE58FA" w14:textId="77777777" w:rsidR="00FC537F" w:rsidRPr="00EC27EC" w:rsidRDefault="00FC537F" w:rsidP="00051919">
            <w:pPr>
              <w:keepNext/>
              <w:spacing w:before="40" w:after="120"/>
              <w:ind w:left="57" w:right="113"/>
              <w:rPr>
                <w:szCs w:val="16"/>
              </w:rPr>
            </w:pPr>
            <w:r w:rsidRPr="00051919">
              <w:rPr>
                <w:rFonts w:asciiTheme="majorBidi" w:eastAsia="Times New Roman" w:hAnsiTheme="majorBidi" w:cstheme="majorBidi"/>
                <w:strike/>
                <w:color w:val="FF0000"/>
                <w:lang w:val="fr-CH" w:eastAsia="es-ES"/>
              </w:rPr>
              <w:t>PEROXYDE D’HYDROGÈNE STABILISÉ ou</w:t>
            </w:r>
            <w:r w:rsidRPr="00EC27EC">
              <w:rPr>
                <w:strike/>
              </w:rPr>
              <w:t xml:space="preserve"> </w:t>
            </w:r>
            <w:r w:rsidRPr="00EC27EC">
              <w:t>PEROXYDE D’HYDROGÈNE EN SOLUTION AQUEUSE STABILISÉE contenant plus de 60</w:t>
            </w:r>
            <w:r w:rsidR="00051919">
              <w:t> </w:t>
            </w:r>
            <w:r w:rsidRPr="00EC27EC">
              <w:t>% de peroxyde d’hydrogène</w:t>
            </w:r>
            <w:r w:rsidRPr="00EC27EC">
              <w:rPr>
                <w:u w:val="single"/>
              </w:rPr>
              <w:t xml:space="preserve"> </w:t>
            </w:r>
            <w:r w:rsidRPr="00051919">
              <w:rPr>
                <w:rFonts w:asciiTheme="majorBidi" w:eastAsia="Times New Roman" w:hAnsiTheme="majorBidi" w:cstheme="majorBidi"/>
                <w:color w:val="008080"/>
                <w:u w:val="single"/>
                <w:lang w:val="fr-CH" w:eastAsia="es-ES"/>
              </w:rPr>
              <w:t>mais au maximum 70</w:t>
            </w:r>
            <w:r w:rsidR="00051919">
              <w:rPr>
                <w:rFonts w:asciiTheme="majorBidi" w:eastAsia="Times New Roman" w:hAnsiTheme="majorBidi" w:cstheme="majorBidi"/>
                <w:color w:val="008080"/>
                <w:u w:val="single"/>
                <w:lang w:val="fr-CH" w:eastAsia="es-ES"/>
              </w:rPr>
              <w:t> </w:t>
            </w:r>
            <w:r w:rsidRPr="00051919">
              <w:rPr>
                <w:rFonts w:asciiTheme="majorBidi" w:eastAsia="Times New Roman" w:hAnsiTheme="majorBidi" w:cstheme="majorBidi"/>
                <w:color w:val="008080"/>
                <w:u w:val="single"/>
                <w:lang w:val="fr-CH" w:eastAsia="es-ES"/>
              </w:rPr>
              <w:t>% de peroxyde d’hydrogène</w:t>
            </w:r>
          </w:p>
        </w:tc>
      </w:tr>
    </w:tbl>
    <w:p w14:paraId="7D8DF800" w14:textId="784BAB60" w:rsidR="00FC537F" w:rsidRPr="00942C05" w:rsidRDefault="00FC537F" w:rsidP="00051919">
      <w:pPr>
        <w:pStyle w:val="SingleTxtG"/>
        <w:spacing w:before="240"/>
      </w:pPr>
      <w:r>
        <w:rPr>
          <w:lang w:val="fr-FR"/>
        </w:rPr>
        <w:t>12.</w:t>
      </w:r>
      <w:r>
        <w:rPr>
          <w:lang w:val="fr-FR"/>
        </w:rPr>
        <w:tab/>
        <w:t>Ainsi, le transport de peroxyde d’hydrogène stabilisé sous le numéro ONU 2015 est admis au titre du Règlement type mais pas au titre du RID</w:t>
      </w:r>
      <w:r w:rsidR="00832A8F">
        <w:rPr>
          <w:lang w:val="fr-FR"/>
        </w:rPr>
        <w:t xml:space="preserve"> et de l’</w:t>
      </w:r>
      <w:r>
        <w:rPr>
          <w:lang w:val="fr-FR"/>
        </w:rPr>
        <w:t>ADR ; peut-être serait-il judicieux d’admettre cette matière dans le RID</w:t>
      </w:r>
      <w:r w:rsidR="00832A8F">
        <w:rPr>
          <w:lang w:val="fr-FR"/>
        </w:rPr>
        <w:t xml:space="preserve"> et l’</w:t>
      </w:r>
      <w:r>
        <w:rPr>
          <w:lang w:val="fr-FR"/>
        </w:rPr>
        <w:t>ADR.</w:t>
      </w:r>
    </w:p>
    <w:p w14:paraId="4A700ADD" w14:textId="77777777" w:rsidR="00FC537F" w:rsidRPr="00942C05" w:rsidRDefault="00051919" w:rsidP="00051919">
      <w:pPr>
        <w:pStyle w:val="HChG"/>
        <w:rPr>
          <w:rFonts w:eastAsiaTheme="minorEastAsia"/>
        </w:rPr>
      </w:pPr>
      <w:r>
        <w:rPr>
          <w:lang w:val="fr-FR"/>
        </w:rPr>
        <w:tab/>
      </w:r>
      <w:r>
        <w:rPr>
          <w:lang w:val="fr-FR"/>
        </w:rPr>
        <w:tab/>
        <w:t>N</w:t>
      </w:r>
      <w:r w:rsidR="00FC537F" w:rsidRPr="00051919">
        <w:rPr>
          <w:vertAlign w:val="superscript"/>
          <w:lang w:val="fr-FR"/>
        </w:rPr>
        <w:t>os</w:t>
      </w:r>
      <w:r w:rsidR="00FC537F">
        <w:rPr>
          <w:lang w:val="fr-FR"/>
        </w:rPr>
        <w:t> ONU 2071 et 2426 Nitrate d’ammonium</w:t>
      </w:r>
    </w:p>
    <w:p w14:paraId="475DABA8" w14:textId="77777777" w:rsidR="00FC537F" w:rsidRPr="00942C05" w:rsidRDefault="00FC537F" w:rsidP="00051919">
      <w:pPr>
        <w:pStyle w:val="SingleTxtG"/>
      </w:pPr>
      <w:r>
        <w:rPr>
          <w:lang w:val="fr-FR"/>
        </w:rPr>
        <w:t>13.</w:t>
      </w:r>
      <w:r>
        <w:rPr>
          <w:lang w:val="fr-FR"/>
        </w:rPr>
        <w:tab/>
        <w:t>Les noms et descriptions des numéros ONU</w:t>
      </w:r>
      <w:r w:rsidR="00051919">
        <w:rPr>
          <w:lang w:val="fr-FR"/>
        </w:rPr>
        <w:t> </w:t>
      </w:r>
      <w:r>
        <w:rPr>
          <w:lang w:val="fr-FR"/>
        </w:rPr>
        <w:t>2071 et 2426 dans le Règlement type et le RID</w:t>
      </w:r>
      <w:r w:rsidR="00973687">
        <w:rPr>
          <w:lang w:val="fr-FR"/>
        </w:rPr>
        <w:t xml:space="preserve"> et l’</w:t>
      </w:r>
      <w:r>
        <w:rPr>
          <w:lang w:val="fr-FR"/>
        </w:rPr>
        <w:t>ADR sont les suivants</w:t>
      </w:r>
      <w:r w:rsidR="00051919">
        <w:rPr>
          <w:lang w:val="fr-FR"/>
        </w:rPr>
        <w:t> </w:t>
      </w:r>
      <w:r>
        <w:rPr>
          <w:lang w:val="fr-FR"/>
        </w:rPr>
        <w:t>:</w:t>
      </w:r>
    </w:p>
    <w:tbl>
      <w:tblPr>
        <w:tblStyle w:val="Grilledutableau1"/>
        <w:tblW w:w="7370" w:type="dxa"/>
        <w:tblInd w:w="1134" w:type="dxa"/>
        <w:tblLayout w:type="fixed"/>
        <w:tblLook w:val="04A0" w:firstRow="1" w:lastRow="0" w:firstColumn="1" w:lastColumn="0" w:noHBand="0" w:noVBand="1"/>
      </w:tblPr>
      <w:tblGrid>
        <w:gridCol w:w="1134"/>
        <w:gridCol w:w="3118"/>
        <w:gridCol w:w="3118"/>
      </w:tblGrid>
      <w:tr w:rsidR="00051919" w:rsidRPr="00051919" w14:paraId="6FC9BF09" w14:textId="77777777" w:rsidTr="00051919">
        <w:trPr>
          <w:tblHeader/>
        </w:trPr>
        <w:tc>
          <w:tcPr>
            <w:tcW w:w="1134" w:type="dxa"/>
            <w:shd w:val="clear" w:color="auto" w:fill="auto"/>
            <w:vAlign w:val="bottom"/>
          </w:tcPr>
          <w:p w14:paraId="6F8F3108" w14:textId="77777777" w:rsidR="00FC537F" w:rsidRPr="00051919" w:rsidRDefault="00FC537F" w:rsidP="00051919">
            <w:pPr>
              <w:spacing w:before="80" w:after="80" w:line="200" w:lineRule="exact"/>
              <w:ind w:left="57" w:right="113"/>
              <w:rPr>
                <w:i/>
                <w:sz w:val="16"/>
                <w:szCs w:val="16"/>
              </w:rPr>
            </w:pPr>
            <w:r w:rsidRPr="00051919">
              <w:rPr>
                <w:i/>
                <w:sz w:val="16"/>
              </w:rPr>
              <w:t>Numéro ONU</w:t>
            </w:r>
          </w:p>
        </w:tc>
        <w:tc>
          <w:tcPr>
            <w:tcW w:w="3119" w:type="dxa"/>
            <w:shd w:val="clear" w:color="auto" w:fill="auto"/>
            <w:vAlign w:val="bottom"/>
          </w:tcPr>
          <w:p w14:paraId="6358FA6A" w14:textId="77777777" w:rsidR="00FC537F" w:rsidRPr="00051919" w:rsidRDefault="00FC537F" w:rsidP="00051919">
            <w:pPr>
              <w:spacing w:before="80" w:after="80" w:line="200" w:lineRule="exact"/>
              <w:ind w:left="57" w:right="113"/>
              <w:rPr>
                <w:i/>
                <w:sz w:val="16"/>
                <w:szCs w:val="16"/>
              </w:rPr>
            </w:pPr>
            <w:r w:rsidRPr="00051919">
              <w:rPr>
                <w:i/>
                <w:sz w:val="16"/>
              </w:rPr>
              <w:t>Règlement type</w:t>
            </w:r>
          </w:p>
        </w:tc>
        <w:tc>
          <w:tcPr>
            <w:tcW w:w="3119" w:type="dxa"/>
            <w:shd w:val="clear" w:color="auto" w:fill="auto"/>
            <w:vAlign w:val="bottom"/>
          </w:tcPr>
          <w:p w14:paraId="678B8DBF" w14:textId="77777777" w:rsidR="00FC537F" w:rsidRPr="00051919" w:rsidRDefault="00FC537F" w:rsidP="00051919">
            <w:pPr>
              <w:spacing w:before="80" w:after="80" w:line="200" w:lineRule="exact"/>
              <w:ind w:left="57" w:right="113"/>
              <w:rPr>
                <w:i/>
                <w:sz w:val="16"/>
                <w:szCs w:val="16"/>
              </w:rPr>
            </w:pPr>
            <w:r w:rsidRPr="00051919">
              <w:rPr>
                <w:i/>
                <w:sz w:val="16"/>
              </w:rPr>
              <w:t>RID/ADR</w:t>
            </w:r>
          </w:p>
        </w:tc>
      </w:tr>
      <w:tr w:rsidR="00051919" w:rsidRPr="00051919" w14:paraId="3AAA6C0A" w14:textId="77777777" w:rsidTr="00051919">
        <w:tc>
          <w:tcPr>
            <w:tcW w:w="1134" w:type="dxa"/>
            <w:shd w:val="clear" w:color="auto" w:fill="auto"/>
          </w:tcPr>
          <w:p w14:paraId="29B2B6A1" w14:textId="77777777" w:rsidR="00FC537F" w:rsidRPr="00051919" w:rsidRDefault="00FC537F" w:rsidP="00051919">
            <w:pPr>
              <w:spacing w:before="40" w:after="120"/>
              <w:ind w:left="57" w:right="113"/>
              <w:rPr>
                <w:szCs w:val="16"/>
              </w:rPr>
            </w:pPr>
            <w:r w:rsidRPr="00051919">
              <w:t>2071</w:t>
            </w:r>
          </w:p>
        </w:tc>
        <w:tc>
          <w:tcPr>
            <w:tcW w:w="3119" w:type="dxa"/>
            <w:shd w:val="clear" w:color="auto" w:fill="auto"/>
          </w:tcPr>
          <w:p w14:paraId="481509CB" w14:textId="77777777" w:rsidR="00FC537F" w:rsidRPr="00051919" w:rsidRDefault="00FC537F" w:rsidP="00051919">
            <w:pPr>
              <w:spacing w:before="40" w:after="120"/>
              <w:ind w:left="57" w:right="113"/>
              <w:rPr>
                <w:szCs w:val="16"/>
              </w:rPr>
            </w:pPr>
            <w:r w:rsidRPr="00051919">
              <w:t>ENGRAIS AU NITRATE D’AMMONIUM</w:t>
            </w:r>
          </w:p>
        </w:tc>
        <w:tc>
          <w:tcPr>
            <w:tcW w:w="3119" w:type="dxa"/>
            <w:shd w:val="clear" w:color="auto" w:fill="auto"/>
          </w:tcPr>
          <w:p w14:paraId="6A257946" w14:textId="77777777" w:rsidR="00FC537F" w:rsidRPr="00051919" w:rsidRDefault="00FC537F" w:rsidP="00051919">
            <w:pPr>
              <w:spacing w:before="40" w:after="120"/>
              <w:ind w:left="57" w:right="113"/>
              <w:rPr>
                <w:szCs w:val="16"/>
              </w:rPr>
            </w:pPr>
            <w:r w:rsidRPr="006E7DDD">
              <w:rPr>
                <w:rFonts w:asciiTheme="majorBidi" w:eastAsia="Times New Roman" w:hAnsiTheme="majorBidi" w:cstheme="majorBidi"/>
                <w:strike/>
                <w:color w:val="FF0000"/>
                <w:lang w:val="fr-CH" w:eastAsia="es-ES"/>
              </w:rPr>
              <w:t>ENGRAIS AU NITRATE D’AMMONIUM</w:t>
            </w:r>
            <w:r w:rsidRPr="006E7DDD">
              <w:rPr>
                <w:rFonts w:asciiTheme="majorBidi" w:eastAsia="Times New Roman" w:hAnsiTheme="majorBidi" w:cstheme="majorBidi"/>
                <w:color w:val="008080"/>
                <w:u w:val="single"/>
                <w:lang w:val="fr-CH" w:eastAsia="es-ES"/>
              </w:rPr>
              <w:t>Engrais au nitrate d’ammonium, mélanges homogènes du type azote/phosphate, azote/potasse ou azote/phosphate/potasse contenant au plus 70</w:t>
            </w:r>
            <w:r w:rsidR="006E7DDD" w:rsidRPr="006E7DDD">
              <w:rPr>
                <w:rFonts w:asciiTheme="majorBidi" w:eastAsia="Times New Roman" w:hAnsiTheme="majorBidi" w:cstheme="majorBidi"/>
                <w:color w:val="008080"/>
                <w:u w:val="single"/>
                <w:lang w:val="fr-CH" w:eastAsia="es-ES"/>
              </w:rPr>
              <w:t> </w:t>
            </w:r>
            <w:r w:rsidRPr="006E7DDD">
              <w:rPr>
                <w:rFonts w:asciiTheme="majorBidi" w:eastAsia="Times New Roman" w:hAnsiTheme="majorBidi" w:cstheme="majorBidi"/>
                <w:color w:val="008080"/>
                <w:u w:val="single"/>
                <w:lang w:val="fr-CH" w:eastAsia="es-ES"/>
              </w:rPr>
              <w:t>% de nitrate d’ammonium et au plus 0,4</w:t>
            </w:r>
            <w:r w:rsidR="006E7DDD">
              <w:rPr>
                <w:rFonts w:asciiTheme="majorBidi" w:eastAsia="Times New Roman" w:hAnsiTheme="majorBidi" w:cstheme="majorBidi"/>
                <w:color w:val="008080"/>
                <w:u w:val="single"/>
                <w:lang w:val="fr-CH" w:eastAsia="es-ES"/>
              </w:rPr>
              <w:t> </w:t>
            </w:r>
            <w:r w:rsidRPr="006E7DDD">
              <w:rPr>
                <w:rFonts w:asciiTheme="majorBidi" w:eastAsia="Times New Roman" w:hAnsiTheme="majorBidi" w:cstheme="majorBidi"/>
                <w:color w:val="008080"/>
                <w:u w:val="single"/>
                <w:lang w:val="fr-CH" w:eastAsia="es-ES"/>
              </w:rPr>
              <w:t>% de matières combustibles totales/matières organiques exprimées en équivalant carbone, ou contenant au plus 45</w:t>
            </w:r>
            <w:r w:rsidR="006E7DDD">
              <w:rPr>
                <w:rFonts w:asciiTheme="majorBidi" w:eastAsia="Times New Roman" w:hAnsiTheme="majorBidi" w:cstheme="majorBidi"/>
                <w:color w:val="008080"/>
                <w:u w:val="single"/>
                <w:lang w:val="fr-CH" w:eastAsia="es-ES"/>
              </w:rPr>
              <w:t> </w:t>
            </w:r>
            <w:r w:rsidRPr="006E7DDD">
              <w:rPr>
                <w:rFonts w:asciiTheme="majorBidi" w:eastAsia="Times New Roman" w:hAnsiTheme="majorBidi" w:cstheme="majorBidi"/>
                <w:color w:val="008080"/>
                <w:u w:val="single"/>
                <w:lang w:val="fr-CH" w:eastAsia="es-ES"/>
              </w:rPr>
              <w:t>% de nitrate d’ammonium sans limitation de teneur en matières combustibles</w:t>
            </w:r>
          </w:p>
        </w:tc>
      </w:tr>
      <w:tr w:rsidR="00051919" w:rsidRPr="00051919" w14:paraId="27910A7C" w14:textId="77777777" w:rsidTr="00051919">
        <w:tc>
          <w:tcPr>
            <w:tcW w:w="1134" w:type="dxa"/>
            <w:shd w:val="clear" w:color="auto" w:fill="auto"/>
          </w:tcPr>
          <w:p w14:paraId="36FF8DE8" w14:textId="77777777" w:rsidR="00FC537F" w:rsidRPr="00051919" w:rsidRDefault="00FC537F" w:rsidP="00051919">
            <w:pPr>
              <w:spacing w:before="40" w:after="120"/>
              <w:ind w:left="57" w:right="113"/>
              <w:rPr>
                <w:szCs w:val="16"/>
              </w:rPr>
            </w:pPr>
            <w:r w:rsidRPr="00051919">
              <w:t>2426</w:t>
            </w:r>
          </w:p>
        </w:tc>
        <w:tc>
          <w:tcPr>
            <w:tcW w:w="3119" w:type="dxa"/>
            <w:shd w:val="clear" w:color="auto" w:fill="auto"/>
          </w:tcPr>
          <w:p w14:paraId="04F3C1B2" w14:textId="77777777" w:rsidR="00FC537F" w:rsidRPr="00051919" w:rsidRDefault="00FC537F" w:rsidP="00051919">
            <w:pPr>
              <w:spacing w:before="40" w:after="120"/>
              <w:ind w:left="57" w:right="113"/>
              <w:rPr>
                <w:szCs w:val="16"/>
              </w:rPr>
            </w:pPr>
            <w:r w:rsidRPr="00051919">
              <w:t>NITRATE D’AMMONIUM LIQUIDE, solution chaude concentrée</w:t>
            </w:r>
          </w:p>
        </w:tc>
        <w:tc>
          <w:tcPr>
            <w:tcW w:w="3119" w:type="dxa"/>
            <w:shd w:val="clear" w:color="auto" w:fill="auto"/>
          </w:tcPr>
          <w:p w14:paraId="165A76EC" w14:textId="77777777" w:rsidR="00FC537F" w:rsidRPr="00051919" w:rsidRDefault="00FC537F" w:rsidP="00051919">
            <w:pPr>
              <w:spacing w:before="40" w:after="120"/>
              <w:ind w:left="57" w:right="113"/>
              <w:rPr>
                <w:szCs w:val="16"/>
              </w:rPr>
            </w:pPr>
            <w:r w:rsidRPr="00051919">
              <w:t>NITRATE D’AMMONIUM LIQUIDE, solution chaude concentrée</w:t>
            </w:r>
            <w:r w:rsidRPr="00051919">
              <w:rPr>
                <w:u w:val="single"/>
              </w:rPr>
              <w:t xml:space="preserve"> </w:t>
            </w:r>
            <w:r w:rsidRPr="006E7DDD">
              <w:rPr>
                <w:rFonts w:asciiTheme="majorBidi" w:eastAsia="Times New Roman" w:hAnsiTheme="majorBidi" w:cstheme="majorBidi"/>
                <w:color w:val="008080"/>
                <w:u w:val="single"/>
                <w:lang w:val="fr-CH" w:eastAsia="es-ES"/>
              </w:rPr>
              <w:t>à plus de 80</w:t>
            </w:r>
            <w:r w:rsidR="006E7DDD" w:rsidRPr="006E7DDD">
              <w:rPr>
                <w:rFonts w:asciiTheme="majorBidi" w:eastAsia="Times New Roman" w:hAnsiTheme="majorBidi" w:cstheme="majorBidi"/>
                <w:color w:val="008080"/>
                <w:u w:val="single"/>
                <w:lang w:val="fr-CH" w:eastAsia="es-ES"/>
              </w:rPr>
              <w:t> </w:t>
            </w:r>
            <w:r w:rsidRPr="006E7DDD">
              <w:rPr>
                <w:rFonts w:asciiTheme="majorBidi" w:eastAsia="Times New Roman" w:hAnsiTheme="majorBidi" w:cstheme="majorBidi"/>
                <w:color w:val="008080"/>
                <w:u w:val="single"/>
                <w:lang w:val="fr-CH" w:eastAsia="es-ES"/>
              </w:rPr>
              <w:t>% mais à 93</w:t>
            </w:r>
            <w:r w:rsidR="006E7DDD">
              <w:rPr>
                <w:rFonts w:asciiTheme="majorBidi" w:eastAsia="Times New Roman" w:hAnsiTheme="majorBidi" w:cstheme="majorBidi"/>
                <w:color w:val="008080"/>
                <w:u w:val="single"/>
                <w:lang w:val="fr-CH" w:eastAsia="es-ES"/>
              </w:rPr>
              <w:t> </w:t>
            </w:r>
            <w:r w:rsidRPr="006E7DDD">
              <w:rPr>
                <w:rFonts w:asciiTheme="majorBidi" w:eastAsia="Times New Roman" w:hAnsiTheme="majorBidi" w:cstheme="majorBidi"/>
                <w:color w:val="008080"/>
                <w:u w:val="single"/>
                <w:lang w:val="fr-CH" w:eastAsia="es-ES"/>
              </w:rPr>
              <w:t>% au maximum</w:t>
            </w:r>
          </w:p>
        </w:tc>
      </w:tr>
    </w:tbl>
    <w:p w14:paraId="024C0D38" w14:textId="77777777" w:rsidR="00FC537F" w:rsidRPr="00942C05" w:rsidRDefault="00FC537F" w:rsidP="006E7DDD">
      <w:pPr>
        <w:pStyle w:val="SingleTxtG"/>
        <w:spacing w:before="240"/>
      </w:pPr>
      <w:r>
        <w:rPr>
          <w:lang w:val="fr-FR"/>
        </w:rPr>
        <w:t>14.</w:t>
      </w:r>
      <w:r>
        <w:rPr>
          <w:lang w:val="fr-FR"/>
        </w:rPr>
        <w:tab/>
        <w:t>L’utilisation de noms et descriptions différents s’explique par une divergence dans les modalités de mise en œuvre des dispositions applicables au nitrate d’ammonium. Des modifications ayant été apportées à cet égard dans la 20</w:t>
      </w:r>
      <w:r w:rsidRPr="006E7DDD">
        <w:rPr>
          <w:vertAlign w:val="superscript"/>
          <w:lang w:val="fr-FR"/>
        </w:rPr>
        <w:t>e</w:t>
      </w:r>
      <w:r w:rsidR="006E7DDD">
        <w:rPr>
          <w:lang w:val="fr-FR"/>
        </w:rPr>
        <w:t> </w:t>
      </w:r>
      <w:r>
        <w:rPr>
          <w:lang w:val="fr-FR"/>
        </w:rPr>
        <w:t>édition du Règlement type, cette différence au niveau des noms et descriptions devrait être analysée dans le cadre des travaux d’harmonisation relatifs à cette question.</w:t>
      </w:r>
    </w:p>
    <w:p w14:paraId="3AA3CC79" w14:textId="77777777" w:rsidR="00FC537F" w:rsidRPr="00942C05" w:rsidRDefault="00FC537F" w:rsidP="006E7DDD">
      <w:pPr>
        <w:pStyle w:val="HChG"/>
        <w:rPr>
          <w:rFonts w:eastAsiaTheme="minorEastAsia"/>
        </w:rPr>
      </w:pPr>
      <w:r>
        <w:rPr>
          <w:lang w:val="fr-FR"/>
        </w:rPr>
        <w:tab/>
      </w:r>
      <w:r>
        <w:rPr>
          <w:lang w:val="fr-FR"/>
        </w:rPr>
        <w:tab/>
        <w:t>Propositions</w:t>
      </w:r>
    </w:p>
    <w:p w14:paraId="38E82177" w14:textId="77777777" w:rsidR="00FC537F" w:rsidRDefault="00FC537F" w:rsidP="006E7DDD">
      <w:pPr>
        <w:pStyle w:val="SingleTxtG"/>
        <w:rPr>
          <w:lang w:val="fr-FR"/>
        </w:rPr>
      </w:pPr>
      <w:r>
        <w:rPr>
          <w:lang w:val="fr-FR"/>
        </w:rPr>
        <w:t>15.</w:t>
      </w:r>
      <w:r>
        <w:rPr>
          <w:lang w:val="fr-FR"/>
        </w:rPr>
        <w:tab/>
        <w:t>L’Espagne suggère que la possibilité d’harmoniser le nom et la description des numéros ONU susmentionnés soit étudiée.</w:t>
      </w:r>
    </w:p>
    <w:p w14:paraId="3C58A51A" w14:textId="77777777" w:rsidR="006E7DDD" w:rsidRPr="006E7DDD" w:rsidRDefault="006E7DDD" w:rsidP="006E7DDD">
      <w:pPr>
        <w:pStyle w:val="SingleTxtG"/>
        <w:spacing w:before="240" w:after="0"/>
        <w:jc w:val="center"/>
        <w:rPr>
          <w:u w:val="single"/>
        </w:rPr>
      </w:pPr>
      <w:r>
        <w:rPr>
          <w:u w:val="single"/>
        </w:rPr>
        <w:tab/>
      </w:r>
      <w:r>
        <w:rPr>
          <w:u w:val="single"/>
        </w:rPr>
        <w:tab/>
      </w:r>
      <w:r>
        <w:rPr>
          <w:u w:val="single"/>
        </w:rPr>
        <w:tab/>
      </w:r>
    </w:p>
    <w:sectPr w:rsidR="006E7DDD" w:rsidRPr="006E7DDD" w:rsidSect="00FC537F">
      <w:headerReference w:type="even" r:id="rId20"/>
      <w:headerReference w:type="default" r:id="rId21"/>
      <w:footerReference w:type="even" r:id="rId22"/>
      <w:footerReference w:type="default" r:id="rId23"/>
      <w:footerReference w:type="first" r:id="rId2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7EA35" w14:textId="77777777" w:rsidR="00D1692F" w:rsidRDefault="00D1692F" w:rsidP="00F95C08">
      <w:pPr>
        <w:spacing w:line="240" w:lineRule="auto"/>
      </w:pPr>
    </w:p>
  </w:endnote>
  <w:endnote w:type="continuationSeparator" w:id="0">
    <w:p w14:paraId="28B03DB4" w14:textId="77777777" w:rsidR="00D1692F" w:rsidRPr="00AC3823" w:rsidRDefault="00D1692F" w:rsidP="00AC3823">
      <w:pPr>
        <w:pStyle w:val="Footer"/>
      </w:pPr>
    </w:p>
  </w:endnote>
  <w:endnote w:type="continuationNotice" w:id="1">
    <w:p w14:paraId="7325E22A" w14:textId="77777777" w:rsidR="00D1692F" w:rsidRDefault="00D169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DA03" w14:textId="77777777" w:rsidR="00FC537F" w:rsidRPr="00FC537F" w:rsidRDefault="00FC537F" w:rsidP="00FC537F">
    <w:pPr>
      <w:pStyle w:val="Footer"/>
      <w:tabs>
        <w:tab w:val="right" w:pos="9638"/>
      </w:tabs>
    </w:pPr>
    <w:r w:rsidRPr="00FC537F">
      <w:rPr>
        <w:b/>
        <w:sz w:val="18"/>
      </w:rPr>
      <w:fldChar w:fldCharType="begin"/>
    </w:r>
    <w:r w:rsidRPr="00FC537F">
      <w:rPr>
        <w:b/>
        <w:sz w:val="18"/>
      </w:rPr>
      <w:instrText xml:space="preserve"> PAGE  \* MERGEFORMAT </w:instrText>
    </w:r>
    <w:r w:rsidRPr="00FC537F">
      <w:rPr>
        <w:b/>
        <w:sz w:val="18"/>
      </w:rPr>
      <w:fldChar w:fldCharType="separate"/>
    </w:r>
    <w:r w:rsidRPr="00FC537F">
      <w:rPr>
        <w:b/>
        <w:noProof/>
        <w:sz w:val="18"/>
      </w:rPr>
      <w:t>2</w:t>
    </w:r>
    <w:r w:rsidRPr="00FC537F">
      <w:rPr>
        <w:b/>
        <w:sz w:val="18"/>
      </w:rPr>
      <w:fldChar w:fldCharType="end"/>
    </w:r>
    <w:r>
      <w:rPr>
        <w:b/>
        <w:sz w:val="18"/>
      </w:rPr>
      <w:tab/>
    </w:r>
    <w:r>
      <w:t>GE.19-10104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CD978" w14:textId="77777777" w:rsidR="00FC537F" w:rsidRPr="00FC537F" w:rsidRDefault="00FC537F" w:rsidP="00FC537F">
    <w:pPr>
      <w:pStyle w:val="Footer"/>
      <w:tabs>
        <w:tab w:val="right" w:pos="9638"/>
      </w:tabs>
      <w:rPr>
        <w:b/>
        <w:sz w:val="18"/>
      </w:rPr>
    </w:pPr>
    <w:r>
      <w:t>GE.19-10104</w:t>
    </w:r>
    <w:r>
      <w:tab/>
    </w:r>
    <w:r w:rsidRPr="00FC537F">
      <w:rPr>
        <w:b/>
        <w:sz w:val="18"/>
      </w:rPr>
      <w:fldChar w:fldCharType="begin"/>
    </w:r>
    <w:r w:rsidRPr="00FC537F">
      <w:rPr>
        <w:b/>
        <w:sz w:val="18"/>
      </w:rPr>
      <w:instrText xml:space="preserve"> PAGE  \* MERGEFORMAT </w:instrText>
    </w:r>
    <w:r w:rsidRPr="00FC537F">
      <w:rPr>
        <w:b/>
        <w:sz w:val="18"/>
      </w:rPr>
      <w:fldChar w:fldCharType="separate"/>
    </w:r>
    <w:r w:rsidRPr="00FC537F">
      <w:rPr>
        <w:b/>
        <w:noProof/>
        <w:sz w:val="18"/>
      </w:rPr>
      <w:t>3</w:t>
    </w:r>
    <w:r w:rsidRPr="00FC53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983B5" w14:textId="77777777" w:rsidR="007F20FA" w:rsidRPr="00FC537F" w:rsidRDefault="00FC537F" w:rsidP="00FC537F">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01D7EF36" wp14:editId="54008DA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19-10104  (F)    240719    240719</w:t>
    </w:r>
    <w:r>
      <w:rPr>
        <w:sz w:val="20"/>
      </w:rPr>
      <w:br/>
    </w:r>
    <w:r w:rsidRPr="00FC537F">
      <w:rPr>
        <w:rFonts w:ascii="C39T30Lfz" w:hAnsi="C39T30Lfz"/>
        <w:sz w:val="56"/>
      </w:rPr>
      <w:t></w:t>
    </w:r>
    <w:r w:rsidRPr="00FC537F">
      <w:rPr>
        <w:rFonts w:ascii="C39T30Lfz" w:hAnsi="C39T30Lfz"/>
        <w:sz w:val="56"/>
      </w:rPr>
      <w:t></w:t>
    </w:r>
    <w:r w:rsidRPr="00FC537F">
      <w:rPr>
        <w:rFonts w:ascii="C39T30Lfz" w:hAnsi="C39T30Lfz"/>
        <w:sz w:val="56"/>
      </w:rPr>
      <w:t></w:t>
    </w:r>
    <w:r w:rsidRPr="00FC537F">
      <w:rPr>
        <w:rFonts w:ascii="C39T30Lfz" w:hAnsi="C39T30Lfz"/>
        <w:sz w:val="56"/>
      </w:rPr>
      <w:t></w:t>
    </w:r>
    <w:r w:rsidRPr="00FC537F">
      <w:rPr>
        <w:rFonts w:ascii="C39T30Lfz" w:hAnsi="C39T30Lfz"/>
        <w:sz w:val="56"/>
      </w:rPr>
      <w:t></w:t>
    </w:r>
    <w:r w:rsidRPr="00FC537F">
      <w:rPr>
        <w:rFonts w:ascii="C39T30Lfz" w:hAnsi="C39T30Lfz"/>
        <w:sz w:val="56"/>
      </w:rPr>
      <w:t></w:t>
    </w:r>
    <w:r w:rsidRPr="00FC537F">
      <w:rPr>
        <w:rFonts w:ascii="C39T30Lfz" w:hAnsi="C39T30Lfz"/>
        <w:sz w:val="56"/>
      </w:rPr>
      <w:t></w:t>
    </w:r>
    <w:r w:rsidRPr="00FC537F">
      <w:rPr>
        <w:rFonts w:ascii="C39T30Lfz" w:hAnsi="C39T30Lfz"/>
        <w:sz w:val="56"/>
      </w:rPr>
      <w:t></w:t>
    </w:r>
    <w:r w:rsidRPr="00FC537F">
      <w:rPr>
        <w:rFonts w:ascii="C39T30Lfz" w:hAnsi="C39T30Lfz"/>
        <w:sz w:val="56"/>
      </w:rPr>
      <w:t></w:t>
    </w:r>
    <w:r>
      <w:rPr>
        <w:noProof/>
        <w:sz w:val="20"/>
      </w:rPr>
      <w:drawing>
        <wp:anchor distT="0" distB="0" distL="114300" distR="114300" simplePos="0" relativeHeight="251658240" behindDoc="0" locked="0" layoutInCell="1" allowOverlap="1" wp14:anchorId="34484CB7" wp14:editId="54B3E6AA">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3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3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481C5" w14:textId="77777777" w:rsidR="00D1692F" w:rsidRPr="00AC3823" w:rsidRDefault="00D1692F" w:rsidP="00AC3823">
      <w:pPr>
        <w:pStyle w:val="Footer"/>
        <w:tabs>
          <w:tab w:val="right" w:pos="2155"/>
        </w:tabs>
        <w:spacing w:after="80" w:line="240" w:lineRule="atLeast"/>
        <w:ind w:left="680"/>
        <w:rPr>
          <w:u w:val="single"/>
        </w:rPr>
      </w:pPr>
      <w:r>
        <w:rPr>
          <w:u w:val="single"/>
        </w:rPr>
        <w:tab/>
      </w:r>
    </w:p>
  </w:footnote>
  <w:footnote w:type="continuationSeparator" w:id="0">
    <w:p w14:paraId="12BC7D07" w14:textId="77777777" w:rsidR="00D1692F" w:rsidRPr="00AC3823" w:rsidRDefault="00D1692F" w:rsidP="00AC3823">
      <w:pPr>
        <w:pStyle w:val="Footer"/>
        <w:tabs>
          <w:tab w:val="right" w:pos="2155"/>
        </w:tabs>
        <w:spacing w:after="80" w:line="240" w:lineRule="atLeast"/>
        <w:ind w:left="680"/>
        <w:rPr>
          <w:u w:val="single"/>
        </w:rPr>
      </w:pPr>
      <w:r>
        <w:rPr>
          <w:u w:val="single"/>
        </w:rPr>
        <w:tab/>
      </w:r>
    </w:p>
  </w:footnote>
  <w:footnote w:type="continuationNotice" w:id="1">
    <w:p w14:paraId="1A777AA1" w14:textId="77777777" w:rsidR="00D1692F" w:rsidRPr="00AC3823" w:rsidRDefault="00D1692F">
      <w:pPr>
        <w:spacing w:line="240" w:lineRule="auto"/>
        <w:rPr>
          <w:sz w:val="2"/>
          <w:szCs w:val="2"/>
        </w:rPr>
      </w:pPr>
    </w:p>
  </w:footnote>
  <w:footnote w:id="2">
    <w:p w14:paraId="14A4EDF7" w14:textId="77777777" w:rsidR="00FC537F" w:rsidRPr="00FC537F" w:rsidRDefault="00FC537F">
      <w:pPr>
        <w:pStyle w:val="FootnoteText"/>
      </w:pPr>
      <w:r>
        <w:rPr>
          <w:rStyle w:val="FootnoteReference"/>
        </w:rPr>
        <w:tab/>
      </w:r>
      <w:r w:rsidRPr="00FC537F">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2018</w:t>
      </w:r>
      <w:r>
        <w:rPr>
          <w:lang w:val="fr-FR"/>
        </w:rPr>
        <w:noBreakHyphen/>
        <w:t>2019 (ECE/TRANS/2018/21/Add.1, module 9</w:t>
      </w:r>
      <w:r w:rsidR="00652A5B">
        <w:rPr>
          <w:lang w:val="fr-FR"/>
        </w:rPr>
        <w:t xml:space="preserve"> </w:t>
      </w:r>
      <w:r>
        <w:rPr>
          <w:lang w:val="fr-FR"/>
        </w:rPr>
        <w:t>(9.2)).</w:t>
      </w:r>
    </w:p>
  </w:footnote>
  <w:footnote w:id="3">
    <w:p w14:paraId="1649C6EB" w14:textId="77777777" w:rsidR="00FC537F" w:rsidRPr="00FC537F" w:rsidRDefault="00FC537F">
      <w:pPr>
        <w:pStyle w:val="FootnoteText"/>
      </w:pPr>
      <w:r>
        <w:rPr>
          <w:rStyle w:val="FootnoteReference"/>
        </w:rPr>
        <w:tab/>
      </w:r>
      <w:r w:rsidRPr="00FC537F">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OTIF/RID/RC/2019/32.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9C46" w14:textId="143126F6" w:rsidR="00FC537F" w:rsidRPr="00FC537F" w:rsidRDefault="000563D4">
    <w:pPr>
      <w:pStyle w:val="Header"/>
    </w:pPr>
    <w:r>
      <w:fldChar w:fldCharType="begin"/>
    </w:r>
    <w:r>
      <w:instrText xml:space="preserve"> TITLE  \* MERGEFORMAT </w:instrText>
    </w:r>
    <w:r>
      <w:fldChar w:fldCharType="separate"/>
    </w:r>
    <w:r w:rsidR="006878C6">
      <w:t>ECE/TRANS/WP.15/AC.1/2019/32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16614" w14:textId="56166BEC" w:rsidR="00FC537F" w:rsidRPr="00FC537F" w:rsidRDefault="000563D4" w:rsidP="00FC537F">
    <w:pPr>
      <w:pStyle w:val="Header"/>
      <w:jc w:val="right"/>
    </w:pPr>
    <w:r>
      <w:fldChar w:fldCharType="begin"/>
    </w:r>
    <w:r>
      <w:instrText xml:space="preserve"> TITLE  \* MERGEFORMAT </w:instrText>
    </w:r>
    <w:r>
      <w:fldChar w:fldCharType="separate"/>
    </w:r>
    <w:r w:rsidR="006878C6">
      <w:t>ECE/TRANS/WP.15/AC.1/2019/32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2F"/>
    <w:rsid w:val="00017F94"/>
    <w:rsid w:val="00023842"/>
    <w:rsid w:val="000334F9"/>
    <w:rsid w:val="00045FEB"/>
    <w:rsid w:val="00051919"/>
    <w:rsid w:val="0005246C"/>
    <w:rsid w:val="000563D4"/>
    <w:rsid w:val="0007796D"/>
    <w:rsid w:val="000933EF"/>
    <w:rsid w:val="000B7790"/>
    <w:rsid w:val="00111F2F"/>
    <w:rsid w:val="0014365E"/>
    <w:rsid w:val="00143C66"/>
    <w:rsid w:val="00176178"/>
    <w:rsid w:val="001D0A4D"/>
    <w:rsid w:val="001F525A"/>
    <w:rsid w:val="00203F0F"/>
    <w:rsid w:val="00204587"/>
    <w:rsid w:val="00223272"/>
    <w:rsid w:val="002331F9"/>
    <w:rsid w:val="0024779E"/>
    <w:rsid w:val="00257168"/>
    <w:rsid w:val="002744B8"/>
    <w:rsid w:val="002832AC"/>
    <w:rsid w:val="002D7C93"/>
    <w:rsid w:val="00305801"/>
    <w:rsid w:val="00345F3F"/>
    <w:rsid w:val="003916DE"/>
    <w:rsid w:val="00421996"/>
    <w:rsid w:val="00441C3B"/>
    <w:rsid w:val="00446FE5"/>
    <w:rsid w:val="00452396"/>
    <w:rsid w:val="004837D8"/>
    <w:rsid w:val="004843A6"/>
    <w:rsid w:val="004E2EED"/>
    <w:rsid w:val="004E468C"/>
    <w:rsid w:val="005505B7"/>
    <w:rsid w:val="00573BE5"/>
    <w:rsid w:val="00586ED3"/>
    <w:rsid w:val="00596AA9"/>
    <w:rsid w:val="00652A5B"/>
    <w:rsid w:val="006878C6"/>
    <w:rsid w:val="006E7DDD"/>
    <w:rsid w:val="0071601D"/>
    <w:rsid w:val="007A62E6"/>
    <w:rsid w:val="007F20FA"/>
    <w:rsid w:val="0080684C"/>
    <w:rsid w:val="00832A8F"/>
    <w:rsid w:val="00871C75"/>
    <w:rsid w:val="008776DC"/>
    <w:rsid w:val="00931C16"/>
    <w:rsid w:val="009446C0"/>
    <w:rsid w:val="009705C8"/>
    <w:rsid w:val="00973687"/>
    <w:rsid w:val="009C1CF4"/>
    <w:rsid w:val="009F6B74"/>
    <w:rsid w:val="00A3029F"/>
    <w:rsid w:val="00A30353"/>
    <w:rsid w:val="00AC3823"/>
    <w:rsid w:val="00AD5575"/>
    <w:rsid w:val="00AD5DD6"/>
    <w:rsid w:val="00AE323C"/>
    <w:rsid w:val="00AF0CB5"/>
    <w:rsid w:val="00B00181"/>
    <w:rsid w:val="00B00B0D"/>
    <w:rsid w:val="00B45F2E"/>
    <w:rsid w:val="00B765F7"/>
    <w:rsid w:val="00BA0CA9"/>
    <w:rsid w:val="00BC428E"/>
    <w:rsid w:val="00C02897"/>
    <w:rsid w:val="00C97039"/>
    <w:rsid w:val="00CD1988"/>
    <w:rsid w:val="00D1692F"/>
    <w:rsid w:val="00D3439C"/>
    <w:rsid w:val="00DB1831"/>
    <w:rsid w:val="00DD3BFD"/>
    <w:rsid w:val="00DF6678"/>
    <w:rsid w:val="00E0299A"/>
    <w:rsid w:val="00E71EDA"/>
    <w:rsid w:val="00E85C74"/>
    <w:rsid w:val="00EA6547"/>
    <w:rsid w:val="00EC27EC"/>
    <w:rsid w:val="00EF2E22"/>
    <w:rsid w:val="00F16B37"/>
    <w:rsid w:val="00F35BAF"/>
    <w:rsid w:val="00F660DF"/>
    <w:rsid w:val="00F94664"/>
    <w:rsid w:val="00F9573C"/>
    <w:rsid w:val="00F95C08"/>
    <w:rsid w:val="00FC537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FFDB7D"/>
  <w15:docId w15:val="{DA68E1A4-628F-466D-A3D7-4BB6199C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customStyle="1" w:styleId="Grilledutableau1">
    <w:name w:val="Grille du tableau1"/>
    <w:basedOn w:val="TableNormal"/>
    <w:next w:val="TableGrid"/>
    <w:rsid w:val="00FC537F"/>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C537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1-Butene" TargetMode="External"/><Relationship Id="rId13" Type="http://schemas.openxmlformats.org/officeDocument/2006/relationships/image" Target="media/image3.png"/><Relationship Id="rId18" Type="http://schemas.openxmlformats.org/officeDocument/2006/relationships/hyperlink" Target="https://en.wikipedia.org/wiki/File:Methylpropene.sv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hyperlink" Target="https://en.wikipedia.org/wiki/File:Cis-2-butene.svg" TargetMode="External"/><Relationship Id="rId17" Type="http://schemas.openxmlformats.org/officeDocument/2006/relationships/hyperlink" Target="https://en.wikipedia.org/wiki/Isobutylen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2-Butene"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en.wikipedia.org/wiki/File:Trans-2-butene.svg"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en.wikipedia.org/wiki/File:1-butene.svg" TargetMode="External"/><Relationship Id="rId14" Type="http://schemas.openxmlformats.org/officeDocument/2006/relationships/hyperlink" Target="https://en.wikipedia.org/wiki/2-Butene"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7736</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ECE/TRANS/WP.15/AC.1/2019/32</vt:lpstr>
      <vt:lpstr>ECE/TRANS/WP.15/AC.1/2019/32</vt:lpstr>
    </vt:vector>
  </TitlesOfParts>
  <Company>DCM</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ECE/TRANS/WP.15/AC.1/2019/32</dc:title>
  <dc:subject/>
  <dc:creator>Christine CHAUTAGNAT</dc:creator>
  <cp:keywords/>
  <cp:lastModifiedBy>Christine Barrio-Champeau</cp:lastModifiedBy>
  <cp:revision>2</cp:revision>
  <cp:lastPrinted>2019-07-24T14:26:00Z</cp:lastPrinted>
  <dcterms:created xsi:type="dcterms:W3CDTF">2019-07-25T07:39:00Z</dcterms:created>
  <dcterms:modified xsi:type="dcterms:W3CDTF">2019-07-25T07:39:00Z</dcterms:modified>
</cp:coreProperties>
</file>