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9B65DD" w:rsidP="009B65DD">
            <w:pPr>
              <w:jc w:val="right"/>
            </w:pPr>
            <w:r w:rsidRPr="009B65DD">
              <w:rPr>
                <w:sz w:val="40"/>
              </w:rPr>
              <w:t>ECE</w:t>
            </w:r>
            <w:r>
              <w:t>/TRANS/WP.15/AC.1/2019/32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B4C71" w:rsidRDefault="009B4C71" w:rsidP="009B4C71">
            <w:pPr>
              <w:spacing w:before="240" w:line="240" w:lineRule="exact"/>
            </w:pPr>
            <w:r>
              <w:t>Distr.: General</w:t>
            </w:r>
          </w:p>
          <w:p w:rsidR="009B4C71" w:rsidRDefault="009B4C71" w:rsidP="009B4C71">
            <w:pPr>
              <w:spacing w:line="240" w:lineRule="exact"/>
            </w:pPr>
            <w:r>
              <w:t>19 June 2019</w:t>
            </w:r>
          </w:p>
          <w:p w:rsidR="009B4C71" w:rsidRDefault="009B4C71" w:rsidP="009B4C71">
            <w:pPr>
              <w:spacing w:line="240" w:lineRule="exact"/>
            </w:pPr>
          </w:p>
          <w:p w:rsidR="009B65DD" w:rsidRDefault="009B4C71" w:rsidP="009B4C71">
            <w:pPr>
              <w:spacing w:line="240" w:lineRule="exact"/>
            </w:pPr>
            <w:r>
              <w:t>Original: English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9B65DD" w:rsidRPr="00960236" w:rsidRDefault="009B65DD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:rsidR="009B65DD" w:rsidRPr="00960236" w:rsidRDefault="009B65DD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:rsidR="009B65DD" w:rsidRPr="00960236" w:rsidRDefault="009B65DD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:rsidR="009B65DD" w:rsidRPr="00960236" w:rsidRDefault="009B65DD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:rsidR="009B65DD" w:rsidRDefault="009B65DD" w:rsidP="009B65DD">
      <w:r>
        <w:t>Geneva, 17-27 September 2019</w:t>
      </w:r>
    </w:p>
    <w:p w:rsidR="009B65DD" w:rsidRDefault="009B65DD" w:rsidP="009B65DD">
      <w:r>
        <w:t>Item 5 (b) of the provisional agenda</w:t>
      </w:r>
    </w:p>
    <w:p w:rsidR="009B65DD" w:rsidRDefault="009B65DD" w:rsidP="009B65DD">
      <w:pPr>
        <w:rPr>
          <w:b/>
          <w:bCs/>
        </w:rPr>
      </w:pPr>
      <w:r>
        <w:rPr>
          <w:b/>
          <w:bCs/>
        </w:rPr>
        <w:t>Proposals for amendments to RID/ADR/ADN:</w:t>
      </w:r>
    </w:p>
    <w:p w:rsidR="009B65DD" w:rsidRDefault="009B65DD" w:rsidP="009B65DD">
      <w:pPr>
        <w:rPr>
          <w:b/>
          <w:bCs/>
        </w:rPr>
      </w:pPr>
      <w:r>
        <w:rPr>
          <w:b/>
          <w:bCs/>
        </w:rPr>
        <w:t>new proposals</w:t>
      </w:r>
    </w:p>
    <w:p w:rsidR="009B65DD" w:rsidRDefault="009B65DD" w:rsidP="009B65DD">
      <w:pPr>
        <w:pStyle w:val="HChG"/>
        <w:rPr>
          <w:b w:val="0"/>
        </w:rPr>
      </w:pPr>
      <w:r>
        <w:tab/>
      </w:r>
      <w:r>
        <w:tab/>
      </w:r>
      <w:r>
        <w:rPr>
          <w:lang w:val="en-US"/>
        </w:rPr>
        <w:t>Different names and description for UN numbers in between Model Regulations and RID/ADR</w:t>
      </w:r>
    </w:p>
    <w:p w:rsidR="009B65DD" w:rsidRDefault="009B65DD" w:rsidP="009B65DD">
      <w:pPr>
        <w:pStyle w:val="H1G"/>
        <w:rPr>
          <w:sz w:val="20"/>
          <w:vertAlign w:val="superscript"/>
        </w:rPr>
      </w:pPr>
      <w:r>
        <w:tab/>
      </w:r>
      <w:r>
        <w:tab/>
        <w:t>Transmitted by the Government of Spain</w:t>
      </w:r>
      <w:r w:rsidRPr="009B65DD">
        <w:rPr>
          <w:rStyle w:val="FootnoteReference"/>
          <w:sz w:val="20"/>
        </w:rPr>
        <w:footnoteReference w:customMarkFollows="1" w:id="2"/>
        <w:t>*</w:t>
      </w:r>
      <w:r w:rsidRPr="009B65DD">
        <w:rPr>
          <w:sz w:val="20"/>
          <w:vertAlign w:val="superscript"/>
        </w:rPr>
        <w:t xml:space="preserve">, </w:t>
      </w:r>
      <w:r w:rsidRPr="009B65DD">
        <w:rPr>
          <w:rStyle w:val="FootnoteReference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9B65DD" w:rsidTr="009B65DD">
        <w:trPr>
          <w:jc w:val="center"/>
        </w:trPr>
        <w:tc>
          <w:tcPr>
            <w:tcW w:w="9629" w:type="dxa"/>
            <w:shd w:val="clear" w:color="auto" w:fill="auto"/>
          </w:tcPr>
          <w:p w:rsidR="009B65DD" w:rsidRPr="00C6263E" w:rsidRDefault="009B65DD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9B65DD" w:rsidTr="009B65DD">
        <w:trPr>
          <w:jc w:val="center"/>
        </w:trPr>
        <w:tc>
          <w:tcPr>
            <w:tcW w:w="9629" w:type="dxa"/>
            <w:shd w:val="clear" w:color="auto" w:fill="auto"/>
          </w:tcPr>
          <w:p w:rsidR="009B65DD" w:rsidRPr="00CD0808" w:rsidRDefault="009B65DD" w:rsidP="009B65DD">
            <w:pPr>
              <w:pStyle w:val="SingleTxtG"/>
              <w:tabs>
                <w:tab w:val="left" w:pos="3260"/>
              </w:tabs>
              <w:ind w:left="3260" w:hanging="2126"/>
              <w:jc w:val="left"/>
            </w:pPr>
            <w:r w:rsidRPr="00CD0808">
              <w:rPr>
                <w:b/>
              </w:rPr>
              <w:t>Executive summary:</w:t>
            </w:r>
            <w:r>
              <w:rPr>
                <w:b/>
              </w:rPr>
              <w:t xml:space="preserve"> </w:t>
            </w:r>
            <w:r w:rsidRPr="00CD0808">
              <w:tab/>
            </w:r>
            <w:r>
              <w:t xml:space="preserve">Study the differences of name and description for several UN numbers in between UN Model Regulations and RID/ADR  </w:t>
            </w:r>
          </w:p>
        </w:tc>
      </w:tr>
      <w:tr w:rsidR="009B65DD" w:rsidTr="009B65DD">
        <w:trPr>
          <w:jc w:val="center"/>
        </w:trPr>
        <w:tc>
          <w:tcPr>
            <w:tcW w:w="9629" w:type="dxa"/>
            <w:shd w:val="clear" w:color="auto" w:fill="auto"/>
          </w:tcPr>
          <w:p w:rsidR="009B65DD" w:rsidRPr="00CD0808" w:rsidRDefault="009B65DD" w:rsidP="009B65DD">
            <w:pPr>
              <w:pStyle w:val="SingleTxtG"/>
              <w:tabs>
                <w:tab w:val="left" w:pos="3260"/>
              </w:tabs>
              <w:ind w:left="3260" w:hanging="2126"/>
            </w:pPr>
            <w:r w:rsidRPr="00CD0808">
              <w:rPr>
                <w:b/>
              </w:rPr>
              <w:t>Action to be taken: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t xml:space="preserve">Discuss possible harmonisation with the </w:t>
            </w:r>
            <w:r w:rsidR="006365C3">
              <w:t xml:space="preserve">UN </w:t>
            </w:r>
            <w:r>
              <w:t>Model Regulations.</w:t>
            </w:r>
          </w:p>
        </w:tc>
      </w:tr>
      <w:tr w:rsidR="009B65DD" w:rsidTr="009B65DD">
        <w:trPr>
          <w:jc w:val="center"/>
        </w:trPr>
        <w:tc>
          <w:tcPr>
            <w:tcW w:w="9629" w:type="dxa"/>
            <w:shd w:val="clear" w:color="auto" w:fill="auto"/>
          </w:tcPr>
          <w:p w:rsidR="009B65DD" w:rsidRPr="00CD0808" w:rsidRDefault="009B65DD" w:rsidP="009B65DD">
            <w:pPr>
              <w:pStyle w:val="SingleTxtG"/>
              <w:tabs>
                <w:tab w:val="left" w:pos="3260"/>
              </w:tabs>
              <w:ind w:left="3260" w:hanging="2126"/>
              <w:rPr>
                <w:b/>
              </w:rPr>
            </w:pPr>
          </w:p>
        </w:tc>
      </w:tr>
    </w:tbl>
    <w:p w:rsidR="009B65DD" w:rsidRPr="009A2C3D" w:rsidRDefault="00E62907" w:rsidP="009B65DD">
      <w:pPr>
        <w:pStyle w:val="HChG"/>
        <w:rPr>
          <w:lang w:val="nl-NL"/>
        </w:rPr>
      </w:pPr>
      <w:r>
        <w:tab/>
      </w:r>
      <w:r>
        <w:tab/>
      </w:r>
      <w:r w:rsidR="009B65DD">
        <w:t>Introduction</w:t>
      </w:r>
    </w:p>
    <w:p w:rsidR="009B65DD" w:rsidRDefault="009B65DD" w:rsidP="009B65DD">
      <w:pPr>
        <w:pStyle w:val="SingleTxtG"/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ab/>
      </w:r>
      <w:proofErr w:type="spellStart"/>
      <w:r>
        <w:rPr>
          <w:lang w:val="nl-NL"/>
        </w:rPr>
        <w:t>There</w:t>
      </w:r>
      <w:proofErr w:type="spellEnd"/>
      <w:r>
        <w:rPr>
          <w:lang w:val="nl-NL"/>
        </w:rPr>
        <w:t xml:space="preserve"> are different cases </w:t>
      </w:r>
      <w:proofErr w:type="spellStart"/>
      <w:r>
        <w:rPr>
          <w:lang w:val="nl-NL"/>
        </w:rPr>
        <w:t>where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name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description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UN </w:t>
      </w:r>
      <w:proofErr w:type="spellStart"/>
      <w:r>
        <w:rPr>
          <w:lang w:val="nl-NL"/>
        </w:rPr>
        <w:t>numbers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not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same</w:t>
      </w:r>
      <w:proofErr w:type="spellEnd"/>
      <w:r>
        <w:rPr>
          <w:lang w:val="nl-NL"/>
        </w:rPr>
        <w:t xml:space="preserve"> in </w:t>
      </w:r>
      <w:proofErr w:type="spellStart"/>
      <w:r>
        <w:rPr>
          <w:lang w:val="nl-NL"/>
        </w:rPr>
        <w:t>between</w:t>
      </w:r>
      <w:proofErr w:type="spellEnd"/>
      <w:r>
        <w:rPr>
          <w:lang w:val="nl-NL"/>
        </w:rPr>
        <w:t xml:space="preserve"> Model </w:t>
      </w:r>
      <w:proofErr w:type="spellStart"/>
      <w:r>
        <w:rPr>
          <w:lang w:val="nl-NL"/>
        </w:rPr>
        <w:t>Regulations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RID/ADR. In most cases, </w:t>
      </w:r>
      <w:proofErr w:type="spellStart"/>
      <w:r>
        <w:rPr>
          <w:lang w:val="nl-NL"/>
        </w:rPr>
        <w:t>this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happens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RID/ADR “</w:t>
      </w:r>
      <w:proofErr w:type="spellStart"/>
      <w:r>
        <w:rPr>
          <w:lang w:val="nl-NL"/>
        </w:rPr>
        <w:t>subdivides</w:t>
      </w:r>
      <w:proofErr w:type="spellEnd"/>
      <w:r>
        <w:rPr>
          <w:lang w:val="nl-NL"/>
        </w:rPr>
        <w:t xml:space="preserve">” </w:t>
      </w:r>
      <w:proofErr w:type="spellStart"/>
      <w:r>
        <w:rPr>
          <w:lang w:val="nl-NL"/>
        </w:rPr>
        <w:t>one</w:t>
      </w:r>
      <w:proofErr w:type="spellEnd"/>
      <w:r>
        <w:rPr>
          <w:lang w:val="nl-NL"/>
        </w:rPr>
        <w:t xml:space="preserve"> UN </w:t>
      </w:r>
      <w:proofErr w:type="spellStart"/>
      <w:r>
        <w:rPr>
          <w:lang w:val="nl-NL"/>
        </w:rPr>
        <w:t>number</w:t>
      </w:r>
      <w:proofErr w:type="spellEnd"/>
      <w:r>
        <w:rPr>
          <w:lang w:val="nl-NL"/>
        </w:rPr>
        <w:t xml:space="preserve"> in different cases,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different </w:t>
      </w:r>
      <w:proofErr w:type="spellStart"/>
      <w:r>
        <w:rPr>
          <w:lang w:val="nl-NL"/>
        </w:rPr>
        <w:t>packing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groups</w:t>
      </w:r>
      <w:proofErr w:type="spellEnd"/>
      <w:r>
        <w:rPr>
          <w:lang w:val="nl-NL"/>
        </w:rPr>
        <w:t xml:space="preserve"> or </w:t>
      </w:r>
      <w:proofErr w:type="spellStart"/>
      <w:r>
        <w:rPr>
          <w:lang w:val="nl-NL"/>
        </w:rPr>
        <w:t>circunstances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example</w:t>
      </w:r>
      <w:proofErr w:type="spellEnd"/>
      <w:r>
        <w:rPr>
          <w:lang w:val="nl-NL"/>
        </w:rPr>
        <w:t>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2764"/>
        <w:gridCol w:w="1347"/>
      </w:tblGrid>
      <w:tr w:rsidR="009B65DD" w:rsidRPr="00E62907" w:rsidTr="00005E26">
        <w:trPr>
          <w:trHeight w:val="558"/>
        </w:trPr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UN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tabs>
                <w:tab w:val="left" w:pos="1910"/>
              </w:tabs>
              <w:spacing w:before="60" w:afterLines="60" w:after="144"/>
              <w:ind w:left="0" w:right="317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Model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Regulations</w:t>
            </w:r>
            <w:proofErr w:type="spellEnd"/>
          </w:p>
        </w:tc>
        <w:tc>
          <w:tcPr>
            <w:tcW w:w="2764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RID/ADR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tabs>
                <w:tab w:val="left" w:pos="264"/>
              </w:tabs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proofErr w:type="gram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PG</w:t>
            </w:r>
            <w:proofErr w:type="gramEnd"/>
          </w:p>
        </w:tc>
      </w:tr>
      <w:tr w:rsidR="009B65DD" w:rsidRPr="00E62907" w:rsidTr="00005E26"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1169</w:t>
            </w:r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tabs>
                <w:tab w:val="left" w:pos="1565"/>
              </w:tabs>
              <w:spacing w:before="60" w:afterLines="60" w:after="144"/>
              <w:ind w:left="-1091" w:right="105" w:firstLine="112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EXTRACTS, AROMATIC, LIQUID</w:t>
            </w:r>
          </w:p>
        </w:tc>
        <w:tc>
          <w:tcPr>
            <w:tcW w:w="2764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EXTRACTS, AROMATIC, LIQUID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(vapour pressure at 50 °C more than 110 kPa)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II</w:t>
            </w:r>
          </w:p>
        </w:tc>
      </w:tr>
      <w:tr w:rsidR="009B65DD" w:rsidRPr="00E62907" w:rsidTr="00005E26"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64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EXTRACTS, AROMATIC, LIQUID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(vapour pressure at 50 °C not more than 110 kPa)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II</w:t>
            </w:r>
          </w:p>
        </w:tc>
      </w:tr>
      <w:tr w:rsidR="009B65DD" w:rsidRPr="00E62907" w:rsidTr="00005E26">
        <w:trPr>
          <w:trHeight w:val="185"/>
        </w:trPr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64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EXTRACTS, AROMATIC, LIQUID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III</w:t>
            </w:r>
          </w:p>
        </w:tc>
      </w:tr>
      <w:tr w:rsidR="009B65DD" w:rsidRPr="00E62907" w:rsidTr="00005E26"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64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EXTRACTS, AROMATIC, LIQUID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(having a flash-point below 23 °C and viscous according to 2.2.3.1.4) (vapour pressure at 50 °C more than 110 kPa)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III</w:t>
            </w:r>
          </w:p>
        </w:tc>
      </w:tr>
      <w:tr w:rsidR="009B65DD" w:rsidRPr="00E62907" w:rsidTr="00005E26">
        <w:tc>
          <w:tcPr>
            <w:tcW w:w="124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64" w:type="dxa"/>
          </w:tcPr>
          <w:p w:rsidR="009B65DD" w:rsidRPr="00E62907" w:rsidRDefault="009B65DD" w:rsidP="00E62907">
            <w:pPr>
              <w:pStyle w:val="SingleTxtG"/>
              <w:tabs>
                <w:tab w:val="left" w:pos="1565"/>
              </w:tabs>
              <w:spacing w:before="60" w:afterLines="60" w:after="144" w:line="240" w:lineRule="auto"/>
              <w:ind w:left="0" w:right="-4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EXTRACTS, AROMATIC, LIQUID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(having a flash-point below 23 °C and viscous according to 2.2.3.1.4) (vapour pressure at 50 °C not more than 110 kPa)</w:t>
            </w:r>
          </w:p>
        </w:tc>
        <w:tc>
          <w:tcPr>
            <w:tcW w:w="1347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III</w:t>
            </w:r>
          </w:p>
        </w:tc>
      </w:tr>
    </w:tbl>
    <w:p w:rsidR="009B65DD" w:rsidRDefault="009B65DD" w:rsidP="009B65DD">
      <w:pPr>
        <w:pStyle w:val="SingleTxtG"/>
        <w:rPr>
          <w:lang w:val="nl-NL"/>
        </w:rPr>
      </w:pPr>
    </w:p>
    <w:p w:rsidR="009B65DD" w:rsidRPr="00E62907" w:rsidRDefault="009B65DD" w:rsidP="00E62907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  <w:t xml:space="preserve">Nevertheless, there are other cases when the reasons for differing UN number names </w:t>
      </w:r>
      <w:r w:rsidRPr="00E62907">
        <w:t>are not so apparent. This is the case for UN 1012, 1326, 1345, 1352, 1358, 2015 and UN 2071.</w:t>
      </w:r>
    </w:p>
    <w:p w:rsidR="009B65DD" w:rsidRDefault="009B65DD" w:rsidP="00E62907">
      <w:pPr>
        <w:pStyle w:val="SingleTxtG"/>
        <w:rPr>
          <w:lang w:val="en-US"/>
        </w:rPr>
      </w:pPr>
      <w:r w:rsidRPr="00E62907">
        <w:t>3.</w:t>
      </w:r>
      <w:r w:rsidRPr="00E62907">
        <w:tab/>
        <w:t>Th</w:t>
      </w:r>
      <w:r w:rsidR="006365C3">
        <w:t>is</w:t>
      </w:r>
      <w:r w:rsidRPr="00E62907">
        <w:t xml:space="preserve"> case will be analysed more in depth in this document, as permitting a harmonization with the Model Regulations and other transport modes would enable a more rational</w:t>
      </w:r>
      <w:r>
        <w:rPr>
          <w:lang w:val="en-US"/>
        </w:rPr>
        <w:t xml:space="preserve"> approach and ease administrative burdens during transport. </w:t>
      </w:r>
    </w:p>
    <w:p w:rsidR="009B65DD" w:rsidRPr="009A2C3D" w:rsidRDefault="009B65DD" w:rsidP="009B65DD">
      <w:pPr>
        <w:pStyle w:val="HChG"/>
        <w:spacing w:before="120" w:after="120"/>
        <w:rPr>
          <w:rFonts w:eastAsiaTheme="minorEastAsia"/>
          <w:lang w:val="en-US" w:eastAsia="zh-CN"/>
        </w:rPr>
      </w:pPr>
      <w:r w:rsidRPr="009A2C3D">
        <w:rPr>
          <w:rFonts w:eastAsiaTheme="minorEastAsia"/>
          <w:lang w:val="en-US" w:eastAsia="zh-CN"/>
        </w:rPr>
        <w:tab/>
      </w:r>
      <w:r w:rsidRPr="009A2C3D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UN 1012 BUTYLENE</w:t>
      </w:r>
    </w:p>
    <w:p w:rsidR="009B65DD" w:rsidRDefault="009B65DD" w:rsidP="00E62907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Name and description of UN 1012 in the Model Regulations and RID/ADR are the following: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907"/>
        <w:gridCol w:w="2304"/>
        <w:gridCol w:w="2268"/>
      </w:tblGrid>
      <w:tr w:rsidR="009B65DD" w:rsidRPr="00E62907" w:rsidTr="00005E26">
        <w:tc>
          <w:tcPr>
            <w:tcW w:w="2907" w:type="dxa"/>
          </w:tcPr>
          <w:p w:rsidR="009B65DD" w:rsidRPr="00E62907" w:rsidRDefault="009B65DD" w:rsidP="00005E26">
            <w:pPr>
              <w:pStyle w:val="SingleTxtG"/>
              <w:ind w:left="0" w:right="34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UN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2304" w:type="dxa"/>
          </w:tcPr>
          <w:p w:rsidR="009B65DD" w:rsidRPr="00E62907" w:rsidRDefault="009B65DD" w:rsidP="00005E26">
            <w:pPr>
              <w:pStyle w:val="SingleTxtG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Model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Regulations</w:t>
            </w:r>
            <w:proofErr w:type="spellEnd"/>
          </w:p>
        </w:tc>
        <w:tc>
          <w:tcPr>
            <w:tcW w:w="2268" w:type="dxa"/>
          </w:tcPr>
          <w:p w:rsidR="009B65DD" w:rsidRPr="00E62907" w:rsidRDefault="009B65DD" w:rsidP="00005E26">
            <w:pPr>
              <w:pStyle w:val="SingleTxtG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RID/ADR</w:t>
            </w:r>
          </w:p>
        </w:tc>
      </w:tr>
      <w:tr w:rsidR="009B65DD" w:rsidRPr="00E62907" w:rsidTr="00005E26">
        <w:tc>
          <w:tcPr>
            <w:tcW w:w="2907" w:type="dxa"/>
            <w:vAlign w:val="center"/>
          </w:tcPr>
          <w:p w:rsidR="009B65DD" w:rsidRPr="00E62907" w:rsidRDefault="009B65DD" w:rsidP="00005E26">
            <w:pPr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1012</w:t>
            </w:r>
          </w:p>
        </w:tc>
        <w:tc>
          <w:tcPr>
            <w:tcW w:w="2304" w:type="dxa"/>
          </w:tcPr>
          <w:p w:rsidR="009B65DD" w:rsidRPr="00E62907" w:rsidRDefault="009B65DD" w:rsidP="00005E26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BUTYLENE</w:t>
            </w:r>
          </w:p>
        </w:tc>
        <w:tc>
          <w:tcPr>
            <w:tcW w:w="2268" w:type="dxa"/>
          </w:tcPr>
          <w:p w:rsidR="009B65DD" w:rsidRPr="00E62907" w:rsidRDefault="009B65DD" w:rsidP="00005E26">
            <w:pPr>
              <w:spacing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BUTYLENE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BUTYLENES MIXTURE or 1-BUTYLENE or cis-2-BUTYLENE or trans-2- BUTYLENE</w:t>
            </w:r>
          </w:p>
        </w:tc>
      </w:tr>
    </w:tbl>
    <w:p w:rsidR="009B65DD" w:rsidRDefault="009B65DD" w:rsidP="009B65DD">
      <w:pPr>
        <w:pStyle w:val="SingleTxtG"/>
        <w:rPr>
          <w:lang w:val="en-US"/>
        </w:rPr>
      </w:pP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423114">
        <w:rPr>
          <w:lang w:val="en-US"/>
        </w:rPr>
        <w:t>Butylene, also known as butene, is a series of alkenes with the general formula C</w:t>
      </w:r>
      <w:r w:rsidRPr="00423114">
        <w:rPr>
          <w:vertAlign w:val="subscript"/>
          <w:lang w:val="en-US"/>
        </w:rPr>
        <w:t>4</w:t>
      </w:r>
      <w:r w:rsidRPr="00423114">
        <w:rPr>
          <w:lang w:val="en-US"/>
        </w:rPr>
        <w:t>H</w:t>
      </w:r>
      <w:r w:rsidRPr="00423114">
        <w:rPr>
          <w:vertAlign w:val="subscript"/>
          <w:lang w:val="en-US"/>
        </w:rPr>
        <w:t>8</w:t>
      </w:r>
      <w:r w:rsidRPr="00423114">
        <w:rPr>
          <w:lang w:val="en-US"/>
        </w:rPr>
        <w:t>.</w:t>
      </w:r>
      <w:r>
        <w:rPr>
          <w:lang w:val="en-US"/>
        </w:rPr>
        <w:t xml:space="preserve"> There exist four different isomers of alkenes that correspond to the mentioned formula:</w:t>
      </w:r>
    </w:p>
    <w:p w:rsidR="009B65DD" w:rsidRDefault="009B65DD" w:rsidP="009B65DD">
      <w:pPr>
        <w:pStyle w:val="SingleTxtG"/>
        <w:rPr>
          <w:lang w:val="en-US"/>
        </w:rPr>
      </w:pPr>
    </w:p>
    <w:tbl>
      <w:tblPr>
        <w:tblStyle w:val="TableGrid"/>
        <w:tblW w:w="7479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08"/>
        <w:gridCol w:w="2039"/>
        <w:gridCol w:w="3732"/>
      </w:tblGrid>
      <w:tr w:rsidR="009B65DD" w:rsidRPr="00E62907" w:rsidTr="00005E26">
        <w:tc>
          <w:tcPr>
            <w:tcW w:w="1708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IUPAC name </w:t>
            </w:r>
          </w:p>
        </w:tc>
        <w:tc>
          <w:tcPr>
            <w:tcW w:w="2039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Common name </w:t>
            </w:r>
          </w:p>
        </w:tc>
        <w:tc>
          <w:tcPr>
            <w:tcW w:w="3732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Structure </w:t>
            </w:r>
          </w:p>
        </w:tc>
      </w:tr>
      <w:tr w:rsidR="009B65DD" w:rsidRPr="00E62907" w:rsidTr="00005E26">
        <w:tc>
          <w:tcPr>
            <w:tcW w:w="1708" w:type="dxa"/>
          </w:tcPr>
          <w:p w:rsidR="009B65DD" w:rsidRPr="00E62907" w:rsidRDefault="009B4C71" w:rsidP="00E62907">
            <w:pPr>
              <w:pStyle w:val="SingleTxtG"/>
              <w:spacing w:before="60" w:afterLines="60" w:after="144"/>
              <w:ind w:left="0" w:right="-6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" w:tooltip="1-Butene" w:history="1"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But-1-ene</w:t>
              </w:r>
            </w:hyperlink>
          </w:p>
        </w:tc>
        <w:tc>
          <w:tcPr>
            <w:tcW w:w="2039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</w:rPr>
              <w:t>α-butylene or 1-butylene</w:t>
            </w:r>
          </w:p>
        </w:tc>
        <w:tc>
          <w:tcPr>
            <w:tcW w:w="373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val="es-ES" w:eastAsia="es-ES"/>
              </w:rPr>
              <w:drawing>
                <wp:inline distT="0" distB="0" distL="0" distR="0" wp14:anchorId="259F23F7" wp14:editId="653372B3">
                  <wp:extent cx="1997075" cy="1170305"/>
                  <wp:effectExtent l="0" t="0" r="3175" b="0"/>
                  <wp:docPr id="13" name="Imagen 13" descr="1-butene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butene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DD" w:rsidRPr="00E62907" w:rsidTr="00005E26">
        <w:tc>
          <w:tcPr>
            <w:tcW w:w="1708" w:type="dxa"/>
            <w:vAlign w:val="center"/>
          </w:tcPr>
          <w:p w:rsidR="009B65DD" w:rsidRPr="00E62907" w:rsidRDefault="009B4C71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12" w:tooltip="2-Butene" w:history="1"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(2</w:t>
              </w:r>
              <w:r w:rsidR="009B65DD" w:rsidRPr="00E62907">
                <w:rPr>
                  <w:rStyle w:val="Hyperlink"/>
                  <w:rFonts w:asciiTheme="majorBidi" w:hAnsiTheme="majorBidi" w:cstheme="majorBidi"/>
                  <w:i/>
                  <w:iCs/>
                  <w:sz w:val="16"/>
                  <w:szCs w:val="16"/>
                </w:rPr>
                <w:t>Z</w:t>
              </w:r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)-but-2-ene</w:t>
              </w:r>
            </w:hyperlink>
            <w:r w:rsidR="009B65DD" w:rsidRPr="00E6290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cis</w:t>
            </w:r>
            <w:r w:rsidRPr="00E62907">
              <w:rPr>
                <w:rFonts w:asciiTheme="majorBidi" w:hAnsiTheme="majorBidi" w:cstheme="majorBidi"/>
                <w:sz w:val="16"/>
                <w:szCs w:val="16"/>
              </w:rPr>
              <w:t>-β-butylene or cis-2-butylene</w:t>
            </w:r>
          </w:p>
        </w:tc>
        <w:tc>
          <w:tcPr>
            <w:tcW w:w="3732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val="es-ES" w:eastAsia="es-ES"/>
              </w:rPr>
              <w:drawing>
                <wp:inline distT="0" distB="0" distL="0" distR="0" wp14:anchorId="01C4312C" wp14:editId="5E9F06ED">
                  <wp:extent cx="1616710" cy="1192530"/>
                  <wp:effectExtent l="0" t="0" r="2540" b="0"/>
                  <wp:docPr id="14" name="Imagen 14" descr="Cis-2-buten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s-2-buten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DD" w:rsidRPr="00E62907" w:rsidTr="00005E26">
        <w:tc>
          <w:tcPr>
            <w:tcW w:w="1708" w:type="dxa"/>
            <w:vAlign w:val="center"/>
          </w:tcPr>
          <w:p w:rsidR="009B65DD" w:rsidRPr="00E62907" w:rsidRDefault="009B4C71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15" w:tooltip="2-Butene" w:history="1"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(2</w:t>
              </w:r>
              <w:r w:rsidR="009B65DD" w:rsidRPr="00E62907">
                <w:rPr>
                  <w:rStyle w:val="Hyperlink"/>
                  <w:rFonts w:asciiTheme="majorBidi" w:hAnsiTheme="majorBidi" w:cstheme="majorBidi"/>
                  <w:i/>
                  <w:iCs/>
                  <w:sz w:val="16"/>
                  <w:szCs w:val="16"/>
                </w:rPr>
                <w:t>E</w:t>
              </w:r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)-but-2-ene</w:t>
              </w:r>
            </w:hyperlink>
            <w:r w:rsidR="009B65DD" w:rsidRPr="00E6290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trans</w:t>
            </w:r>
            <w:r w:rsidRPr="00E62907">
              <w:rPr>
                <w:rFonts w:asciiTheme="majorBidi" w:hAnsiTheme="majorBidi" w:cstheme="majorBidi"/>
                <w:sz w:val="16"/>
                <w:szCs w:val="16"/>
              </w:rPr>
              <w:t>-β-butylene or trans-2-butylene</w:t>
            </w:r>
          </w:p>
        </w:tc>
        <w:tc>
          <w:tcPr>
            <w:tcW w:w="3732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val="es-ES" w:eastAsia="es-ES"/>
              </w:rPr>
              <w:drawing>
                <wp:inline distT="0" distB="0" distL="0" distR="0" wp14:anchorId="15D996CE" wp14:editId="577B2C1C">
                  <wp:extent cx="1616710" cy="1228725"/>
                  <wp:effectExtent l="0" t="0" r="2540" b="0"/>
                  <wp:docPr id="15" name="Imagen 15" descr="Trans-2-butene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-2-butene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DD" w:rsidRPr="00E62907" w:rsidTr="00005E26">
        <w:tc>
          <w:tcPr>
            <w:tcW w:w="1708" w:type="dxa"/>
            <w:vAlign w:val="center"/>
          </w:tcPr>
          <w:p w:rsidR="009B65DD" w:rsidRPr="00E62907" w:rsidRDefault="009B4C71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18" w:tooltip="Isobutylene" w:history="1">
              <w:r w:rsidR="009B65DD" w:rsidRPr="00E62907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2-methylprop-1-ene</w:t>
              </w:r>
            </w:hyperlink>
            <w:r w:rsidR="009B65DD" w:rsidRPr="00E6290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</w:rPr>
              <w:t xml:space="preserve">Isobutylene </w:t>
            </w:r>
          </w:p>
        </w:tc>
        <w:tc>
          <w:tcPr>
            <w:tcW w:w="3732" w:type="dxa"/>
            <w:vAlign w:val="center"/>
          </w:tcPr>
          <w:p w:rsidR="009B65DD" w:rsidRPr="00E62907" w:rsidRDefault="009B65DD" w:rsidP="00E62907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val="es-ES" w:eastAsia="es-ES"/>
              </w:rPr>
              <w:drawing>
                <wp:inline distT="0" distB="0" distL="0" distR="0" wp14:anchorId="2B580EC2" wp14:editId="6C3AE11F">
                  <wp:extent cx="1382395" cy="1250950"/>
                  <wp:effectExtent l="0" t="0" r="0" b="0"/>
                  <wp:docPr id="16" name="Imagen 16" descr="Methylpropen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thylpropen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5DD" w:rsidRDefault="009B65DD" w:rsidP="009B65DD">
      <w:pPr>
        <w:pStyle w:val="SingleTxtG"/>
        <w:rPr>
          <w:lang w:val="en-US"/>
        </w:rPr>
      </w:pP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The name “butylene” seems to include all 4 isomers, so there seems to be no need to include the names of the isomers separately, as in the RID-ADR name. “Butylene mixture” explicitly includes also a mixture of these isomers; but this also is generally included under the general name “butylene”. The isomer isobutylene is not mentioned explicitly in the RID/ADR name and this may induce to think that for RID/ADR is not possible to carry it under this UN number except as when in mixture with other isomers.</w:t>
      </w: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Therefore, apparently the additional text included into the RID/ADR name and description does not seem necessary.</w:t>
      </w:r>
    </w:p>
    <w:p w:rsidR="009B65DD" w:rsidRPr="002E74D6" w:rsidRDefault="009B65DD" w:rsidP="009B65DD">
      <w:pPr>
        <w:pStyle w:val="HChG"/>
        <w:spacing w:before="120" w:after="120"/>
        <w:ind w:firstLine="0"/>
        <w:rPr>
          <w:rFonts w:eastAsiaTheme="minorEastAsia"/>
          <w:lang w:val="en-US" w:eastAsia="zh-CN"/>
        </w:rPr>
      </w:pPr>
      <w:r w:rsidRPr="002E74D6">
        <w:rPr>
          <w:rFonts w:eastAsiaTheme="minorEastAsia"/>
          <w:lang w:val="en-US" w:eastAsia="zh-CN"/>
        </w:rPr>
        <w:t>Hafnium,</w:t>
      </w:r>
      <w:r>
        <w:rPr>
          <w:rFonts w:eastAsiaTheme="minorEastAsia"/>
          <w:lang w:val="en-US" w:eastAsia="zh-CN"/>
        </w:rPr>
        <w:t xml:space="preserve"> </w:t>
      </w:r>
      <w:r w:rsidRPr="002E74D6">
        <w:rPr>
          <w:rFonts w:eastAsiaTheme="minorEastAsia"/>
          <w:lang w:val="en-US" w:eastAsia="zh-CN"/>
        </w:rPr>
        <w:t>zirconium and titanium powder and rubber scrap</w:t>
      </w: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Name and description of UN 1326, 1345,1352 and 1358 in the Model Regulations and RID/ADR are the following: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</w:tblGrid>
      <w:tr w:rsidR="009B65DD" w:rsidRPr="00E62907" w:rsidTr="00005E26">
        <w:tc>
          <w:tcPr>
            <w:tcW w:w="1809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UN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2835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Model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Regulations</w:t>
            </w:r>
            <w:proofErr w:type="spellEnd"/>
          </w:p>
        </w:tc>
        <w:tc>
          <w:tcPr>
            <w:tcW w:w="2835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RID/ADR</w:t>
            </w:r>
          </w:p>
        </w:tc>
      </w:tr>
      <w:tr w:rsidR="009B65DD" w:rsidRPr="00E62907" w:rsidTr="00005E26">
        <w:tc>
          <w:tcPr>
            <w:tcW w:w="1809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1326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 xml:space="preserve">HAFNIUM POWDER, WETTED with not less than 25% water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b) chemically produced, particle size less than 840 microns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HAFNIUM POWDER, WETTED with not less than 25% water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b) chemically produced, particle size less than 840 microns</w:t>
            </w:r>
          </w:p>
        </w:tc>
      </w:tr>
      <w:tr w:rsidR="009B65DD" w:rsidRPr="00E62907" w:rsidTr="00005E26">
        <w:tc>
          <w:tcPr>
            <w:tcW w:w="1809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1345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RUBBER SCRAP or RUBBER SHODDY, powdered or granulated, not exceeding 840 microns and rubber content exceeding 45%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RUBBER SCRAP or RUBBER SHODDY, powdered or granulated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, not exceeding 840 microns and rubber content exceeding 45%</w:t>
            </w:r>
          </w:p>
        </w:tc>
      </w:tr>
      <w:tr w:rsidR="009B65DD" w:rsidRPr="00E62907" w:rsidTr="00005E26">
        <w:tc>
          <w:tcPr>
            <w:tcW w:w="1809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1352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 xml:space="preserve">TITANIUM POWDER, WETTED with not less than 25% water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b) chemically produced particle size less than 840 microns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TITANIUM POWDER, WETTED with not less than 25% water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b) chemically produced particle size less than 840 microns</w:t>
            </w:r>
          </w:p>
        </w:tc>
      </w:tr>
      <w:tr w:rsidR="009B65DD" w:rsidRPr="00E62907" w:rsidTr="00005E26">
        <w:tc>
          <w:tcPr>
            <w:tcW w:w="1809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1358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 xml:space="preserve">ZIRCONIUM POWDER, WETTED with not less than 25% water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b) chemically produced particle size less than 840 microns</w:t>
            </w:r>
          </w:p>
        </w:tc>
        <w:tc>
          <w:tcPr>
            <w:tcW w:w="2835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ZIRCONIUM POWDER, WETTED with not less than 25% water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(a visible excess of water must be present) (a) mechanically produced, particle size less than 53 </w:t>
            </w:r>
            <w:proofErr w:type="gram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microns;  (</w:t>
            </w:r>
            <w:proofErr w:type="gramEnd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b) chemically produced particle size less than 840 microns</w:t>
            </w:r>
          </w:p>
        </w:tc>
      </w:tr>
    </w:tbl>
    <w:p w:rsidR="009B65DD" w:rsidRDefault="009B65DD" w:rsidP="009B65DD">
      <w:pPr>
        <w:pStyle w:val="SingleTxtG"/>
        <w:rPr>
          <w:lang w:val="en-US"/>
        </w:rPr>
      </w:pP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For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these cases, RID/ADR cover these substances independently from their granulometry, while the Model Regulations restrict the cases to the ones that apparently cause more hazards. </w:t>
      </w: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lastRenderedPageBreak/>
        <w:t>10.</w:t>
      </w:r>
      <w:r>
        <w:rPr>
          <w:lang w:val="en-US"/>
        </w:rPr>
        <w:tab/>
        <w:t>In other modes of transport, the UN numbers have the same description as in the Model Regulations. The RID/ADR description covers more cases than the Model Regulations description, and this may lead to incongruences.</w:t>
      </w:r>
    </w:p>
    <w:p w:rsidR="009B65DD" w:rsidRDefault="009B65DD" w:rsidP="009B65DD">
      <w:pPr>
        <w:pStyle w:val="HChG"/>
        <w:spacing w:before="240"/>
        <w:ind w:firstLine="0"/>
        <w:rPr>
          <w:rFonts w:eastAsiaTheme="minorEastAsia"/>
          <w:lang w:val="en-US" w:eastAsia="zh-CN"/>
        </w:rPr>
      </w:pPr>
      <w:r w:rsidRPr="007339F6">
        <w:rPr>
          <w:rFonts w:eastAsiaTheme="minorEastAsia"/>
          <w:lang w:val="en-US" w:eastAsia="zh-CN"/>
        </w:rPr>
        <w:t>UN 2015 Hydrogen peroxide</w:t>
      </w:r>
    </w:p>
    <w:p w:rsidR="009B65DD" w:rsidRPr="007339F6" w:rsidRDefault="009B65DD" w:rsidP="009B65DD">
      <w:pPr>
        <w:pStyle w:val="SingleTxtG"/>
        <w:rPr>
          <w:lang w:val="en-US" w:eastAsia="zh-CN"/>
        </w:rPr>
      </w:pPr>
      <w:r>
        <w:rPr>
          <w:lang w:val="en-US" w:eastAsia="zh-CN"/>
        </w:rPr>
        <w:t>11.</w:t>
      </w:r>
      <w:r>
        <w:rPr>
          <w:lang w:val="en-US" w:eastAsia="zh-CN"/>
        </w:rPr>
        <w:tab/>
        <w:t>For hydrogen peroxide, two different entries exist in RID/ADR that subdivide this UN number in the one with 60-70% and more than 70% of hydrogen peroxide. But additionally, this entry is restricted only to the carriage of hydrogen peroxide carried as aqueous solution, but not as stabilized product: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384"/>
        <w:gridCol w:w="2693"/>
        <w:gridCol w:w="3402"/>
      </w:tblGrid>
      <w:tr w:rsidR="009B65DD" w:rsidRPr="00E62907" w:rsidTr="00005E26">
        <w:tc>
          <w:tcPr>
            <w:tcW w:w="1384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UN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2693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Model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Regulations</w:t>
            </w:r>
            <w:proofErr w:type="spellEnd"/>
          </w:p>
        </w:tc>
        <w:tc>
          <w:tcPr>
            <w:tcW w:w="340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RID/ADR</w:t>
            </w:r>
          </w:p>
        </w:tc>
      </w:tr>
      <w:tr w:rsidR="009B65DD" w:rsidRPr="00E62907" w:rsidTr="00005E26">
        <w:tc>
          <w:tcPr>
            <w:tcW w:w="1384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2015</w:t>
            </w:r>
          </w:p>
        </w:tc>
        <w:tc>
          <w:tcPr>
            <w:tcW w:w="2693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proofErr w:type="gramStart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HYDROGEN PEROXIDE,</w:t>
            </w:r>
            <w:proofErr w:type="gramEnd"/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 xml:space="preserve"> STABILIZED or HYDROGEN PEROXIDE, AQUEOUS SOLUTION, STABILIZED with more than 60% hydrogen peroxide</w:t>
            </w:r>
          </w:p>
        </w:tc>
        <w:tc>
          <w:tcPr>
            <w:tcW w:w="3402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  <w:lang w:eastAsia="es-ES"/>
              </w:rPr>
            </w:pPr>
            <w:proofErr w:type="gram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HYDROGEN PEROXIDE,</w:t>
            </w:r>
            <w:proofErr w:type="gramEnd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STABILIZED or </w:t>
            </w: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 xml:space="preserve">HYDROGEN PEROXIDE, AQUEOUS SOLUTION, STABILIZED with more than 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60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70</w:t>
            </w: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% hydrogen peroxide</w:t>
            </w:r>
          </w:p>
        </w:tc>
      </w:tr>
      <w:tr w:rsidR="009B65DD" w:rsidRPr="00E62907" w:rsidTr="00005E26">
        <w:tc>
          <w:tcPr>
            <w:tcW w:w="1384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  <w:lang w:eastAsia="es-ES"/>
              </w:rPr>
            </w:pPr>
            <w:proofErr w:type="gram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HYDROGEN PEROXIDE,</w:t>
            </w:r>
            <w:proofErr w:type="gramEnd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STABILIZED or </w:t>
            </w: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HYDROGEN PEROXIDE, AQUEOUS SOLUTION, STABILIZED with more than 60% hydrogen peroxide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and not more than 70% hydrogen peroxide</w:t>
            </w:r>
          </w:p>
        </w:tc>
      </w:tr>
    </w:tbl>
    <w:p w:rsidR="009B65DD" w:rsidRDefault="009B65DD" w:rsidP="009B65DD">
      <w:pPr>
        <w:pStyle w:val="SingleTxtG"/>
        <w:rPr>
          <w:lang w:val="en-US"/>
        </w:rPr>
      </w:pP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Therefore, under the Model Regulations </w:t>
      </w:r>
      <w:r w:rsidRPr="0099138C">
        <w:rPr>
          <w:caps/>
          <w:lang w:val="en-US"/>
        </w:rPr>
        <w:t>hydrogen peroxide, stabilized</w:t>
      </w:r>
      <w:r>
        <w:rPr>
          <w:lang w:val="en-US"/>
        </w:rPr>
        <w:t xml:space="preserve"> can be carried under UN 2015, but for RID/ADR not; perhaps this case should be included also into RID/ADR.</w:t>
      </w:r>
    </w:p>
    <w:p w:rsidR="009B65DD" w:rsidRPr="002554D1" w:rsidRDefault="009B65DD" w:rsidP="009B65DD">
      <w:pPr>
        <w:pStyle w:val="HChG"/>
        <w:spacing w:before="240"/>
        <w:ind w:firstLine="0"/>
        <w:rPr>
          <w:rFonts w:eastAsiaTheme="minorEastAsia"/>
          <w:lang w:val="en-US" w:eastAsia="zh-CN"/>
        </w:rPr>
      </w:pPr>
      <w:r w:rsidRPr="002554D1">
        <w:rPr>
          <w:rFonts w:eastAsiaTheme="minorEastAsia"/>
          <w:lang w:val="en-US" w:eastAsia="zh-CN"/>
        </w:rPr>
        <w:t>UN 2071</w:t>
      </w:r>
      <w:r w:rsidR="006365C3">
        <w:rPr>
          <w:rFonts w:eastAsiaTheme="minorEastAsia"/>
          <w:lang w:val="en-US" w:eastAsia="zh-CN"/>
        </w:rPr>
        <w:t xml:space="preserve"> </w:t>
      </w:r>
      <w:r w:rsidRPr="002554D1">
        <w:rPr>
          <w:rFonts w:eastAsiaTheme="minorEastAsia"/>
          <w:lang w:val="en-US" w:eastAsia="zh-CN"/>
        </w:rPr>
        <w:t>and UN 2426 Ammonium nitrate</w:t>
      </w: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Name and description of UN 2071 and UN 2426 in the Model Regulations and RID/ADR are the following: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384"/>
        <w:gridCol w:w="2693"/>
        <w:gridCol w:w="3402"/>
      </w:tblGrid>
      <w:tr w:rsidR="009B65DD" w:rsidRPr="00E62907" w:rsidTr="00005E26">
        <w:tc>
          <w:tcPr>
            <w:tcW w:w="1384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UN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2693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 xml:space="preserve">Model </w:t>
            </w:r>
            <w:proofErr w:type="spellStart"/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Regulations</w:t>
            </w:r>
            <w:proofErr w:type="spellEnd"/>
          </w:p>
        </w:tc>
        <w:tc>
          <w:tcPr>
            <w:tcW w:w="3402" w:type="dxa"/>
          </w:tcPr>
          <w:p w:rsidR="009B65DD" w:rsidRPr="00E62907" w:rsidRDefault="009B65DD" w:rsidP="00E6290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val="nl-NL"/>
              </w:rPr>
              <w:t>RID/ADR</w:t>
            </w:r>
          </w:p>
        </w:tc>
      </w:tr>
      <w:tr w:rsidR="009B65DD" w:rsidRPr="00E62907" w:rsidTr="00005E26">
        <w:tc>
          <w:tcPr>
            <w:tcW w:w="1384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2071</w:t>
            </w:r>
          </w:p>
        </w:tc>
        <w:tc>
          <w:tcPr>
            <w:tcW w:w="2693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AMMONIUM NITRATE BASED FERTILIZER</w:t>
            </w:r>
          </w:p>
        </w:tc>
        <w:tc>
          <w:tcPr>
            <w:tcW w:w="3402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AMMONIUM NITRATE BASED </w:t>
            </w:r>
            <w:proofErr w:type="spellStart"/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FERTILIZER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Ammonium</w:t>
            </w:r>
            <w:proofErr w:type="spellEnd"/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gramStart"/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nitrate based</w:t>
            </w:r>
            <w:proofErr w:type="gramEnd"/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 fertilizer, uniform mixtures of the nitrogen/phosphate, nitrogen/potash or nitrogen/phosphate/potash type, containing not more than 70% ammonium nitrate and not more than 0.4% total combustible/organic material calculated as carbon or with not more than 45% ammonium nitrate and unrestricted combustible material</w:t>
            </w:r>
          </w:p>
        </w:tc>
      </w:tr>
      <w:tr w:rsidR="009B65DD" w:rsidRPr="00E62907" w:rsidTr="00005E26">
        <w:tc>
          <w:tcPr>
            <w:tcW w:w="1384" w:type="dxa"/>
            <w:vAlign w:val="center"/>
          </w:tcPr>
          <w:p w:rsidR="009B65DD" w:rsidRPr="00E62907" w:rsidRDefault="009B65DD" w:rsidP="00E62907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2426</w:t>
            </w:r>
          </w:p>
        </w:tc>
        <w:tc>
          <w:tcPr>
            <w:tcW w:w="2693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sz w:val="16"/>
                <w:szCs w:val="16"/>
                <w:lang w:eastAsia="es-ES"/>
              </w:rPr>
              <w:t>AMMONIUM NITRATE, LIQUID (hot concentrated solution)</w:t>
            </w:r>
          </w:p>
        </w:tc>
        <w:tc>
          <w:tcPr>
            <w:tcW w:w="3402" w:type="dxa"/>
          </w:tcPr>
          <w:p w:rsidR="009B65DD" w:rsidRPr="00E62907" w:rsidRDefault="009B65DD" w:rsidP="00E6290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</w:pP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AMMONIUM NITRATE, LIQUID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 (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 xml:space="preserve">, </w:t>
            </w:r>
            <w:r w:rsidRPr="00E62907">
              <w:rPr>
                <w:rFonts w:asciiTheme="majorBidi" w:hAnsiTheme="majorBidi" w:cstheme="majorBidi"/>
                <w:color w:val="000000"/>
                <w:sz w:val="16"/>
                <w:szCs w:val="16"/>
                <w:lang w:eastAsia="es-ES"/>
              </w:rPr>
              <w:t>hot concentrated solution</w:t>
            </w:r>
            <w:r w:rsidRPr="00E62907">
              <w:rPr>
                <w:rFonts w:asciiTheme="majorBidi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)</w:t>
            </w:r>
            <w:r w:rsidRPr="00E62907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, in a concentration of more than 80% but not more than 93%</w:t>
            </w:r>
          </w:p>
        </w:tc>
      </w:tr>
    </w:tbl>
    <w:p w:rsidR="009B65DD" w:rsidRDefault="009B65DD" w:rsidP="009B65DD">
      <w:pPr>
        <w:pStyle w:val="SingleTxtG"/>
        <w:rPr>
          <w:lang w:val="en-US"/>
        </w:rPr>
      </w:pPr>
    </w:p>
    <w:p w:rsidR="009B65DD" w:rsidRDefault="009B65DD" w:rsidP="009B65DD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The different name and description are due to a different way to implementing the provisions on ammonium nitrate. As changes have been made in this respect in the 20</w:t>
      </w:r>
      <w:r w:rsidRPr="0099138C">
        <w:rPr>
          <w:vertAlign w:val="superscript"/>
          <w:lang w:val="en-US"/>
        </w:rPr>
        <w:t>th</w:t>
      </w:r>
      <w:r>
        <w:rPr>
          <w:lang w:val="en-US"/>
        </w:rPr>
        <w:t xml:space="preserve"> edition of the Model Regulations, this difference in the name and description should be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as part of the harmonization work on this subject.</w:t>
      </w:r>
    </w:p>
    <w:p w:rsidR="009B65DD" w:rsidRDefault="009B65DD" w:rsidP="009B65DD">
      <w:pPr>
        <w:pStyle w:val="HChG"/>
        <w:spacing w:before="240"/>
        <w:rPr>
          <w:rFonts w:eastAsiaTheme="minorEastAsia"/>
          <w:lang w:val="en-US" w:eastAsia="zh-CN"/>
        </w:rPr>
      </w:pPr>
      <w:r w:rsidRPr="001027FB">
        <w:rPr>
          <w:rFonts w:eastAsiaTheme="minorEastAsia"/>
          <w:lang w:val="en-US" w:eastAsia="zh-CN"/>
        </w:rPr>
        <w:tab/>
      </w:r>
      <w:r w:rsidRPr="001027FB">
        <w:rPr>
          <w:rFonts w:eastAsiaTheme="minorEastAsia"/>
          <w:lang w:val="en-US" w:eastAsia="zh-CN"/>
        </w:rPr>
        <w:tab/>
      </w:r>
      <w:r w:rsidRPr="00576C71">
        <w:rPr>
          <w:rFonts w:eastAsiaTheme="minorEastAsia"/>
          <w:lang w:val="en-US" w:eastAsia="zh-CN"/>
        </w:rPr>
        <w:t>Proposal</w:t>
      </w:r>
      <w:r>
        <w:rPr>
          <w:rFonts w:eastAsiaTheme="minorEastAsia"/>
          <w:lang w:val="en-US" w:eastAsia="zh-CN"/>
        </w:rPr>
        <w:t>s</w:t>
      </w:r>
    </w:p>
    <w:p w:rsidR="009B65DD" w:rsidRDefault="009B65DD" w:rsidP="009B65DD">
      <w:pPr>
        <w:pStyle w:val="SingleTxtG"/>
      </w:pPr>
      <w:r>
        <w:rPr>
          <w:rFonts w:eastAsiaTheme="minorEastAsia"/>
          <w:lang w:val="en-US" w:eastAsia="zh-CN"/>
        </w:rPr>
        <w:t>15.</w:t>
      </w:r>
      <w:r>
        <w:rPr>
          <w:rFonts w:eastAsiaTheme="minorEastAsia"/>
          <w:lang w:val="en-US" w:eastAsia="zh-CN"/>
        </w:rPr>
        <w:tab/>
      </w:r>
      <w:r w:rsidRPr="00296293">
        <w:rPr>
          <w:lang w:val="en-US"/>
        </w:rPr>
        <w:t>Spain would</w:t>
      </w:r>
      <w:r w:rsidRPr="00B21114">
        <w:t xml:space="preserve"> </w:t>
      </w:r>
      <w:r>
        <w:t xml:space="preserve">suggest </w:t>
      </w:r>
      <w:proofErr w:type="gramStart"/>
      <w:r>
        <w:t>to study</w:t>
      </w:r>
      <w:proofErr w:type="gramEnd"/>
      <w:r>
        <w:t xml:space="preserve"> the possibility of harmonizing</w:t>
      </w:r>
      <w:r w:rsidRPr="0099138C">
        <w:t xml:space="preserve"> </w:t>
      </w:r>
      <w:r>
        <w:t>the names and description of these UN numbers with the UN Model Regulations texts.</w:t>
      </w:r>
    </w:p>
    <w:p w:rsidR="00E62907" w:rsidRPr="00E62907" w:rsidRDefault="00E62907" w:rsidP="00E6290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62907" w:rsidRPr="00E62907" w:rsidSect="009B65DD">
      <w:headerReference w:type="even" r:id="rId21"/>
      <w:headerReference w:type="default" r:id="rId22"/>
      <w:footerReference w:type="even" r:id="rId23"/>
      <w:footerReference w:type="default" r:id="rId2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DD" w:rsidRDefault="009B65DD"/>
  </w:endnote>
  <w:endnote w:type="continuationSeparator" w:id="0">
    <w:p w:rsidR="009B65DD" w:rsidRDefault="009B65DD"/>
  </w:endnote>
  <w:endnote w:type="continuationNotice" w:id="1">
    <w:p w:rsidR="009B65DD" w:rsidRDefault="009B6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DD" w:rsidRPr="009B65DD" w:rsidRDefault="009B65DD" w:rsidP="009B65DD">
    <w:pPr>
      <w:pStyle w:val="Footer"/>
      <w:tabs>
        <w:tab w:val="right" w:pos="9638"/>
      </w:tabs>
      <w:rPr>
        <w:sz w:val="18"/>
      </w:rPr>
    </w:pPr>
    <w:r w:rsidRPr="009B65DD">
      <w:rPr>
        <w:b/>
        <w:sz w:val="18"/>
      </w:rPr>
      <w:fldChar w:fldCharType="begin"/>
    </w:r>
    <w:r w:rsidRPr="009B65DD">
      <w:rPr>
        <w:b/>
        <w:sz w:val="18"/>
      </w:rPr>
      <w:instrText xml:space="preserve"> PAGE  \* MERGEFORMAT </w:instrText>
    </w:r>
    <w:r w:rsidRPr="009B65DD">
      <w:rPr>
        <w:b/>
        <w:sz w:val="18"/>
      </w:rPr>
      <w:fldChar w:fldCharType="separate"/>
    </w:r>
    <w:r w:rsidRPr="009B65DD">
      <w:rPr>
        <w:b/>
        <w:noProof/>
        <w:sz w:val="18"/>
      </w:rPr>
      <w:t>2</w:t>
    </w:r>
    <w:r w:rsidRPr="009B65D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DD" w:rsidRPr="009B65DD" w:rsidRDefault="009B65DD" w:rsidP="009B65DD">
    <w:pPr>
      <w:pStyle w:val="Footer"/>
      <w:tabs>
        <w:tab w:val="right" w:pos="9638"/>
      </w:tabs>
      <w:rPr>
        <w:b/>
        <w:sz w:val="18"/>
      </w:rPr>
    </w:pPr>
    <w:r>
      <w:tab/>
    </w:r>
    <w:r w:rsidRPr="009B65DD">
      <w:rPr>
        <w:b/>
        <w:sz w:val="18"/>
      </w:rPr>
      <w:fldChar w:fldCharType="begin"/>
    </w:r>
    <w:r w:rsidRPr="009B65DD">
      <w:rPr>
        <w:b/>
        <w:sz w:val="18"/>
      </w:rPr>
      <w:instrText xml:space="preserve"> PAGE  \* MERGEFORMAT </w:instrText>
    </w:r>
    <w:r w:rsidRPr="009B65DD">
      <w:rPr>
        <w:b/>
        <w:sz w:val="18"/>
      </w:rPr>
      <w:fldChar w:fldCharType="separate"/>
    </w:r>
    <w:r w:rsidRPr="009B65DD">
      <w:rPr>
        <w:b/>
        <w:noProof/>
        <w:sz w:val="18"/>
      </w:rPr>
      <w:t>3</w:t>
    </w:r>
    <w:r w:rsidRPr="009B65D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DD" w:rsidRPr="000B175B" w:rsidRDefault="009B65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65DD" w:rsidRPr="00FC68B7" w:rsidRDefault="009B65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B65DD" w:rsidRDefault="009B65DD"/>
  </w:footnote>
  <w:footnote w:id="2">
    <w:p w:rsidR="009B65DD" w:rsidRDefault="009B65DD" w:rsidP="009B65DD">
      <w:pPr>
        <w:pStyle w:val="FootnoteText"/>
        <w:ind w:left="1418" w:right="1532" w:hanging="284"/>
        <w:jc w:val="both"/>
        <w:rPr>
          <w:sz w:val="20"/>
          <w:lang w:val="fr-CH"/>
        </w:rPr>
      </w:pP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In accordance with the programme of work of the Inland Transport Committee for 2018-2019, (ECE/TRANS/2018/21/Add.1, Cluster 9, (9.2)).</w:t>
      </w:r>
    </w:p>
  </w:footnote>
  <w:footnote w:id="3">
    <w:p w:rsidR="009B65DD" w:rsidRPr="009B65DD" w:rsidRDefault="009B65DD" w:rsidP="009B65DD">
      <w:pPr>
        <w:pStyle w:val="FootnoteText"/>
        <w:ind w:left="1418" w:right="1532" w:hanging="284"/>
        <w:jc w:val="both"/>
        <w:rPr>
          <w:sz w:val="20"/>
          <w:lang w:val="fr-CH"/>
        </w:rPr>
      </w:pPr>
      <w:r w:rsidRPr="009B65DD">
        <w:rPr>
          <w:rStyle w:val="FootnoteReference"/>
          <w:sz w:val="20"/>
        </w:rPr>
        <w:t>**</w:t>
      </w:r>
      <w:r>
        <w:rPr>
          <w:sz w:val="20"/>
        </w:rP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9</w:t>
      </w:r>
      <w:r w:rsidRPr="00561474">
        <w:t>/</w:t>
      </w:r>
      <w:r>
        <w:t>3</w:t>
      </w:r>
      <w:r w:rsidR="00E62907"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DD" w:rsidRPr="009B65DD" w:rsidRDefault="006365C3">
    <w:pPr>
      <w:pStyle w:val="Header"/>
    </w:pPr>
    <w:fldSimple w:instr=" TITLE  \* MERGEFORMAT ">
      <w:r w:rsidR="009B65DD">
        <w:t>ECE/TRANS/WP.15/AC.1/2019/32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DD" w:rsidRPr="009B65DD" w:rsidRDefault="006365C3" w:rsidP="009B65DD">
    <w:pPr>
      <w:pStyle w:val="Header"/>
      <w:jc w:val="right"/>
    </w:pPr>
    <w:fldSimple w:instr=" TITLE  \* MERGEFORMAT ">
      <w:r w:rsidR="009B65DD">
        <w:t>ECE/TRANS/WP.15/AC.1/2019/32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DD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65C3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4C71"/>
    <w:rsid w:val="009B65DD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2907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AB745A-A5A9-4D89-B4DC-E661E64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9B65DD"/>
    <w:rPr>
      <w:sz w:val="18"/>
      <w:lang w:val="en-GB"/>
    </w:rPr>
  </w:style>
  <w:style w:type="character" w:customStyle="1" w:styleId="HChGChar">
    <w:name w:val="_ H _Ch_G Char"/>
    <w:link w:val="HChG"/>
    <w:locked/>
    <w:rsid w:val="009B65DD"/>
    <w:rPr>
      <w:b/>
      <w:sz w:val="28"/>
      <w:lang w:val="en-GB"/>
    </w:rPr>
  </w:style>
  <w:style w:type="character" w:customStyle="1" w:styleId="H1GChar">
    <w:name w:val="_ H_1_G Char"/>
    <w:link w:val="H1G"/>
    <w:qFormat/>
    <w:locked/>
    <w:rsid w:val="009B65D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n.wikipedia.org/wiki/File:Cis-2-butene.svg" TargetMode="External"/><Relationship Id="rId18" Type="http://schemas.openxmlformats.org/officeDocument/2006/relationships/hyperlink" Target="https://en.wikipedia.org/wiki/Isobutylen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2-Buten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Trans-2-butene.sv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2-Buten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ipedia.org/wiki/File:1-butene.svg" TargetMode="External"/><Relationship Id="rId19" Type="http://schemas.openxmlformats.org/officeDocument/2006/relationships/hyperlink" Target="https://en.wikipedia.org/wiki/File:Methylpropen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1-Buten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213F-297D-4CCC-A32A-5E95B259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ECE/TRANS/WP.15/AC.1/2019/32</vt:lpstr>
      <vt:lpstr/>
    </vt:vector>
  </TitlesOfParts>
  <Company>CSD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ECE/TRANS/WP.15/AC.1/2019/32</dc:title>
  <dc:creator>Christine Barrio-Champeau</dc:creator>
  <cp:lastModifiedBy>Christine Barrio-Champeau</cp:lastModifiedBy>
  <cp:revision>4</cp:revision>
  <cp:lastPrinted>2009-02-18T09:36:00Z</cp:lastPrinted>
  <dcterms:created xsi:type="dcterms:W3CDTF">2019-06-17T13:53:00Z</dcterms:created>
  <dcterms:modified xsi:type="dcterms:W3CDTF">2019-06-20T13:43:00Z</dcterms:modified>
</cp:coreProperties>
</file>