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812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812F1" w:rsidP="00A812F1">
            <w:pPr>
              <w:jc w:val="right"/>
            </w:pPr>
            <w:r w:rsidRPr="00A812F1">
              <w:rPr>
                <w:sz w:val="40"/>
              </w:rPr>
              <w:t>ECE</w:t>
            </w:r>
            <w:r>
              <w:t>/TRANS/WP.15/AC.1/2019/28</w:t>
            </w:r>
          </w:p>
        </w:tc>
      </w:tr>
      <w:tr w:rsidR="002D5AAC" w:rsidRPr="00566CC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812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812F1" w:rsidRDefault="00A812F1" w:rsidP="00A81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:rsidR="00A812F1" w:rsidRDefault="00A812F1" w:rsidP="00A81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812F1" w:rsidRPr="008D53B6" w:rsidRDefault="00A812F1" w:rsidP="00A812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812F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812F1" w:rsidRPr="00B16F09" w:rsidRDefault="00A812F1" w:rsidP="00A812F1">
      <w:pPr>
        <w:spacing w:before="120"/>
        <w:rPr>
          <w:sz w:val="28"/>
          <w:szCs w:val="28"/>
        </w:rPr>
      </w:pPr>
      <w:r w:rsidRPr="00B16F09">
        <w:rPr>
          <w:sz w:val="28"/>
          <w:szCs w:val="28"/>
        </w:rPr>
        <w:t>Комитет по внутреннему транспорту</w:t>
      </w:r>
    </w:p>
    <w:p w:rsidR="00A812F1" w:rsidRPr="00B16F09" w:rsidRDefault="00A812F1" w:rsidP="00A812F1">
      <w:pPr>
        <w:spacing w:before="120" w:after="120"/>
        <w:rPr>
          <w:b/>
          <w:sz w:val="24"/>
          <w:szCs w:val="24"/>
        </w:rPr>
      </w:pPr>
      <w:r w:rsidRPr="00B16F09">
        <w:rPr>
          <w:b/>
          <w:bCs/>
          <w:sz w:val="24"/>
          <w:szCs w:val="24"/>
        </w:rPr>
        <w:t>Рабочая группа по перевозкам опасных грузов</w:t>
      </w:r>
    </w:p>
    <w:p w:rsidR="00A812F1" w:rsidRPr="00B16F09" w:rsidRDefault="00A812F1" w:rsidP="00A812F1">
      <w:pPr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 w:rsidR="008A42AE">
        <w:rPr>
          <w:b/>
          <w:bCs/>
        </w:rPr>
        <w:br/>
      </w:r>
      <w:r>
        <w:rPr>
          <w:b/>
          <w:bCs/>
        </w:rPr>
        <w:t>и</w:t>
      </w:r>
      <w:r w:rsidR="008A42AE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:rsidR="00A812F1" w:rsidRPr="00B16F09" w:rsidRDefault="00A812F1" w:rsidP="00A812F1">
      <w:r>
        <w:t>Женева, 17−27 сентября 2019 года</w:t>
      </w:r>
    </w:p>
    <w:p w:rsidR="00A812F1" w:rsidRPr="00B16F09" w:rsidRDefault="00A812F1" w:rsidP="00A812F1">
      <w:bookmarkStart w:id="1" w:name="_Hlk533679869"/>
      <w:r>
        <w:t>Пункт 4 предварительной повестки дня</w:t>
      </w:r>
    </w:p>
    <w:p w:rsidR="00A812F1" w:rsidRPr="00B16F09" w:rsidRDefault="00A812F1" w:rsidP="00A812F1">
      <w:pPr>
        <w:rPr>
          <w:b/>
        </w:rPr>
      </w:pPr>
      <w:r>
        <w:rPr>
          <w:b/>
          <w:bCs/>
        </w:rPr>
        <w:t xml:space="preserve">Согласование с Рекомендациями </w:t>
      </w:r>
      <w:r w:rsidR="008A42AE">
        <w:rPr>
          <w:b/>
          <w:bCs/>
        </w:rPr>
        <w:br/>
      </w:r>
      <w:r w:rsidRPr="000B7FF6">
        <w:rPr>
          <w:b/>
          <w:bCs/>
        </w:rPr>
        <w:t>Организации Объединенных Наций</w:t>
      </w:r>
      <w:r>
        <w:rPr>
          <w:b/>
          <w:bCs/>
        </w:rPr>
        <w:t xml:space="preserve"> </w:t>
      </w:r>
      <w:r w:rsidR="008A42AE">
        <w:rPr>
          <w:b/>
          <w:bCs/>
        </w:rPr>
        <w:br/>
      </w:r>
      <w:r>
        <w:rPr>
          <w:b/>
          <w:bCs/>
        </w:rPr>
        <w:t>по перевозке опасных грузов</w:t>
      </w:r>
    </w:p>
    <w:bookmarkEnd w:id="1"/>
    <w:p w:rsidR="00A812F1" w:rsidRPr="00B16F09" w:rsidRDefault="00A812F1" w:rsidP="00A812F1">
      <w:pPr>
        <w:pStyle w:val="HChG"/>
        <w:rPr>
          <w:spacing w:val="-6"/>
        </w:rPr>
      </w:pPr>
      <w:r>
        <w:tab/>
      </w:r>
      <w:r>
        <w:tab/>
      </w:r>
      <w:r>
        <w:rPr>
          <w:bCs/>
        </w:rPr>
        <w:t>Глава 3.3 – Новые специальные положения 393 и 394: Химическая устойчивость нитроцеллюлозы</w:t>
      </w:r>
    </w:p>
    <w:p w:rsidR="00A812F1" w:rsidRPr="00B16F09" w:rsidRDefault="00A812F1" w:rsidP="00A812F1">
      <w:pPr>
        <w:pStyle w:val="H1G"/>
        <w:spacing w:before="240" w:after="120"/>
        <w:rPr>
          <w:sz w:val="20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="00566CC4" w:rsidRPr="00566CC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566CC4" w:rsidRPr="00566CC4">
        <w:rPr>
          <w:b w:val="0"/>
          <w:bCs/>
          <w:sz w:val="20"/>
        </w:rPr>
        <w:t xml:space="preserve"> </w:t>
      </w:r>
      <w:r w:rsidR="00566CC4" w:rsidRPr="00566CC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A812F1" w:rsidRPr="00B16F09" w:rsidRDefault="00A812F1" w:rsidP="00A812F1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:rsidR="00A812F1" w:rsidRPr="00B16F09" w:rsidRDefault="00A812F1" w:rsidP="00A812F1">
      <w:pPr>
        <w:pStyle w:val="SingleTxtG"/>
      </w:pPr>
      <w:r>
        <w:t>1.</w:t>
      </w:r>
      <w:r>
        <w:tab/>
        <w:t xml:space="preserve">В рамках согласования с двадцать первым изданием Рекомендаций </w:t>
      </w:r>
      <w:r w:rsidR="0010337D">
        <w:t>ООН по перевозке опасных грузов</w:t>
      </w:r>
      <w:r>
        <w:t xml:space="preserve"> в МПОГ/ДОПОГ/ВОПОГ будут перенесены новые специальные положения 393 и 394.</w:t>
      </w:r>
    </w:p>
    <w:p w:rsidR="00A812F1" w:rsidRPr="00B16F09" w:rsidRDefault="00A812F1" w:rsidP="00A812F1">
      <w:pPr>
        <w:pStyle w:val="SingleTxtG"/>
      </w:pPr>
      <w:r>
        <w:t>2.</w:t>
      </w:r>
      <w:r>
        <w:tab/>
        <w:t>Согласно этим специальным положениям, нитроцеллюлоза класса 1 (специальное положение 393) и класса 4.1 (специальное положение 394) должна отвечать критериям испытания по методу Бергмана-Юнка или теста с использованием метил фиолетовой индикаторной бумаги, предусмотренных в приложении 10 Руководства по испытаниям и критериям. Этим вводится обязательное требование в отношении проведения испытания на химическую устойчивость.</w:t>
      </w:r>
    </w:p>
    <w:p w:rsidR="00A812F1" w:rsidRPr="00B16F09" w:rsidRDefault="00A812F1" w:rsidP="00A812F1">
      <w:pPr>
        <w:pStyle w:val="SingleTxtG"/>
      </w:pPr>
      <w:r>
        <w:t>3.</w:t>
      </w:r>
      <w:r>
        <w:tab/>
        <w:t>В связи с этим в подраздел 2.3.2 МПОГ/ДОПОГ/ВОПОГ необходимо внести поправки. Метод проведения испытания на химическую устойчивость в соответствии с МПОГ/ДОПОГ/ВОПОГ не предписывается в обязательном порядке; на практике</w:t>
      </w:r>
      <w:r w:rsidRPr="000B7FF6">
        <w:t xml:space="preserve"> </w:t>
      </w:r>
      <w:r>
        <w:t>же испытание по методу Бергмана-Юнка уже используется в качестве нормы. Поэтому испытание на химическую устойчивость при нагревании, предусмотренное в пункте</w:t>
      </w:r>
      <w:r w:rsidR="0010337D">
        <w:rPr>
          <w:lang w:val="en-US"/>
        </w:rPr>
        <w:t> </w:t>
      </w:r>
      <w:r>
        <w:t>2.3.2.9,</w:t>
      </w:r>
      <w:r w:rsidRPr="00C435E8">
        <w:t xml:space="preserve"> </w:t>
      </w:r>
      <w:r>
        <w:t>следует исключить.</w:t>
      </w:r>
    </w:p>
    <w:p w:rsidR="00A812F1" w:rsidRPr="00B16F09" w:rsidRDefault="0010337D" w:rsidP="00D2777A">
      <w:pPr>
        <w:pStyle w:val="SingleTxtG"/>
        <w:ind w:left="1138" w:right="1138"/>
      </w:pPr>
      <w:r>
        <w:t>4.</w:t>
      </w:r>
      <w:r>
        <w:tab/>
        <w:t>Тем не менее</w:t>
      </w:r>
      <w:r w:rsidR="00A812F1">
        <w:t xml:space="preserve"> метод определения температуры воспламенения следует сохранить. По соображениям безопасности температуру воспламенения материала рекомендуется</w:t>
      </w:r>
      <w:r w:rsidR="00A812F1" w:rsidRPr="00C435E8">
        <w:t xml:space="preserve"> </w:t>
      </w:r>
      <w:r w:rsidR="00A812F1">
        <w:t xml:space="preserve">определять до проведения испытания по методу Бергмана-Юнка или </w:t>
      </w:r>
      <w:r w:rsidR="00A812F1">
        <w:lastRenderedPageBreak/>
        <w:t>теста с использованием метил фиолетовой индикаторной бумаги. Обеспечить, чтобы во время испытания по методу Бергмана-Юнка или теста с использованием метил фиолетовой индикаторной бумаги не произошло разложения, можно только в том случае, если температура воспламенения превышает 180 °С или 170 °С для пластифицированной нитроцеллюлозы. Оба метода испытаний предполагают повышение температуры до 132 °C или 134,5 °C; разложение может привести к разрушению испытательного оборудования и подвергнуть опасности техников-лаборантов. Это касается испытаний нитроцеллюлозы как класса 1, так и класса 4.1.</w:t>
      </w:r>
    </w:p>
    <w:p w:rsidR="00A812F1" w:rsidRPr="00B16F09" w:rsidRDefault="00A812F1" w:rsidP="00A812F1">
      <w:pPr>
        <w:pStyle w:val="SingleTxtG"/>
      </w:pPr>
      <w:r>
        <w:t>5.</w:t>
      </w:r>
      <w:r>
        <w:tab/>
        <w:t>Таким образом, требуются дополнительные поправки к существующим пунктам 2.3.2.1–2.3.2.8.</w:t>
      </w:r>
    </w:p>
    <w:p w:rsidR="00A812F1" w:rsidRPr="00B16F09" w:rsidRDefault="00A812F1" w:rsidP="00A812F1">
      <w:pPr>
        <w:pStyle w:val="H1G"/>
      </w:pPr>
      <w:r>
        <w:tab/>
      </w:r>
      <w:r>
        <w:tab/>
      </w:r>
      <w:r>
        <w:rPr>
          <w:bCs/>
        </w:rPr>
        <w:t>Предложения</w:t>
      </w:r>
    </w:p>
    <w:p w:rsidR="00A812F1" w:rsidRPr="00B16F09" w:rsidRDefault="00A812F1" w:rsidP="00A812F1">
      <w:pPr>
        <w:pStyle w:val="SingleTxtG"/>
      </w:pPr>
      <w:r>
        <w:t>6.</w:t>
      </w:r>
      <w:r>
        <w:tab/>
        <w:t>Раздел 2.3.2:</w:t>
      </w:r>
    </w:p>
    <w:p w:rsidR="00A812F1" w:rsidRPr="00B16F09" w:rsidRDefault="00A812F1" w:rsidP="00A812F1">
      <w:pPr>
        <w:pStyle w:val="SingleTxtG"/>
      </w:pPr>
      <w:r>
        <w:t>В заголовке заменить «класса 4.1» на «класса 1 и класса 4.1».</w:t>
      </w:r>
    </w:p>
    <w:p w:rsidR="00A812F1" w:rsidRPr="00B16F09" w:rsidRDefault="00A812F1" w:rsidP="00A812F1">
      <w:pPr>
        <w:pStyle w:val="SingleTxtG"/>
      </w:pPr>
      <w:r>
        <w:t>7.</w:t>
      </w:r>
      <w:r>
        <w:tab/>
        <w:t>Исключить действующие пункты 2.3.2.1 и 2.3.2.2 и заменить их следующим текстом:</w:t>
      </w:r>
    </w:p>
    <w:p w:rsidR="00A812F1" w:rsidRPr="00B16F09" w:rsidRDefault="00A812F1" w:rsidP="00A812F1">
      <w:pPr>
        <w:pStyle w:val="SingleTxtG"/>
        <w:ind w:left="2259" w:hanging="1125"/>
      </w:pPr>
      <w:r>
        <w:t>«2.3.2.1</w:t>
      </w:r>
      <w:r>
        <w:tab/>
        <w:t>Для определения критериев нитроцеллюлозы проводится испытание по методу Бергмана-Юнка или тест с использованием метил фиолетовой индикаторной бумаги, предусмотренные в приложении 10 Руководства по испытаниям и критериям (см. главу 3.3, специальные положения 393 и 394). Если имеются сомнения в том, что температура воспламенения нитроцеллюлозы значительно выше 132 °C в случае испытания по методу Бергмана-Юнка или выше 134,5 °C в случае теста с использованием метил фиолетовой индикаторной бумаги, то перед проведением этих испытаний необходимо провести испытание на температуру воспламенения, описываемое в подразделе 2.3.2.5. Если температура воспламенения нитроцеллюлозных смесей выше 180 °C или температура воспламенения пластифицированной нитроцеллюлозы выше 170 °C, испытание по методу Бергмана-Юнка или тест с использованием метил фиолетовой индикаторной бумаги можно провести безопасно.».</w:t>
      </w:r>
    </w:p>
    <w:p w:rsidR="00A812F1" w:rsidRPr="00B16F09" w:rsidRDefault="00A812F1" w:rsidP="00A812F1">
      <w:pPr>
        <w:pStyle w:val="SingleTxtG"/>
      </w:pPr>
      <w:r>
        <w:t>8.</w:t>
      </w:r>
      <w:r>
        <w:tab/>
        <w:t>Исключить существующие пункты 2.3.2.3–2.3.2.5.</w:t>
      </w:r>
    </w:p>
    <w:p w:rsidR="00A812F1" w:rsidRPr="00B16F09" w:rsidRDefault="00A812F1" w:rsidP="00A812F1">
      <w:pPr>
        <w:pStyle w:val="SingleTxtG"/>
      </w:pPr>
      <w:r>
        <w:t>9.</w:t>
      </w:r>
      <w:r>
        <w:tab/>
        <w:t>Пункт 2.3.2.6 становится пунктом 2.3.2.2.</w:t>
      </w:r>
    </w:p>
    <w:p w:rsidR="00A812F1" w:rsidRPr="00B16F09" w:rsidRDefault="00A812F1" w:rsidP="00A812F1">
      <w:pPr>
        <w:pStyle w:val="SingleTxtG"/>
      </w:pPr>
      <w:r>
        <w:t>В тексте вместо «2.3.2.9 и 2.3.2.10» читать «2.3.2.5».</w:t>
      </w:r>
    </w:p>
    <w:p w:rsidR="00A812F1" w:rsidRPr="00B16F09" w:rsidRDefault="00A812F1" w:rsidP="00A812F1">
      <w:pPr>
        <w:pStyle w:val="SingleTxtG"/>
      </w:pPr>
      <w:r>
        <w:t>10.</w:t>
      </w:r>
      <w:r>
        <w:tab/>
        <w:t>Пункт 2.3.2.7 становится пунктом 2.3.2.3.</w:t>
      </w:r>
    </w:p>
    <w:p w:rsidR="00A812F1" w:rsidRPr="00B16F09" w:rsidRDefault="00A812F1" w:rsidP="00A812F1">
      <w:pPr>
        <w:pStyle w:val="SingleTxtG"/>
      </w:pPr>
      <w:r>
        <w:t>Изменить фразу «До их сушки в условиях, предусмотренных в пункте 2.3.2.6 выше, вещества, о которых говорится в пункте 2.3.2.2 выше, должны» следующим образом:</w:t>
      </w:r>
    </w:p>
    <w:p w:rsidR="00A812F1" w:rsidRPr="00B16F09" w:rsidRDefault="00A812F1" w:rsidP="00A812F1">
      <w:pPr>
        <w:pStyle w:val="SingleTxtG"/>
      </w:pPr>
      <w:r>
        <w:t xml:space="preserve">«До ее сушки в условиях, предусмотренных в пункте </w:t>
      </w:r>
      <w:r>
        <w:rPr>
          <w:u w:val="single"/>
        </w:rPr>
        <w:t>2.3.2.2</w:t>
      </w:r>
      <w:r>
        <w:t xml:space="preserve"> выше, </w:t>
      </w:r>
      <w:r>
        <w:rPr>
          <w:u w:val="single"/>
        </w:rPr>
        <w:t>пластифицированная нитроцеллюлоза должна</w:t>
      </w:r>
      <w:r>
        <w:t xml:space="preserve">». (Внесенные изменения </w:t>
      </w:r>
      <w:r>
        <w:rPr>
          <w:u w:val="single"/>
        </w:rPr>
        <w:t>подчеркнуты</w:t>
      </w:r>
      <w:r>
        <w:t>)</w:t>
      </w:r>
      <w:r w:rsidR="00394568">
        <w:t>.</w:t>
      </w:r>
    </w:p>
    <w:p w:rsidR="00A812F1" w:rsidRPr="00B16F09" w:rsidRDefault="00A812F1" w:rsidP="00A812F1">
      <w:pPr>
        <w:pStyle w:val="SingleTxtG"/>
      </w:pPr>
      <w:r>
        <w:t>11.</w:t>
      </w:r>
      <w:r>
        <w:tab/>
        <w:t>Пункт 2.3.2.8 становится пунктом 2.3.2.4.</w:t>
      </w:r>
    </w:p>
    <w:p w:rsidR="00A812F1" w:rsidRPr="00B16F09" w:rsidRDefault="00A812F1" w:rsidP="00A812F1">
      <w:pPr>
        <w:pStyle w:val="SingleTxtG"/>
      </w:pPr>
      <w:r>
        <w:t>Изменить фразу «Слабоазотированная нитроцеллюлоза, предусмотренная в пункте</w:t>
      </w:r>
      <w:r w:rsidR="00394568">
        <w:rPr>
          <w:lang w:val="en-US"/>
        </w:rPr>
        <w:t> </w:t>
      </w:r>
      <w:r>
        <w:t>2.3.2.1, должна сначала подвергаться предварительной сушке в условиях, указанных в пункте 2.3.2.7 выше;» следующим образом:</w:t>
      </w:r>
    </w:p>
    <w:p w:rsidR="00A812F1" w:rsidRPr="00B16F09" w:rsidRDefault="00A812F1" w:rsidP="00A812F1">
      <w:pPr>
        <w:pStyle w:val="SingleTxtG"/>
      </w:pPr>
      <w:r>
        <w:t xml:space="preserve">«Слабоазотированная нитроцеллюлоза должна сначала подвергаться предварительной сушке в условиях, указанных в пункте </w:t>
      </w:r>
      <w:r>
        <w:rPr>
          <w:u w:val="single"/>
        </w:rPr>
        <w:t>2.3.2.3</w:t>
      </w:r>
      <w:r w:rsidR="00394568">
        <w:t xml:space="preserve"> выше</w:t>
      </w:r>
      <w:r>
        <w:t xml:space="preserve">». (Внесенные изменения </w:t>
      </w:r>
      <w:r>
        <w:rPr>
          <w:u w:val="single"/>
        </w:rPr>
        <w:t>подчеркнуты</w:t>
      </w:r>
      <w:r>
        <w:t>)</w:t>
      </w:r>
      <w:r w:rsidR="00394568">
        <w:t>.</w:t>
      </w:r>
    </w:p>
    <w:p w:rsidR="00A812F1" w:rsidRPr="00B16F09" w:rsidRDefault="00A812F1" w:rsidP="00A812F1">
      <w:pPr>
        <w:pStyle w:val="SingleTxtG"/>
      </w:pPr>
      <w:r>
        <w:t>12.</w:t>
      </w:r>
      <w:r>
        <w:tab/>
        <w:t>Исключить подраздел 2.3.2.9.</w:t>
      </w:r>
    </w:p>
    <w:p w:rsidR="00E12C5F" w:rsidRDefault="00A812F1" w:rsidP="00A812F1">
      <w:pPr>
        <w:pStyle w:val="SingleTxtG"/>
      </w:pPr>
      <w:r>
        <w:t>13.</w:t>
      </w:r>
      <w:r>
        <w:tab/>
        <w:t>Подраздел 2.3.2.10 становится подразделом 2.3.2.5.</w:t>
      </w:r>
    </w:p>
    <w:p w:rsidR="00A812F1" w:rsidRPr="00A812F1" w:rsidRDefault="00A812F1" w:rsidP="00A812F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12F1" w:rsidRPr="00A812F1" w:rsidSect="00A812F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8F" w:rsidRPr="00A312BC" w:rsidRDefault="0039578F" w:rsidP="00A312BC"/>
  </w:endnote>
  <w:endnote w:type="continuationSeparator" w:id="0">
    <w:p w:rsidR="0039578F" w:rsidRPr="00A312BC" w:rsidRDefault="003957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2F1" w:rsidRPr="00A812F1" w:rsidRDefault="00A812F1">
    <w:pPr>
      <w:pStyle w:val="Footer"/>
    </w:pPr>
    <w:r w:rsidRPr="00A812F1">
      <w:rPr>
        <w:b/>
        <w:sz w:val="18"/>
      </w:rPr>
      <w:fldChar w:fldCharType="begin"/>
    </w:r>
    <w:r w:rsidRPr="00A812F1">
      <w:rPr>
        <w:b/>
        <w:sz w:val="18"/>
      </w:rPr>
      <w:instrText xml:space="preserve"> PAGE  \* MERGEFORMAT </w:instrText>
    </w:r>
    <w:r w:rsidRPr="00A812F1">
      <w:rPr>
        <w:b/>
        <w:sz w:val="18"/>
      </w:rPr>
      <w:fldChar w:fldCharType="separate"/>
    </w:r>
    <w:r w:rsidR="00181C34">
      <w:rPr>
        <w:b/>
        <w:noProof/>
        <w:sz w:val="18"/>
      </w:rPr>
      <w:t>2</w:t>
    </w:r>
    <w:r w:rsidRPr="00A812F1">
      <w:rPr>
        <w:b/>
        <w:sz w:val="18"/>
      </w:rPr>
      <w:fldChar w:fldCharType="end"/>
    </w:r>
    <w:r>
      <w:rPr>
        <w:b/>
        <w:sz w:val="18"/>
      </w:rPr>
      <w:tab/>
    </w:r>
    <w:r>
      <w:t>GE.19-10097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2F1" w:rsidRPr="00A812F1" w:rsidRDefault="00A812F1" w:rsidP="00A812F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GE.19-10097</w:t>
    </w:r>
    <w:r>
      <w:tab/>
    </w:r>
    <w:r w:rsidRPr="00A812F1">
      <w:rPr>
        <w:b/>
        <w:sz w:val="18"/>
      </w:rPr>
      <w:fldChar w:fldCharType="begin"/>
    </w:r>
    <w:r w:rsidRPr="00A812F1">
      <w:rPr>
        <w:b/>
        <w:sz w:val="18"/>
      </w:rPr>
      <w:instrText xml:space="preserve"> PAGE  \* MERGEFORMAT </w:instrText>
    </w:r>
    <w:r w:rsidRPr="00A812F1">
      <w:rPr>
        <w:b/>
        <w:sz w:val="18"/>
      </w:rPr>
      <w:fldChar w:fldCharType="separate"/>
    </w:r>
    <w:r w:rsidR="00566CC4">
      <w:rPr>
        <w:b/>
        <w:noProof/>
        <w:sz w:val="18"/>
      </w:rPr>
      <w:t>3</w:t>
    </w:r>
    <w:r w:rsidRPr="00A812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812F1" w:rsidRDefault="00A812F1" w:rsidP="00A812F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19-10097  (R)</w:t>
    </w:r>
    <w:r w:rsidR="008A42AE">
      <w:rPr>
        <w:lang w:val="en-US"/>
      </w:rPr>
      <w:t xml:space="preserve">  250619  250619</w:t>
    </w:r>
    <w:r>
      <w:br/>
    </w:r>
    <w:r w:rsidRPr="00A812F1">
      <w:rPr>
        <w:rFonts w:ascii="C39T30Lfz" w:hAnsi="C39T30Lfz"/>
        <w:kern w:val="14"/>
        <w:sz w:val="56"/>
      </w:rPr>
      <w:t></w:t>
    </w:r>
    <w:r w:rsidRPr="00A812F1">
      <w:rPr>
        <w:rFonts w:ascii="C39T30Lfz" w:hAnsi="C39T30Lfz"/>
        <w:kern w:val="14"/>
        <w:sz w:val="56"/>
      </w:rPr>
      <w:t></w:t>
    </w:r>
    <w:r w:rsidRPr="00A812F1">
      <w:rPr>
        <w:rFonts w:ascii="C39T30Lfz" w:hAnsi="C39T30Lfz"/>
        <w:kern w:val="14"/>
        <w:sz w:val="56"/>
      </w:rPr>
      <w:t></w:t>
    </w:r>
    <w:r w:rsidRPr="00A812F1">
      <w:rPr>
        <w:rFonts w:ascii="C39T30Lfz" w:hAnsi="C39T30Lfz"/>
        <w:kern w:val="14"/>
        <w:sz w:val="56"/>
      </w:rPr>
      <w:t></w:t>
    </w:r>
    <w:r w:rsidRPr="00A812F1">
      <w:rPr>
        <w:rFonts w:ascii="C39T30Lfz" w:hAnsi="C39T30Lfz"/>
        <w:kern w:val="14"/>
        <w:sz w:val="56"/>
      </w:rPr>
      <w:t></w:t>
    </w:r>
    <w:r w:rsidRPr="00A812F1">
      <w:rPr>
        <w:rFonts w:ascii="C39T30Lfz" w:hAnsi="C39T30Lfz"/>
        <w:kern w:val="14"/>
        <w:sz w:val="56"/>
      </w:rPr>
      <w:t></w:t>
    </w:r>
    <w:r w:rsidRPr="00A812F1">
      <w:rPr>
        <w:rFonts w:ascii="C39T30Lfz" w:hAnsi="C39T30Lfz"/>
        <w:kern w:val="14"/>
        <w:sz w:val="56"/>
      </w:rPr>
      <w:t></w:t>
    </w:r>
    <w:r w:rsidRPr="00A812F1">
      <w:rPr>
        <w:rFonts w:ascii="C39T30Lfz" w:hAnsi="C39T30Lfz"/>
        <w:kern w:val="14"/>
        <w:sz w:val="56"/>
      </w:rPr>
      <w:t></w:t>
    </w:r>
    <w:r w:rsidRPr="00A812F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ECE/TRANS/WP.15/AC.1/2019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8F" w:rsidRPr="001075E9" w:rsidRDefault="003957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578F" w:rsidRDefault="003957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66CC4" w:rsidRPr="00566CC4" w:rsidRDefault="00566CC4">
      <w:pPr>
        <w:pStyle w:val="FootnoteText"/>
        <w:rPr>
          <w:sz w:val="20"/>
        </w:rPr>
      </w:pPr>
      <w:r>
        <w:tab/>
      </w:r>
      <w:r w:rsidRPr="00566CC4">
        <w:rPr>
          <w:rStyle w:val="FootnoteReference"/>
          <w:sz w:val="20"/>
          <w:vertAlign w:val="baseline"/>
        </w:rPr>
        <w:t>*</w:t>
      </w:r>
      <w:r w:rsidRPr="00566CC4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566CC4" w:rsidRPr="00566CC4" w:rsidRDefault="00566CC4">
      <w:pPr>
        <w:pStyle w:val="FootnoteText"/>
        <w:rPr>
          <w:sz w:val="20"/>
        </w:rPr>
      </w:pPr>
      <w:r>
        <w:tab/>
      </w:r>
      <w:r w:rsidRPr="00566CC4">
        <w:rPr>
          <w:rStyle w:val="FootnoteReference"/>
          <w:sz w:val="20"/>
          <w:vertAlign w:val="baseline"/>
        </w:rPr>
        <w:t>**</w:t>
      </w:r>
      <w:r w:rsidRPr="00566CC4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OTIF/RID/RC/2019/28.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2F1" w:rsidRPr="00A812F1" w:rsidRDefault="006C5FF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81C34">
      <w:t>ECE/TRANS/WP.15/AC.1/2019/28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2F1" w:rsidRPr="00A812F1" w:rsidRDefault="006C5FF8" w:rsidP="00A812F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81C34">
      <w:t>ECE/TRANS/WP.15/AC.1/2019/28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8F"/>
    <w:rsid w:val="00033EE1"/>
    <w:rsid w:val="00042B72"/>
    <w:rsid w:val="000558BD"/>
    <w:rsid w:val="000B57E7"/>
    <w:rsid w:val="000B6373"/>
    <w:rsid w:val="000E4E5B"/>
    <w:rsid w:val="000F09DF"/>
    <w:rsid w:val="000F61B2"/>
    <w:rsid w:val="0010337D"/>
    <w:rsid w:val="001075E9"/>
    <w:rsid w:val="0014152F"/>
    <w:rsid w:val="00180183"/>
    <w:rsid w:val="0018024D"/>
    <w:rsid w:val="00181C34"/>
    <w:rsid w:val="00185C7C"/>
    <w:rsid w:val="0018649F"/>
    <w:rsid w:val="00196389"/>
    <w:rsid w:val="001B3EF6"/>
    <w:rsid w:val="001C7A89"/>
    <w:rsid w:val="00255343"/>
    <w:rsid w:val="002638A0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1E28"/>
    <w:rsid w:val="00387CD4"/>
    <w:rsid w:val="00394568"/>
    <w:rsid w:val="0039578F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6CC4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FF8"/>
    <w:rsid w:val="006D461A"/>
    <w:rsid w:val="006F35EE"/>
    <w:rsid w:val="007021FF"/>
    <w:rsid w:val="00712895"/>
    <w:rsid w:val="00734ACB"/>
    <w:rsid w:val="007565F3"/>
    <w:rsid w:val="00757357"/>
    <w:rsid w:val="00792497"/>
    <w:rsid w:val="00806737"/>
    <w:rsid w:val="00825F8D"/>
    <w:rsid w:val="008318BD"/>
    <w:rsid w:val="00834B71"/>
    <w:rsid w:val="0086445C"/>
    <w:rsid w:val="00894693"/>
    <w:rsid w:val="008A08D7"/>
    <w:rsid w:val="008A37C8"/>
    <w:rsid w:val="008A42AE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12F1"/>
    <w:rsid w:val="00A84021"/>
    <w:rsid w:val="00A84D35"/>
    <w:rsid w:val="00A917B3"/>
    <w:rsid w:val="00AB4B51"/>
    <w:rsid w:val="00AB7A6D"/>
    <w:rsid w:val="00B10CC7"/>
    <w:rsid w:val="00B36DF7"/>
    <w:rsid w:val="00B516B4"/>
    <w:rsid w:val="00B539E7"/>
    <w:rsid w:val="00B62458"/>
    <w:rsid w:val="00BC18B2"/>
    <w:rsid w:val="00BD33EE"/>
    <w:rsid w:val="00BD7B1A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4F2"/>
    <w:rsid w:val="00CE0ECF"/>
    <w:rsid w:val="00CE5A1A"/>
    <w:rsid w:val="00CF55F6"/>
    <w:rsid w:val="00D02361"/>
    <w:rsid w:val="00D2777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7CDE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DC8EB64-282B-4FDD-88B7-B22F78E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uiPriority w:val="99"/>
    <w:rsid w:val="00A812F1"/>
    <w:rPr>
      <w:b/>
      <w:sz w:val="24"/>
      <w:lang w:val="ru-RU" w:eastAsia="ru-RU"/>
    </w:rPr>
  </w:style>
  <w:style w:type="character" w:customStyle="1" w:styleId="HChGChar">
    <w:name w:val="_ H _Ch_G Char"/>
    <w:link w:val="HChG"/>
    <w:uiPriority w:val="99"/>
    <w:rsid w:val="00A812F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rsid w:val="00A812F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8E4E-D74E-4E48-B84D-5DFD4A8D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ECE/TRANS/WP.15/AC.1/2019/28</vt:lpstr>
      <vt:lpstr>ECE/TRANS/WP.15/AC.1/2019/28</vt:lpstr>
      <vt:lpstr>A/</vt:lpstr>
    </vt:vector>
  </TitlesOfParts>
  <Company>DCM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ECE/TRANS/WP.15/AC.1/2019/28</dc:title>
  <dc:subject/>
  <dc:creator>Tatiana SHARKINA</dc:creator>
  <cp:keywords/>
  <cp:lastModifiedBy>Christine Barrio-Champeau</cp:lastModifiedBy>
  <cp:revision>2</cp:revision>
  <cp:lastPrinted>2019-06-25T09:04:00Z</cp:lastPrinted>
  <dcterms:created xsi:type="dcterms:W3CDTF">2019-07-23T09:41:00Z</dcterms:created>
  <dcterms:modified xsi:type="dcterms:W3CDTF">2019-07-23T09:41:00Z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