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D0B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D0B96" w:rsidP="004D0B96">
            <w:pPr>
              <w:jc w:val="right"/>
            </w:pPr>
            <w:r w:rsidRPr="004D0B96">
              <w:rPr>
                <w:sz w:val="40"/>
              </w:rPr>
              <w:t>ECE</w:t>
            </w:r>
            <w:r>
              <w:t>/TRANS/WP.15/AC.1/2019/15</w:t>
            </w:r>
          </w:p>
        </w:tc>
      </w:tr>
      <w:tr w:rsidR="002D5AAC" w:rsidRPr="0060415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D0B9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D0B96" w:rsidRDefault="004D0B96" w:rsidP="004D0B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December 2018</w:t>
            </w:r>
          </w:p>
          <w:p w:rsidR="004D0B96" w:rsidRDefault="004D0B96" w:rsidP="004D0B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D0B96" w:rsidRPr="008D53B6" w:rsidRDefault="004D0B96" w:rsidP="004D0B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4D0B96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D0B96" w:rsidRPr="004D0B96" w:rsidRDefault="004D0B96" w:rsidP="004D0B96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4D0B96">
        <w:rPr>
          <w:sz w:val="28"/>
          <w:szCs w:val="28"/>
        </w:rPr>
        <w:t>Комитет по внутреннему транспорту</w:t>
      </w:r>
    </w:p>
    <w:p w:rsidR="004D0B96" w:rsidRPr="004D0B96" w:rsidRDefault="004D0B96" w:rsidP="004D0B96">
      <w:pPr>
        <w:pStyle w:val="SingleTxtGR"/>
        <w:ind w:left="0"/>
        <w:jc w:val="left"/>
        <w:rPr>
          <w:b/>
          <w:sz w:val="24"/>
          <w:szCs w:val="24"/>
        </w:rPr>
      </w:pPr>
      <w:r w:rsidRPr="004D0B96">
        <w:rPr>
          <w:b/>
          <w:bCs/>
          <w:sz w:val="24"/>
          <w:szCs w:val="24"/>
        </w:rPr>
        <w:t>Рабочая группа по перевозкам опасных грузов</w:t>
      </w:r>
    </w:p>
    <w:p w:rsidR="004D0B96" w:rsidRPr="004D0B96" w:rsidRDefault="004D0B96" w:rsidP="004D0B96">
      <w:pPr>
        <w:pStyle w:val="SingleTxtGR"/>
        <w:spacing w:after="0"/>
        <w:ind w:left="0"/>
        <w:jc w:val="left"/>
        <w:rPr>
          <w:b/>
        </w:rPr>
      </w:pPr>
      <w:r w:rsidRPr="004D0B96">
        <w:rPr>
          <w:b/>
          <w:bCs/>
        </w:rPr>
        <w:t xml:space="preserve">Совместное совещание Комиссии экспертов МПОГ </w:t>
      </w:r>
      <w:r w:rsidR="0024702B">
        <w:rPr>
          <w:b/>
          <w:bCs/>
        </w:rPr>
        <w:br/>
      </w:r>
      <w:r w:rsidRPr="004D0B96">
        <w:rPr>
          <w:b/>
          <w:bCs/>
        </w:rPr>
        <w:t>и</w:t>
      </w:r>
      <w:r w:rsidR="0024702B" w:rsidRPr="00E93275">
        <w:rPr>
          <w:b/>
          <w:bCs/>
        </w:rPr>
        <w:t xml:space="preserve"> </w:t>
      </w:r>
      <w:r w:rsidRPr="004D0B96">
        <w:rPr>
          <w:b/>
          <w:bCs/>
        </w:rPr>
        <w:t>Рабочей группы по перевозкам опасных грузов</w:t>
      </w:r>
    </w:p>
    <w:p w:rsidR="004D0B96" w:rsidRPr="004D0B96" w:rsidRDefault="004D0B96" w:rsidP="004D0B96">
      <w:pPr>
        <w:pStyle w:val="SingleTxtGR"/>
        <w:spacing w:after="0"/>
        <w:ind w:left="0"/>
        <w:jc w:val="left"/>
      </w:pPr>
      <w:r w:rsidRPr="004D0B96">
        <w:t>Берн, 18–22 марта 2019 года</w:t>
      </w:r>
    </w:p>
    <w:p w:rsidR="004D0B96" w:rsidRPr="004D0B96" w:rsidRDefault="004D0B96" w:rsidP="004D0B96">
      <w:pPr>
        <w:pStyle w:val="SingleTxtGR"/>
        <w:spacing w:after="0"/>
        <w:ind w:left="0"/>
        <w:jc w:val="left"/>
      </w:pPr>
      <w:r w:rsidRPr="004D0B96">
        <w:t>Пункт 5 b) предварительной повестки дня</w:t>
      </w:r>
    </w:p>
    <w:p w:rsidR="004D0B96" w:rsidRPr="004D0B96" w:rsidRDefault="004D0B96" w:rsidP="004D0B96">
      <w:pPr>
        <w:pStyle w:val="SingleTxtGR"/>
        <w:spacing w:after="0"/>
        <w:ind w:left="0"/>
        <w:jc w:val="left"/>
        <w:rPr>
          <w:b/>
        </w:rPr>
      </w:pPr>
      <w:r w:rsidRPr="004D0B96"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</w:r>
      <w:r w:rsidRPr="004D0B96">
        <w:rPr>
          <w:b/>
          <w:bCs/>
        </w:rPr>
        <w:t>в МПОГ/ДОПОГ/ВОПОГ: новые предложения</w:t>
      </w:r>
    </w:p>
    <w:p w:rsidR="004D0B96" w:rsidRPr="004D0B96" w:rsidRDefault="004D0B96" w:rsidP="004D0B96">
      <w:pPr>
        <w:pStyle w:val="HChGR"/>
      </w:pPr>
      <w:r w:rsidRPr="004D0B96">
        <w:tab/>
      </w:r>
      <w:r w:rsidRPr="004D0B96">
        <w:tab/>
        <w:t>Использование тары, включая контейнеры средней грузоподъемности для массовых грузов (КСМ) и</w:t>
      </w:r>
      <w:r w:rsidR="00E93275">
        <w:rPr>
          <w:lang w:val="en-US"/>
        </w:rPr>
        <w:t> </w:t>
      </w:r>
      <w:r w:rsidRPr="004D0B96">
        <w:t>крупногабаритную тару</w:t>
      </w:r>
    </w:p>
    <w:p w:rsidR="004D0B96" w:rsidRDefault="004D0B96" w:rsidP="004D0B96">
      <w:pPr>
        <w:pStyle w:val="H1GR"/>
      </w:pPr>
      <w:r w:rsidRPr="004D0B96">
        <w:tab/>
      </w:r>
      <w:r w:rsidRPr="004D0B96">
        <w:tab/>
        <w:t>Передано правительством Испании</w:t>
      </w:r>
      <w:r w:rsidRPr="004D0B96">
        <w:rPr>
          <w:b w:val="0"/>
          <w:sz w:val="20"/>
        </w:rPr>
        <w:footnoteReference w:customMarkFollows="1" w:id="1"/>
        <w:t>*</w:t>
      </w:r>
      <w:r w:rsidRPr="004D0B96">
        <w:t xml:space="preserve"> </w:t>
      </w:r>
      <w:r w:rsidRPr="004D0B96">
        <w:rPr>
          <w:b w:val="0"/>
          <w:sz w:val="20"/>
        </w:rPr>
        <w:footnoteReference w:customMarkFollows="1" w:id="2"/>
        <w:t>**</w:t>
      </w:r>
      <w:r w:rsidRPr="004D0B96"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4D0B96" w:rsidRPr="004D0B96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4D0B96" w:rsidRPr="004D0B96" w:rsidRDefault="004D0B96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D0B96">
              <w:rPr>
                <w:rFonts w:cs="Times New Roman"/>
              </w:rPr>
              <w:tab/>
            </w:r>
            <w:r w:rsidRPr="004D0B9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D0B96" w:rsidRPr="004D0B96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D0B96" w:rsidRPr="004D0B96" w:rsidRDefault="004D0B96" w:rsidP="004D0B96">
            <w:pPr>
              <w:pStyle w:val="SingleTxtGR"/>
              <w:ind w:left="3969" w:hanging="2835"/>
              <w:jc w:val="left"/>
            </w:pPr>
            <w:r w:rsidRPr="004D0B96">
              <w:rPr>
                <w:b/>
                <w:bCs/>
              </w:rPr>
              <w:t>Существо предложения:</w:t>
            </w:r>
            <w:r>
              <w:tab/>
            </w:r>
            <w:r w:rsidRPr="004D0B96">
              <w:tab/>
              <w:t>Анализ пе</w:t>
            </w:r>
            <w:r w:rsidR="0079408B">
              <w:t>рекрестной ссылки, включенной в </w:t>
            </w:r>
            <w:r w:rsidRPr="004D0B96">
              <w:t>пункт</w:t>
            </w:r>
            <w:r>
              <w:rPr>
                <w:lang w:val="en-US"/>
              </w:rPr>
              <w:t> </w:t>
            </w:r>
            <w:r w:rsidRPr="004D0B96">
              <w:t>4.1.1.3 МПОГ/ДОПОГ.</w:t>
            </w:r>
          </w:p>
        </w:tc>
      </w:tr>
      <w:tr w:rsidR="004D0B96" w:rsidRPr="004D0B96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D0B96" w:rsidRPr="004D0B96" w:rsidRDefault="004D0B96" w:rsidP="004D0B96">
            <w:pPr>
              <w:pStyle w:val="SingleTxtGR"/>
              <w:ind w:left="3969" w:hanging="2835"/>
            </w:pPr>
            <w:r w:rsidRPr="004D0B96">
              <w:rPr>
                <w:b/>
                <w:bCs/>
              </w:rPr>
              <w:t>Предлагаемое решение: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4D0B96">
              <w:t>Исключить последнее предложение пункта 4.1.1.3 МПОГ/ДОПОГ.</w:t>
            </w:r>
          </w:p>
        </w:tc>
      </w:tr>
      <w:tr w:rsidR="004D0B96" w:rsidRPr="004D0B96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4D0B96" w:rsidRPr="004D0B96" w:rsidRDefault="004D0B96" w:rsidP="00850215">
            <w:pPr>
              <w:rPr>
                <w:rFonts w:cs="Times New Roman"/>
              </w:rPr>
            </w:pPr>
          </w:p>
        </w:tc>
      </w:tr>
    </w:tbl>
    <w:p w:rsidR="004D0B96" w:rsidRPr="004D0B96" w:rsidRDefault="004D0B96" w:rsidP="004D0B96">
      <w:pPr>
        <w:pStyle w:val="HChGR"/>
      </w:pPr>
      <w:r w:rsidRPr="004D0B96">
        <w:tab/>
      </w:r>
      <w:r w:rsidRPr="004D0B96">
        <w:tab/>
        <w:t>Введение</w:t>
      </w:r>
    </w:p>
    <w:p w:rsidR="004D0B96" w:rsidRPr="004D0B96" w:rsidRDefault="004D0B96" w:rsidP="004D0B96">
      <w:pPr>
        <w:pStyle w:val="SingleTxtGR"/>
      </w:pPr>
      <w:r w:rsidRPr="004D0B96">
        <w:t>1.</w:t>
      </w:r>
      <w:r w:rsidRPr="004D0B96">
        <w:tab/>
        <w:t xml:space="preserve">Представитель Испании был проинформирован испанской промышленностью о возможной несогласованности или неправильном понимании последнего предложения, включенного в пункт 4.1.1.3 МПОГ/ДОПОГ, в котором содержится ссылка на подраздел 6.1.1.3. </w:t>
      </w:r>
    </w:p>
    <w:p w:rsidR="004D0B96" w:rsidRPr="004D0B96" w:rsidRDefault="004D0B96" w:rsidP="004D0B96">
      <w:pPr>
        <w:pStyle w:val="HChGR"/>
      </w:pPr>
      <w:r>
        <w:lastRenderedPageBreak/>
        <w:tab/>
      </w:r>
      <w:r>
        <w:tab/>
      </w:r>
      <w:r w:rsidRPr="004D0B96">
        <w:t>Анализ</w:t>
      </w:r>
    </w:p>
    <w:p w:rsidR="004D0B96" w:rsidRPr="004D0B96" w:rsidRDefault="004D0B96" w:rsidP="004D0B96">
      <w:pPr>
        <w:pStyle w:val="SingleTxtGR"/>
      </w:pPr>
      <w:r w:rsidRPr="004D0B96">
        <w:t>2.</w:t>
      </w:r>
      <w:r w:rsidRPr="004D0B96">
        <w:tab/>
        <w:t>В пункт 4.1.1.3 МПОГ/ДОПОГ включен следующий текст:</w:t>
      </w:r>
    </w:p>
    <w:p w:rsidR="004D0B96" w:rsidRPr="004D0B96" w:rsidRDefault="004D0B96" w:rsidP="004D0B96">
      <w:pPr>
        <w:pStyle w:val="SingleTxtGR"/>
        <w:ind w:left="1701"/>
      </w:pPr>
      <w:r w:rsidRPr="004D0B96">
        <w:t>«Если другими положениями МПОГ/ДОПОГ не предусмотрено иное, то каждая единица тары, включая КСМ и крупногабаритную тару, за исключением внутренней тары, должна соответствовать типу конструкции, успешно прошедшему испытания согласно требованиям, изложенным, в зависимости от конкретного случая, в разделах 6.1.5, 6.3.5, 6.5.6 или 6.6.5. Тара, не требующая проведения испытаний, указана в подразделе 6.1.1.3.».</w:t>
      </w:r>
    </w:p>
    <w:p w:rsidR="004D0B96" w:rsidRPr="004D0B96" w:rsidRDefault="004D0B96" w:rsidP="004D0B96">
      <w:pPr>
        <w:pStyle w:val="SingleTxtGR"/>
      </w:pPr>
      <w:r w:rsidRPr="004D0B96">
        <w:t>3.</w:t>
      </w:r>
      <w:r w:rsidRPr="004D0B96">
        <w:tab/>
        <w:t xml:space="preserve">Последнее предложение пункта 4.1.1.3: </w:t>
      </w:r>
      <w:r w:rsidRPr="00E93275">
        <w:rPr>
          <w:iCs/>
        </w:rPr>
        <w:t>«</w:t>
      </w:r>
      <w:r w:rsidRPr="004D0B96">
        <w:rPr>
          <w:i/>
          <w:iCs/>
        </w:rPr>
        <w:t>Тара, не требующая проведения испытаний, указана в подразделе 6.1.1.3</w:t>
      </w:r>
      <w:r w:rsidRPr="00E93275">
        <w:rPr>
          <w:iCs/>
        </w:rPr>
        <w:t>»</w:t>
      </w:r>
      <w:r w:rsidRPr="004D0B96">
        <w:t>, может вводить в заблуждение, поскольку может сложиться впечатление, что «испытания», на которые сделана ссылка в данном предложении, - это испытания, упоминаемые в первом предложении пункта 4.1.1.3 (испытания типа конструкции). В то же время в подразделе 6.1.1.3 МПОГ/ДОПОГ упоминается испытание на герметичность, которое является частью программы обеспечения качества; его текст гласит:</w:t>
      </w:r>
    </w:p>
    <w:p w:rsidR="004D0B96" w:rsidRPr="004D0B96" w:rsidRDefault="004D0B96" w:rsidP="004D0B96">
      <w:pPr>
        <w:pStyle w:val="SingleTxtGR"/>
      </w:pPr>
      <w:r w:rsidRPr="004D0B96">
        <w:t>«6.1.1.3</w:t>
      </w:r>
      <w:r w:rsidR="007C62A1">
        <w:tab/>
      </w:r>
      <w:r w:rsidRPr="004D0B96">
        <w:t>Каждая единица тары, предназначенной для наполнения жидкостью, должна пройти соответствующее испытание на герметичность. Данное испытание является частью программы обеспечения качества, предусмотренной в пункте 6.1.1.4, которая подтверждает способность соответствовать надлежащему уровню испытаний, указанному в пункте 6.1.5.4.3:</w:t>
      </w:r>
    </w:p>
    <w:p w:rsidR="004D0B96" w:rsidRPr="004D0B96" w:rsidRDefault="004D0B96" w:rsidP="004D0B96">
      <w:pPr>
        <w:pStyle w:val="SingleTxtGR"/>
        <w:ind w:left="1701" w:hanging="567"/>
      </w:pPr>
      <w:r>
        <w:tab/>
      </w:r>
      <w:r w:rsidRPr="004D0B96">
        <w:t>a)</w:t>
      </w:r>
      <w:r>
        <w:tab/>
      </w:r>
      <w:r w:rsidRPr="004D0B96">
        <w:t>до первого использования в целях перевозки;</w:t>
      </w:r>
    </w:p>
    <w:p w:rsidR="004D0B96" w:rsidRPr="004D0B96" w:rsidRDefault="004D0B96" w:rsidP="004D0B96">
      <w:pPr>
        <w:pStyle w:val="SingleTxtGR"/>
        <w:ind w:left="2268" w:hanging="1134"/>
      </w:pPr>
      <w:r>
        <w:tab/>
      </w:r>
      <w:r w:rsidRPr="004D0B96">
        <w:t>b)</w:t>
      </w:r>
      <w:r>
        <w:tab/>
      </w:r>
      <w:r w:rsidRPr="004D0B96">
        <w:t>после реконструкции или восстановления, перед очередным использованием в целях перевозки.</w:t>
      </w:r>
    </w:p>
    <w:p w:rsidR="004D0B96" w:rsidRPr="004D0B96" w:rsidRDefault="004D0B96" w:rsidP="004D0B96">
      <w:pPr>
        <w:pStyle w:val="SingleTxtGR"/>
      </w:pPr>
      <w:r w:rsidRPr="004D0B96">
        <w:t>Для этого испытания не требуется, чтобы тара была оснащена собственными затворами.</w:t>
      </w:r>
    </w:p>
    <w:p w:rsidR="004D0B96" w:rsidRPr="004D0B96" w:rsidRDefault="004D0B96" w:rsidP="004D0B96">
      <w:pPr>
        <w:pStyle w:val="SingleTxtGR"/>
      </w:pPr>
      <w:r w:rsidRPr="004D0B96">
        <w:t xml:space="preserve">Внутренний сосуд составной тары может испытываться без наружной тары при условии, что это не повлияет на результаты испытания. </w:t>
      </w:r>
    </w:p>
    <w:p w:rsidR="004D0B96" w:rsidRPr="004D0B96" w:rsidRDefault="004D0B96" w:rsidP="004D0B96">
      <w:pPr>
        <w:pStyle w:val="SingleTxtGR"/>
      </w:pPr>
      <w:r w:rsidRPr="004D0B96">
        <w:t>Такое испытание не требуется в случае:</w:t>
      </w:r>
    </w:p>
    <w:p w:rsidR="004D0B96" w:rsidRPr="004D0B96" w:rsidRDefault="004D0B96" w:rsidP="004D0B96">
      <w:pPr>
        <w:pStyle w:val="SingleTxtGR"/>
        <w:ind w:left="2268" w:hanging="567"/>
      </w:pPr>
      <w:r w:rsidRPr="004D0B96">
        <w:t>–</w:t>
      </w:r>
      <w:r w:rsidRPr="004D0B96">
        <w:tab/>
        <w:t>внутренней тары в составе комбинированной тары;</w:t>
      </w:r>
    </w:p>
    <w:p w:rsidR="004D0B96" w:rsidRPr="004D0B96" w:rsidRDefault="004D0B96" w:rsidP="004D0B96">
      <w:pPr>
        <w:pStyle w:val="SingleTxtGR"/>
        <w:ind w:left="2268" w:hanging="567"/>
      </w:pPr>
      <w:r w:rsidRPr="004D0B96">
        <w:t>–</w:t>
      </w:r>
      <w:r w:rsidRPr="004D0B96">
        <w:tab/>
        <w:t xml:space="preserve">внутренних сосудов составной тары (из стекла, фарфора или </w:t>
      </w:r>
      <w:r w:rsidR="006714EF">
        <w:br/>
      </w:r>
      <w:r w:rsidRPr="004D0B96">
        <w:t xml:space="preserve">керамики), маркированной символом "RID/ADR" в соответствии с </w:t>
      </w:r>
      <w:r w:rsidR="006714EF">
        <w:br/>
      </w:r>
      <w:r w:rsidRPr="004D0B96">
        <w:t xml:space="preserve">пунктом 6.1.3.1 a) ii); </w:t>
      </w:r>
    </w:p>
    <w:p w:rsidR="004D0B96" w:rsidRPr="004D0B96" w:rsidRDefault="004D0B96" w:rsidP="004D0B96">
      <w:pPr>
        <w:pStyle w:val="SingleTxtGR"/>
        <w:ind w:left="2268" w:hanging="567"/>
      </w:pPr>
      <w:r w:rsidRPr="004D0B96">
        <w:t>–</w:t>
      </w:r>
      <w:r w:rsidRPr="004D0B96">
        <w:tab/>
        <w:t>легкой металлической тары, мар</w:t>
      </w:r>
      <w:r w:rsidR="0079408B">
        <w:t>кированной символом "RID/ADR" в </w:t>
      </w:r>
      <w:r w:rsidRPr="004D0B96">
        <w:t>соответствии с пунктом 6.1.3.1 a) ii).».</w:t>
      </w:r>
    </w:p>
    <w:p w:rsidR="004D0B96" w:rsidRPr="004D0B96" w:rsidRDefault="004D0B96" w:rsidP="004D0B96">
      <w:pPr>
        <w:pStyle w:val="SingleTxtGR"/>
      </w:pPr>
      <w:proofErr w:type="gramStart"/>
      <w:r w:rsidRPr="004D0B96">
        <w:t>4.</w:t>
      </w:r>
      <w:r w:rsidRPr="004D0B96">
        <w:tab/>
        <w:t>В</w:t>
      </w:r>
      <w:proofErr w:type="gramEnd"/>
      <w:r w:rsidRPr="004D0B96">
        <w:t xml:space="preserve"> подразделе 6.1.1.3 МПОГ/ДОПОГ не упоминается оборудование, которое не должно подвергаться испытанию типа конструкции, но упоминается оборудование, не требующее испытания на герметичность, проводимого независимо от испытаний типа конструкции. Последнее предложение пункта 4.1.1.3 в его нынешней редакции вводит в заблуждение, поскольку оно содержит перекрестную ссылку на не относящуюся к делу информацию.</w:t>
      </w:r>
    </w:p>
    <w:p w:rsidR="004D0B96" w:rsidRPr="004D0B96" w:rsidRDefault="004D0B96" w:rsidP="004D0B96">
      <w:pPr>
        <w:pStyle w:val="HChGR"/>
      </w:pPr>
      <w:r w:rsidRPr="004D0B96">
        <w:tab/>
      </w:r>
      <w:r w:rsidRPr="004D0B96">
        <w:tab/>
        <w:t>Обоснование</w:t>
      </w:r>
    </w:p>
    <w:p w:rsidR="004D0B96" w:rsidRPr="004D0B96" w:rsidRDefault="004D0B96" w:rsidP="004D0B96">
      <w:pPr>
        <w:pStyle w:val="SingleTxtGR"/>
      </w:pPr>
      <w:r w:rsidRPr="004D0B96">
        <w:t>5.</w:t>
      </w:r>
      <w:r w:rsidRPr="004D0B96">
        <w:tab/>
        <w:t>Указанное последнее предложение пункта 4.1.1.3 содержится в тексте МПОГ/ДОПОГ с 2001 года и не изменялось; возможно, ранее в нем имелась ссылка на пункт иного содержания.</w:t>
      </w:r>
    </w:p>
    <w:p w:rsidR="004D0B96" w:rsidRPr="004D0B96" w:rsidRDefault="004D0B96" w:rsidP="004D0B96">
      <w:pPr>
        <w:pStyle w:val="SingleTxtGR"/>
      </w:pPr>
      <w:r w:rsidRPr="004D0B96">
        <w:t>6.</w:t>
      </w:r>
      <w:r w:rsidRPr="004D0B96">
        <w:tab/>
        <w:t xml:space="preserve">Кроме того, в других правилах, таких как Типовые правила ООН или МКМПОГ, это последнее предложение не включено в пункт 4.1.1.3. </w:t>
      </w:r>
    </w:p>
    <w:p w:rsidR="004D0B96" w:rsidRPr="004D0B96" w:rsidRDefault="004D0B96" w:rsidP="004D0B96">
      <w:pPr>
        <w:pStyle w:val="HChGR"/>
      </w:pPr>
      <w:r w:rsidRPr="004D0B96">
        <w:lastRenderedPageBreak/>
        <w:tab/>
      </w:r>
      <w:r w:rsidRPr="004D0B96">
        <w:tab/>
        <w:t>Предложение</w:t>
      </w:r>
    </w:p>
    <w:p w:rsidR="004D0B96" w:rsidRPr="004D0B96" w:rsidRDefault="004D0B96" w:rsidP="004D0B96">
      <w:pPr>
        <w:pStyle w:val="SingleTxtGR"/>
      </w:pPr>
      <w:r w:rsidRPr="004D0B96">
        <w:t>7.</w:t>
      </w:r>
      <w:r w:rsidRPr="004D0B96">
        <w:tab/>
        <w:t xml:space="preserve">Испания предлагает исключить последнее предложение пункта 4.1.1.3 МПОГ/ДОПОГ во избежание дальнейшей путаницы и для согласования с пунктом, включенным в Типовые правила (исключенный текст </w:t>
      </w:r>
      <w:r w:rsidRPr="004D0B96">
        <w:rPr>
          <w:strike/>
        </w:rPr>
        <w:t>зачеркнут</w:t>
      </w:r>
      <w:r w:rsidRPr="004D0B96">
        <w:t xml:space="preserve">): </w:t>
      </w:r>
    </w:p>
    <w:p w:rsidR="004D0B96" w:rsidRDefault="004D0B96" w:rsidP="0015267C">
      <w:pPr>
        <w:pStyle w:val="SingleTxtGR"/>
        <w:tabs>
          <w:tab w:val="clear" w:pos="2268"/>
          <w:tab w:val="clear" w:pos="2835"/>
          <w:tab w:val="left" w:pos="1988"/>
          <w:tab w:val="left" w:pos="2688"/>
        </w:tabs>
        <w:ind w:left="1701"/>
      </w:pPr>
      <w:r w:rsidRPr="004D0B96">
        <w:t>4.1.1.3</w:t>
      </w:r>
      <w:r w:rsidR="006F38E4">
        <w:tab/>
      </w:r>
      <w:r w:rsidRPr="004D0B96">
        <w:t>«Если другими положениями МПОГ/ДОПОГ</w:t>
      </w:r>
      <w:r w:rsidR="005863D0">
        <w:t xml:space="preserve"> </w:t>
      </w:r>
      <w:r w:rsidRPr="004D0B96">
        <w:t xml:space="preserve">не предусмотрено иное, то каждая единица тары, включая </w:t>
      </w:r>
      <w:r w:rsidR="0060415B">
        <w:t>КСМ и крупногабаритную тару, за</w:t>
      </w:r>
      <w:r w:rsidR="0060415B">
        <w:rPr>
          <w:lang w:val="en-US"/>
        </w:rPr>
        <w:t> </w:t>
      </w:r>
      <w:r w:rsidRPr="004D0B96">
        <w:t>исключением внутренней тары, должна соответствовать типу конструкции, успешно прошедшему испытания согл</w:t>
      </w:r>
      <w:r w:rsidR="0060415B">
        <w:t>асно требованиям, изложенным, в </w:t>
      </w:r>
      <w:r w:rsidRPr="004D0B96">
        <w:t xml:space="preserve">зависимости от конкретного случая, в разделах 6.1.5, 6.3.5, 6.5.6 или 6.6.5. </w:t>
      </w:r>
      <w:r w:rsidRPr="004D0B96">
        <w:rPr>
          <w:strike/>
        </w:rPr>
        <w:t>Тара, не требующая проведения испытаний, указана в подразделе 6.1.1.3.</w:t>
      </w:r>
      <w:r w:rsidRPr="004D0B96">
        <w:t>».</w:t>
      </w:r>
    </w:p>
    <w:p w:rsidR="004D0B96" w:rsidRPr="004D0B96" w:rsidRDefault="004D0B96" w:rsidP="004D0B9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0B96" w:rsidRPr="004D0B96" w:rsidSect="004D0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273" w:rsidRPr="00A312BC" w:rsidRDefault="00F63273" w:rsidP="00A312BC"/>
  </w:endnote>
  <w:endnote w:type="continuationSeparator" w:id="0">
    <w:p w:rsidR="00F63273" w:rsidRPr="00A312BC" w:rsidRDefault="00F6327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B96" w:rsidRPr="004D0B96" w:rsidRDefault="004D0B96">
    <w:pPr>
      <w:pStyle w:val="Footer"/>
    </w:pPr>
    <w:r w:rsidRPr="004D0B96">
      <w:rPr>
        <w:b/>
        <w:sz w:val="18"/>
      </w:rPr>
      <w:fldChar w:fldCharType="begin"/>
    </w:r>
    <w:r w:rsidRPr="004D0B96">
      <w:rPr>
        <w:b/>
        <w:sz w:val="18"/>
      </w:rPr>
      <w:instrText xml:space="preserve"> PAGE  \* MERGEFORMAT </w:instrText>
    </w:r>
    <w:r w:rsidRPr="004D0B96">
      <w:rPr>
        <w:b/>
        <w:sz w:val="18"/>
      </w:rPr>
      <w:fldChar w:fldCharType="separate"/>
    </w:r>
    <w:r w:rsidR="00E024AA">
      <w:rPr>
        <w:b/>
        <w:noProof/>
        <w:sz w:val="18"/>
      </w:rPr>
      <w:t>2</w:t>
    </w:r>
    <w:r w:rsidRPr="004D0B96">
      <w:rPr>
        <w:b/>
        <w:sz w:val="18"/>
      </w:rPr>
      <w:fldChar w:fldCharType="end"/>
    </w:r>
    <w:r>
      <w:rPr>
        <w:b/>
        <w:sz w:val="18"/>
      </w:rPr>
      <w:tab/>
    </w:r>
    <w:r>
      <w:t>GE.18-22773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B96" w:rsidRPr="004D0B96" w:rsidRDefault="004D0B96" w:rsidP="004D0B96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GE.18-22773</w:t>
    </w:r>
    <w:r>
      <w:tab/>
    </w:r>
    <w:r w:rsidRPr="004D0B96">
      <w:rPr>
        <w:b/>
        <w:sz w:val="18"/>
      </w:rPr>
      <w:fldChar w:fldCharType="begin"/>
    </w:r>
    <w:r w:rsidRPr="004D0B96">
      <w:rPr>
        <w:b/>
        <w:sz w:val="18"/>
      </w:rPr>
      <w:instrText xml:space="preserve"> PAGE  \* MERGEFORMAT </w:instrText>
    </w:r>
    <w:r w:rsidRPr="004D0B96">
      <w:rPr>
        <w:b/>
        <w:sz w:val="18"/>
      </w:rPr>
      <w:fldChar w:fldCharType="separate"/>
    </w:r>
    <w:r w:rsidR="00E024AA">
      <w:rPr>
        <w:b/>
        <w:noProof/>
        <w:sz w:val="18"/>
      </w:rPr>
      <w:t>3</w:t>
    </w:r>
    <w:r w:rsidRPr="004D0B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D0B96" w:rsidRDefault="004D0B96" w:rsidP="004D0B9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22773  (</w:t>
    </w:r>
    <w:proofErr w:type="gramEnd"/>
    <w:r>
      <w:t>R)</w:t>
    </w:r>
    <w:r w:rsidR="00E82C9F">
      <w:t xml:space="preserve">  040119  070119</w:t>
    </w:r>
    <w:r>
      <w:br/>
    </w:r>
    <w:r w:rsidRPr="004D0B96">
      <w:rPr>
        <w:rFonts w:ascii="C39T30Lfz" w:hAnsi="C39T30Lfz"/>
        <w:kern w:val="14"/>
        <w:sz w:val="56"/>
      </w:rPr>
      <w:t></w:t>
    </w:r>
    <w:r w:rsidRPr="004D0B96">
      <w:rPr>
        <w:rFonts w:ascii="C39T30Lfz" w:hAnsi="C39T30Lfz"/>
        <w:kern w:val="14"/>
        <w:sz w:val="56"/>
      </w:rPr>
      <w:t></w:t>
    </w:r>
    <w:r w:rsidRPr="004D0B96">
      <w:rPr>
        <w:rFonts w:ascii="C39T30Lfz" w:hAnsi="C39T30Lfz"/>
        <w:kern w:val="14"/>
        <w:sz w:val="56"/>
      </w:rPr>
      <w:t></w:t>
    </w:r>
    <w:r w:rsidRPr="004D0B96">
      <w:rPr>
        <w:rFonts w:ascii="C39T30Lfz" w:hAnsi="C39T30Lfz"/>
        <w:kern w:val="14"/>
        <w:sz w:val="56"/>
      </w:rPr>
      <w:t></w:t>
    </w:r>
    <w:r w:rsidRPr="004D0B96">
      <w:rPr>
        <w:rFonts w:ascii="C39T30Lfz" w:hAnsi="C39T30Lfz"/>
        <w:kern w:val="14"/>
        <w:sz w:val="56"/>
      </w:rPr>
      <w:t></w:t>
    </w:r>
    <w:r w:rsidRPr="004D0B96">
      <w:rPr>
        <w:rFonts w:ascii="C39T30Lfz" w:hAnsi="C39T30Lfz"/>
        <w:kern w:val="14"/>
        <w:sz w:val="56"/>
      </w:rPr>
      <w:t></w:t>
    </w:r>
    <w:r w:rsidRPr="004D0B96">
      <w:rPr>
        <w:rFonts w:ascii="C39T30Lfz" w:hAnsi="C39T30Lfz"/>
        <w:kern w:val="14"/>
        <w:sz w:val="56"/>
      </w:rPr>
      <w:t></w:t>
    </w:r>
    <w:r w:rsidRPr="004D0B96">
      <w:rPr>
        <w:rFonts w:ascii="C39T30Lfz" w:hAnsi="C39T30Lfz"/>
        <w:kern w:val="14"/>
        <w:sz w:val="56"/>
      </w:rPr>
      <w:t></w:t>
    </w:r>
    <w:r w:rsidRPr="004D0B9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273" w:rsidRPr="001075E9" w:rsidRDefault="00F632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3273" w:rsidRDefault="00F632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D0B96" w:rsidRPr="00372CDA" w:rsidRDefault="004D0B96" w:rsidP="004D0B96">
      <w:pPr>
        <w:pStyle w:val="FootnoteText"/>
      </w:pPr>
      <w:r>
        <w:tab/>
      </w:r>
      <w:r w:rsidR="00CB6687" w:rsidRPr="00CB668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:rsidR="004D0B96" w:rsidRPr="00372CDA" w:rsidRDefault="004D0B96" w:rsidP="004D0B96">
      <w:pPr>
        <w:pStyle w:val="FootnoteText"/>
      </w:pPr>
      <w:r>
        <w:tab/>
      </w:r>
      <w:r w:rsidR="00CB6687" w:rsidRPr="00CB6687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OTIF/RID/RC/2019/15.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B96" w:rsidRPr="004D0B96" w:rsidRDefault="0020207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024AA">
      <w:t>ECE/TRANS/WP.15/AC.1/2019/15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B96" w:rsidRPr="004D0B96" w:rsidRDefault="0020207D" w:rsidP="004D0B9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024AA">
      <w:t>ECE/TRANS/WP.15/AC.1/2019/15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9F" w:rsidRDefault="00E82C9F" w:rsidP="00E82C9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7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3FDE"/>
    <w:rsid w:val="0014152F"/>
    <w:rsid w:val="0015267C"/>
    <w:rsid w:val="00180183"/>
    <w:rsid w:val="0018024D"/>
    <w:rsid w:val="0018649F"/>
    <w:rsid w:val="00196389"/>
    <w:rsid w:val="001B3EF6"/>
    <w:rsid w:val="001C7A89"/>
    <w:rsid w:val="0020207D"/>
    <w:rsid w:val="0024702B"/>
    <w:rsid w:val="00255343"/>
    <w:rsid w:val="00267A0C"/>
    <w:rsid w:val="0027151D"/>
    <w:rsid w:val="002A2EFC"/>
    <w:rsid w:val="002B0106"/>
    <w:rsid w:val="002B307D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0B96"/>
    <w:rsid w:val="004E05B7"/>
    <w:rsid w:val="0050108D"/>
    <w:rsid w:val="00513081"/>
    <w:rsid w:val="00517901"/>
    <w:rsid w:val="00526683"/>
    <w:rsid w:val="005639C1"/>
    <w:rsid w:val="005709E0"/>
    <w:rsid w:val="00572E19"/>
    <w:rsid w:val="005863D0"/>
    <w:rsid w:val="005961C8"/>
    <w:rsid w:val="005966F1"/>
    <w:rsid w:val="005D7914"/>
    <w:rsid w:val="005E2B41"/>
    <w:rsid w:val="005F0B42"/>
    <w:rsid w:val="0060415B"/>
    <w:rsid w:val="00617A43"/>
    <w:rsid w:val="006345DB"/>
    <w:rsid w:val="00640F49"/>
    <w:rsid w:val="006714EF"/>
    <w:rsid w:val="00680D03"/>
    <w:rsid w:val="00681A10"/>
    <w:rsid w:val="006A1ED8"/>
    <w:rsid w:val="006C2031"/>
    <w:rsid w:val="006D461A"/>
    <w:rsid w:val="006D7F91"/>
    <w:rsid w:val="006F35EE"/>
    <w:rsid w:val="006F38E4"/>
    <w:rsid w:val="007021FF"/>
    <w:rsid w:val="00712895"/>
    <w:rsid w:val="00713BB2"/>
    <w:rsid w:val="00734ACB"/>
    <w:rsid w:val="00757357"/>
    <w:rsid w:val="00792497"/>
    <w:rsid w:val="0079408B"/>
    <w:rsid w:val="007C62A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25A2"/>
    <w:rsid w:val="00984A01"/>
    <w:rsid w:val="00985F06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110F"/>
    <w:rsid w:val="00C60F0C"/>
    <w:rsid w:val="00C805C9"/>
    <w:rsid w:val="00C92939"/>
    <w:rsid w:val="00CA1679"/>
    <w:rsid w:val="00CB151C"/>
    <w:rsid w:val="00CB6687"/>
    <w:rsid w:val="00CE27A9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024AA"/>
    <w:rsid w:val="00E12C5F"/>
    <w:rsid w:val="00E73F76"/>
    <w:rsid w:val="00E82C9F"/>
    <w:rsid w:val="00E93275"/>
    <w:rsid w:val="00EA2C9F"/>
    <w:rsid w:val="00EA420E"/>
    <w:rsid w:val="00ED0BDA"/>
    <w:rsid w:val="00EE142A"/>
    <w:rsid w:val="00EF1360"/>
    <w:rsid w:val="00EF3220"/>
    <w:rsid w:val="00F2523A"/>
    <w:rsid w:val="00F43903"/>
    <w:rsid w:val="00F6327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58E6FC0-6C0F-48FD-98B1-DC64966D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tabs>
        <w:tab w:val="clear" w:pos="1701"/>
      </w:tabs>
      <w:spacing w:after="120"/>
      <w:ind w:left="2061" w:right="1134" w:hanging="36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4D0B9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ECE/TRANS/WP.15/AC.1/2019/15</vt:lpstr>
      <vt:lpstr>ECE/TRANS/WP.15/AC.1/2019/15</vt:lpstr>
      <vt:lpstr>A/</vt:lpstr>
    </vt:vector>
  </TitlesOfParts>
  <Company>DCM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ECE/TRANS/WP.15/AC.1/2019/15</dc:title>
  <dc:subject/>
  <dc:creator>Olga OVTCHINNIKOVA</dc:creator>
  <cp:keywords/>
  <cp:lastModifiedBy>Christine Barrio-Champeau</cp:lastModifiedBy>
  <cp:revision>2</cp:revision>
  <cp:lastPrinted>2019-01-07T13:59:00Z</cp:lastPrinted>
  <dcterms:created xsi:type="dcterms:W3CDTF">2019-01-30T09:53:00Z</dcterms:created>
  <dcterms:modified xsi:type="dcterms:W3CDTF">2019-01-30T09:53:00Z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