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4665BA">
            <w:pPr>
              <w:suppressAutoHyphens w:val="0"/>
              <w:spacing w:after="20"/>
              <w:jc w:val="right"/>
            </w:pPr>
            <w:r w:rsidRPr="00B11BB4">
              <w:rPr>
                <w:sz w:val="40"/>
              </w:rPr>
              <w:t>ECE</w:t>
            </w:r>
            <w:r>
              <w:t>/TRANS/WP.15/AC.1/201</w:t>
            </w:r>
            <w:r w:rsidR="00C64869">
              <w:t>9</w:t>
            </w:r>
            <w:r>
              <w:t>/</w:t>
            </w:r>
            <w:r w:rsidR="00652831">
              <w:t>14</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080491" w:rsidP="00B11BB4">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ED3950" w:rsidP="00B11BB4">
            <w:pPr>
              <w:suppressAutoHyphens w:val="0"/>
            </w:pPr>
            <w:r>
              <w:t>27</w:t>
            </w:r>
            <w:r w:rsidR="00B42658">
              <w:t xml:space="preserve"> </w:t>
            </w:r>
            <w:r w:rsidR="005A575C">
              <w:t>December</w:t>
            </w:r>
            <w:r w:rsidR="001B13A5">
              <w:t xml:space="preserve"> 201</w:t>
            </w:r>
            <w:r w:rsidR="005B74E2">
              <w:t>8</w:t>
            </w:r>
          </w:p>
          <w:p w:rsidR="009D2A5B" w:rsidRDefault="009D2A5B" w:rsidP="00B11BB4">
            <w:pPr>
              <w:suppressAutoHyphens w:val="0"/>
            </w:pPr>
          </w:p>
          <w:p w:rsidR="00B56E9C" w:rsidRDefault="009D2A5B" w:rsidP="000D656A">
            <w:pPr>
              <w:suppressAutoHyphens w:val="0"/>
            </w:pPr>
            <w:r>
              <w:t xml:space="preserve">Original: </w:t>
            </w:r>
            <w:r w:rsidR="0094558F">
              <w:t xml:space="preserve"> </w:t>
            </w:r>
            <w:r w:rsidR="0003498C">
              <w:t>English</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BB7CD1" w:rsidP="00BB7CD1">
      <w:r>
        <w:t xml:space="preserve">Bern, </w:t>
      </w:r>
      <w:r w:rsidR="009201BA">
        <w:t>18</w:t>
      </w:r>
      <w:r>
        <w:t>–</w:t>
      </w:r>
      <w:r w:rsidR="00BB4810">
        <w:t>22</w:t>
      </w:r>
      <w:r w:rsidR="00F66565">
        <w:t xml:space="preserve"> </w:t>
      </w:r>
      <w:r>
        <w:t>March 201</w:t>
      </w:r>
      <w:r w:rsidR="00BB4810">
        <w:t>9</w:t>
      </w:r>
    </w:p>
    <w:p w:rsidR="00B175D8" w:rsidRDefault="00B175D8" w:rsidP="00B175D8">
      <w:r>
        <w:t xml:space="preserve">Item </w:t>
      </w:r>
      <w:r w:rsidR="00652831">
        <w:t>6</w:t>
      </w:r>
      <w:r>
        <w:t xml:space="preserve"> of the provisional agenda</w:t>
      </w:r>
    </w:p>
    <w:p w:rsidR="00652831" w:rsidRPr="004572C4" w:rsidRDefault="00652831" w:rsidP="00652831">
      <w:pPr>
        <w:rPr>
          <w:b/>
          <w:bCs/>
        </w:rPr>
      </w:pPr>
      <w:r>
        <w:rPr>
          <w:b/>
          <w:bCs/>
        </w:rPr>
        <w:t>Reports of informal working groups</w:t>
      </w:r>
    </w:p>
    <w:p w:rsidR="00652831" w:rsidRPr="00A85FF1" w:rsidRDefault="009B1518" w:rsidP="00652831">
      <w:pPr>
        <w:pStyle w:val="HChG"/>
      </w:pPr>
      <w:r>
        <w:tab/>
      </w:r>
      <w:r>
        <w:tab/>
      </w:r>
      <w:r w:rsidR="00652831" w:rsidRPr="001411E8">
        <w:t>Carriage of pressure receptacles approved by the Department of Transportation of the United States of America (DOT</w:t>
      </w:r>
      <w:r w:rsidR="00652831">
        <w:t>)</w:t>
      </w:r>
    </w:p>
    <w:p w:rsidR="00652831" w:rsidRDefault="00652831" w:rsidP="00652831">
      <w:pPr>
        <w:pStyle w:val="H1G"/>
        <w:rPr>
          <w:szCs w:val="24"/>
          <w:lang w:val="en-US" w:eastAsia="zh-CN"/>
        </w:rPr>
      </w:pPr>
      <w:r w:rsidRPr="00A85FF1">
        <w:tab/>
      </w:r>
      <w:r w:rsidRPr="00A85FF1">
        <w:tab/>
      </w:r>
      <w:r w:rsidRPr="006848E9">
        <w:t>Transmitted by the European Industrial Gases Association (EIGA)</w:t>
      </w:r>
      <w:r w:rsidR="00DA6440" w:rsidRPr="00DA6440">
        <w:rPr>
          <w:rStyle w:val="FootnoteReference"/>
          <w:b w:val="0"/>
          <w:sz w:val="20"/>
        </w:rPr>
        <w:t xml:space="preserve"> </w:t>
      </w:r>
      <w:r w:rsidR="00DA6440">
        <w:rPr>
          <w:rStyle w:val="FootnoteReference"/>
          <w:b w:val="0"/>
        </w:rPr>
        <w:footnoteReference w:customMarkFollows="1" w:id="2"/>
        <w:t>*</w:t>
      </w:r>
      <w:r w:rsidR="00DA6440" w:rsidRPr="00ED3950">
        <w:rPr>
          <w:b w:val="0"/>
          <w:vertAlign w:val="superscript"/>
        </w:rPr>
        <w:t>,</w:t>
      </w:r>
      <w:r w:rsidR="00DA6440">
        <w:rPr>
          <w:b w:val="0"/>
        </w:rPr>
        <w:t xml:space="preserve"> </w:t>
      </w:r>
      <w:r w:rsidR="00DA6440">
        <w:rPr>
          <w:rStyle w:val="FootnoteReference"/>
          <w:b w:val="0"/>
        </w:rPr>
        <w:footnoteReference w:customMarkFollows="1" w:id="3"/>
        <w:t>**</w:t>
      </w:r>
    </w:p>
    <w:p w:rsidR="00652831" w:rsidRDefault="00652831" w:rsidP="00652831">
      <w:pPr>
        <w:rPr>
          <w:lang w:val="en-US" w:eastAsia="zh-CN"/>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652831" w:rsidTr="00764E3D">
        <w:trPr>
          <w:jc w:val="center"/>
        </w:trPr>
        <w:tc>
          <w:tcPr>
            <w:tcW w:w="9629" w:type="dxa"/>
            <w:tcBorders>
              <w:top w:val="single" w:sz="4" w:space="0" w:color="auto"/>
              <w:left w:val="single" w:sz="4" w:space="0" w:color="auto"/>
              <w:bottom w:val="nil"/>
              <w:right w:val="single" w:sz="4" w:space="0" w:color="auto"/>
            </w:tcBorders>
            <w:hideMark/>
          </w:tcPr>
          <w:p w:rsidR="00652831" w:rsidRDefault="00652831" w:rsidP="00764E3D">
            <w:pPr>
              <w:spacing w:before="240" w:after="120"/>
              <w:ind w:left="255"/>
              <w:rPr>
                <w:i/>
                <w:sz w:val="24"/>
              </w:rPr>
            </w:pPr>
            <w:r>
              <w:tab/>
            </w:r>
            <w:r>
              <w:rPr>
                <w:i/>
                <w:sz w:val="24"/>
              </w:rPr>
              <w:t>Summary</w:t>
            </w:r>
          </w:p>
        </w:tc>
      </w:tr>
      <w:tr w:rsidR="00652831" w:rsidTr="00764E3D">
        <w:trPr>
          <w:jc w:val="center"/>
        </w:trPr>
        <w:tc>
          <w:tcPr>
            <w:tcW w:w="9629" w:type="dxa"/>
            <w:tcBorders>
              <w:top w:val="nil"/>
              <w:left w:val="single" w:sz="4" w:space="0" w:color="auto"/>
              <w:bottom w:val="nil"/>
              <w:right w:val="single" w:sz="4" w:space="0" w:color="auto"/>
            </w:tcBorders>
            <w:hideMark/>
          </w:tcPr>
          <w:p w:rsidR="00652831" w:rsidRDefault="00652831" w:rsidP="00764E3D">
            <w:pPr>
              <w:pStyle w:val="SingleTxtG"/>
              <w:tabs>
                <w:tab w:val="left" w:pos="3260"/>
              </w:tabs>
              <w:ind w:left="3260" w:hanging="2126"/>
            </w:pPr>
            <w:r>
              <w:rPr>
                <w:b/>
              </w:rPr>
              <w:t>Executive summary:</w:t>
            </w:r>
            <w:r>
              <w:tab/>
              <w:t>The report of the meeting of the informal working group of 20</w:t>
            </w:r>
            <w:r w:rsidR="00ED3950">
              <w:rPr>
                <w:vertAlign w:val="superscript"/>
              </w:rPr>
              <w:t> </w:t>
            </w:r>
            <w:proofErr w:type="gramStart"/>
            <w:r>
              <w:t>September</w:t>
            </w:r>
            <w:proofErr w:type="gramEnd"/>
            <w:r>
              <w:t xml:space="preserve"> 2018 is summarised and a new draft text is presented.</w:t>
            </w:r>
          </w:p>
        </w:tc>
      </w:tr>
      <w:tr w:rsidR="00652831" w:rsidRPr="004665BA" w:rsidTr="00764E3D">
        <w:trPr>
          <w:jc w:val="center"/>
        </w:trPr>
        <w:tc>
          <w:tcPr>
            <w:tcW w:w="9629" w:type="dxa"/>
            <w:tcBorders>
              <w:top w:val="nil"/>
              <w:left w:val="single" w:sz="4" w:space="0" w:color="auto"/>
              <w:bottom w:val="nil"/>
              <w:right w:val="single" w:sz="4" w:space="0" w:color="auto"/>
            </w:tcBorders>
          </w:tcPr>
          <w:p w:rsidR="00652831" w:rsidRPr="004665BA" w:rsidRDefault="00652831" w:rsidP="00764E3D">
            <w:pPr>
              <w:pStyle w:val="SingleTxtG"/>
              <w:tabs>
                <w:tab w:val="left" w:pos="3260"/>
              </w:tabs>
              <w:ind w:left="3260" w:hanging="2126"/>
              <w:rPr>
                <w:b/>
              </w:rPr>
            </w:pPr>
            <w:r>
              <w:rPr>
                <w:b/>
              </w:rPr>
              <w:t>Action to be taken:</w:t>
            </w:r>
            <w:r>
              <w:t xml:space="preserve"> </w:t>
            </w:r>
            <w:r>
              <w:tab/>
              <w:t>To note the progress to date and proposed further actions.</w:t>
            </w:r>
          </w:p>
        </w:tc>
      </w:tr>
      <w:tr w:rsidR="00652831" w:rsidTr="00764E3D">
        <w:trPr>
          <w:jc w:val="center"/>
        </w:trPr>
        <w:tc>
          <w:tcPr>
            <w:tcW w:w="9629" w:type="dxa"/>
            <w:tcBorders>
              <w:top w:val="nil"/>
              <w:left w:val="single" w:sz="4" w:space="0" w:color="auto"/>
              <w:bottom w:val="single" w:sz="4" w:space="0" w:color="auto"/>
              <w:right w:val="single" w:sz="4" w:space="0" w:color="auto"/>
            </w:tcBorders>
          </w:tcPr>
          <w:p w:rsidR="00652831" w:rsidRDefault="00652831" w:rsidP="00764E3D">
            <w:pPr>
              <w:pStyle w:val="SingleTxtG"/>
              <w:tabs>
                <w:tab w:val="left" w:pos="3260"/>
              </w:tabs>
              <w:ind w:left="3260" w:hanging="2126"/>
              <w:jc w:val="left"/>
              <w:rPr>
                <w:b/>
              </w:rPr>
            </w:pPr>
          </w:p>
        </w:tc>
      </w:tr>
    </w:tbl>
    <w:p w:rsidR="00652831" w:rsidRDefault="00652831" w:rsidP="00652831">
      <w:pPr>
        <w:rPr>
          <w:lang w:val="en-US" w:eastAsia="zh-CN"/>
        </w:rPr>
      </w:pPr>
    </w:p>
    <w:p w:rsidR="00652831" w:rsidRPr="00A85FF1" w:rsidRDefault="00652831" w:rsidP="00652831">
      <w:pPr>
        <w:pStyle w:val="HChG"/>
      </w:pPr>
      <w:r>
        <w:lastRenderedPageBreak/>
        <w:tab/>
      </w:r>
      <w:r>
        <w:tab/>
      </w:r>
      <w:r w:rsidRPr="00A85FF1">
        <w:t>Introduction</w:t>
      </w:r>
    </w:p>
    <w:p w:rsidR="00652831" w:rsidRPr="00A85FF1" w:rsidRDefault="00652831" w:rsidP="00652831">
      <w:pPr>
        <w:pStyle w:val="SingleTxtG"/>
      </w:pPr>
      <w:r w:rsidRPr="00A85FF1">
        <w:t>1.</w:t>
      </w:r>
      <w:r w:rsidRPr="00A85FF1">
        <w:tab/>
      </w:r>
      <w:r>
        <w:t>At the Autumn 2018 Joint Meeting, an informal meeting was held to discuss the c</w:t>
      </w:r>
      <w:r w:rsidRPr="001411E8">
        <w:t>arriage of pressure receptacles approved by the Department of Transportation of the United States of America (DOT)</w:t>
      </w:r>
      <w:r>
        <w:t>.</w:t>
      </w:r>
    </w:p>
    <w:p w:rsidR="00652831" w:rsidRPr="00164C6A" w:rsidRDefault="00652831" w:rsidP="00652831">
      <w:pPr>
        <w:pStyle w:val="SingleTxtG"/>
        <w:spacing w:before="120"/>
        <w:rPr>
          <w:lang w:val="en-IE"/>
        </w:rPr>
      </w:pPr>
      <w:r w:rsidRPr="00A85FF1">
        <w:t>2.</w:t>
      </w:r>
      <w:r w:rsidRPr="00A85FF1">
        <w:tab/>
      </w:r>
      <w:r>
        <w:rPr>
          <w:lang w:val="en-IE"/>
        </w:rPr>
        <w:t xml:space="preserve">The intent of the meeting was to review text developed to cover both the import and export of gases in pressure receptacles </w:t>
      </w:r>
      <w:r w:rsidRPr="001411E8">
        <w:rPr>
          <w:lang w:val="en-IE"/>
        </w:rPr>
        <w:t xml:space="preserve">constructed in accordance with standards listed in Title 49, </w:t>
      </w:r>
      <w:r w:rsidRPr="001411E8">
        <w:rPr>
          <w:i/>
          <w:lang w:val="en-IE"/>
        </w:rPr>
        <w:t>Transportation,</w:t>
      </w:r>
      <w:r w:rsidRPr="001411E8">
        <w:rPr>
          <w:lang w:val="en-IE"/>
        </w:rPr>
        <w:t xml:space="preserve"> of the Code of Federal Regulations</w:t>
      </w:r>
      <w:r>
        <w:rPr>
          <w:lang w:val="en-IE"/>
        </w:rPr>
        <w:t>.</w:t>
      </w:r>
    </w:p>
    <w:p w:rsidR="00652831" w:rsidRDefault="00652831" w:rsidP="00652831">
      <w:pPr>
        <w:pStyle w:val="SingleTxtG"/>
        <w:spacing w:before="120"/>
        <w:rPr>
          <w:lang w:val="en-IE"/>
        </w:rPr>
      </w:pPr>
      <w:r w:rsidRPr="00A85FF1">
        <w:t>3.</w:t>
      </w:r>
      <w:r w:rsidRPr="00A85FF1">
        <w:tab/>
      </w:r>
      <w:r w:rsidRPr="001F2868">
        <w:rPr>
          <w:lang w:val="en-IE"/>
        </w:rPr>
        <w:t xml:space="preserve">This </w:t>
      </w:r>
      <w:r>
        <w:rPr>
          <w:lang w:val="en-IE"/>
        </w:rPr>
        <w:t>meeting</w:t>
      </w:r>
      <w:r w:rsidRPr="001F2868">
        <w:rPr>
          <w:lang w:val="en-IE"/>
        </w:rPr>
        <w:t xml:space="preserve"> was based</w:t>
      </w:r>
      <w:r w:rsidRPr="006B2CAE">
        <w:rPr>
          <w:lang w:val="en-IE"/>
        </w:rPr>
        <w:t xml:space="preserve"> on ECE/TRANS/WP.15/AC.1/2018/</w:t>
      </w:r>
      <w:r>
        <w:rPr>
          <w:lang w:val="en-IE"/>
        </w:rPr>
        <w:t xml:space="preserve">22, and the supporting </w:t>
      </w:r>
      <w:r w:rsidR="00ED3950">
        <w:rPr>
          <w:lang w:val="en-IE"/>
        </w:rPr>
        <w:t>documents</w:t>
      </w:r>
      <w:r>
        <w:rPr>
          <w:lang w:val="en-IE"/>
        </w:rPr>
        <w:t xml:space="preserve"> referred to within that document.</w:t>
      </w:r>
    </w:p>
    <w:p w:rsidR="00652831" w:rsidRDefault="00652831" w:rsidP="00652831">
      <w:pPr>
        <w:pStyle w:val="SingleTxtG"/>
        <w:spacing w:before="120"/>
      </w:pPr>
      <w:r>
        <w:rPr>
          <w:lang w:val="en-IE"/>
        </w:rPr>
        <w:t>4.</w:t>
      </w:r>
      <w:r>
        <w:rPr>
          <w:lang w:val="en-IE"/>
        </w:rPr>
        <w:tab/>
        <w:t xml:space="preserve">The informal meeting identified the principles for both the import and export of gases in pressure receptacles </w:t>
      </w:r>
      <w:r w:rsidRPr="00967D89">
        <w:rPr>
          <w:lang w:val="en-IE"/>
        </w:rPr>
        <w:t>constructed in accordance with standards listed in Title 49, Transportation, of the Code of Federal Regulations</w:t>
      </w:r>
      <w:r>
        <w:rPr>
          <w:lang w:val="en-IE"/>
        </w:rPr>
        <w:t>.</w:t>
      </w:r>
      <w:r w:rsidRPr="006B2CAE">
        <w:t xml:space="preserve"> </w:t>
      </w:r>
      <w:r>
        <w:t xml:space="preserve">Informal </w:t>
      </w:r>
      <w:r w:rsidR="00ED3950">
        <w:t>document INF.</w:t>
      </w:r>
      <w:r>
        <w:t>32 summarising the results of the informal meeting was submitted to the Joint Meetin</w:t>
      </w:r>
      <w:r w:rsidR="00ED3950">
        <w:t>g at its Autumn 2018 session</w:t>
      </w:r>
      <w:r>
        <w:t>.</w:t>
      </w:r>
    </w:p>
    <w:p w:rsidR="00652831" w:rsidRDefault="00652831" w:rsidP="00652831">
      <w:pPr>
        <w:pStyle w:val="SingleTxtG"/>
        <w:keepNext/>
        <w:spacing w:before="120"/>
      </w:pPr>
      <w:r>
        <w:t>5.</w:t>
      </w:r>
      <w:r>
        <w:tab/>
        <w:t>The principle identified were:</w:t>
      </w:r>
    </w:p>
    <w:p w:rsidR="00652831" w:rsidRDefault="00652831" w:rsidP="00652831">
      <w:pPr>
        <w:pStyle w:val="SingleTxtG"/>
        <w:keepNext/>
        <w:spacing w:before="120"/>
        <w:rPr>
          <w:b/>
        </w:rPr>
      </w:pPr>
      <w:r>
        <w:tab/>
      </w:r>
      <w:r>
        <w:tab/>
      </w:r>
      <w:r>
        <w:rPr>
          <w:b/>
        </w:rPr>
        <w:t>Import of gases in DOT pressure receptacles</w:t>
      </w:r>
    </w:p>
    <w:p w:rsidR="00652831" w:rsidRPr="002778F0" w:rsidRDefault="00652831" w:rsidP="00652831">
      <w:pPr>
        <w:pStyle w:val="SingleTxtG"/>
        <w:numPr>
          <w:ilvl w:val="0"/>
          <w:numId w:val="18"/>
        </w:numPr>
        <w:spacing w:before="120"/>
        <w:rPr>
          <w:lang w:val="en-IE"/>
        </w:rPr>
      </w:pPr>
      <w:r>
        <w:rPr>
          <w:lang w:val="en-IE"/>
        </w:rPr>
        <w:t>The text should allow land carriage from the end of a transport chain according to 1.1.4.2 to the user of the gas.</w:t>
      </w:r>
    </w:p>
    <w:p w:rsidR="00652831" w:rsidRDefault="00652831" w:rsidP="00652831">
      <w:pPr>
        <w:pStyle w:val="SingleTxtG"/>
        <w:numPr>
          <w:ilvl w:val="0"/>
          <w:numId w:val="18"/>
        </w:numPr>
        <w:spacing w:before="120"/>
        <w:rPr>
          <w:lang w:val="en-IE"/>
        </w:rPr>
      </w:pPr>
      <w:r>
        <w:rPr>
          <w:lang w:val="en-IE"/>
        </w:rPr>
        <w:t xml:space="preserve">Pressure receptacles shall be </w:t>
      </w:r>
      <w:r w:rsidRPr="00967D89">
        <w:rPr>
          <w:lang w:val="en-IE"/>
        </w:rPr>
        <w:t>constructed in accordance with standards listed in Title 49, Transportation, of the Code of Federal Regulations</w:t>
      </w:r>
      <w:r>
        <w:rPr>
          <w:lang w:val="en-IE"/>
        </w:rPr>
        <w:t>.</w:t>
      </w:r>
    </w:p>
    <w:p w:rsidR="00652831" w:rsidRDefault="00652831" w:rsidP="00652831">
      <w:pPr>
        <w:pStyle w:val="SingleTxtG"/>
        <w:numPr>
          <w:ilvl w:val="0"/>
          <w:numId w:val="18"/>
        </w:numPr>
        <w:spacing w:before="120"/>
        <w:rPr>
          <w:lang w:val="en-IE"/>
        </w:rPr>
      </w:pPr>
      <w:r>
        <w:rPr>
          <w:lang w:val="en-IE"/>
        </w:rPr>
        <w:t>Periodic inspection and filling shall be in accordance with the requirements of Title 49.</w:t>
      </w:r>
    </w:p>
    <w:p w:rsidR="00652831" w:rsidRDefault="00652831" w:rsidP="00652831">
      <w:pPr>
        <w:pStyle w:val="SingleTxtG"/>
        <w:numPr>
          <w:ilvl w:val="0"/>
          <w:numId w:val="18"/>
        </w:numPr>
        <w:spacing w:before="120"/>
        <w:rPr>
          <w:lang w:val="en-IE"/>
        </w:rPr>
      </w:pPr>
      <w:r>
        <w:rPr>
          <w:lang w:val="en-IE"/>
        </w:rPr>
        <w:t>The RID/ADR text needs to include the reference to the relevant section of Title 49 of CFR.</w:t>
      </w:r>
    </w:p>
    <w:p w:rsidR="00652831" w:rsidRPr="00B129BF" w:rsidRDefault="00652831" w:rsidP="00652831">
      <w:pPr>
        <w:pStyle w:val="SingleTxtG"/>
        <w:spacing w:before="120"/>
        <w:ind w:left="1701"/>
        <w:rPr>
          <w:b/>
          <w:lang w:val="en-IE"/>
        </w:rPr>
      </w:pPr>
      <w:r w:rsidRPr="00B129BF">
        <w:rPr>
          <w:b/>
          <w:lang w:val="en-IE"/>
        </w:rPr>
        <w:t>Export of gases in DOT pressure receptacles</w:t>
      </w:r>
    </w:p>
    <w:p w:rsidR="00652831" w:rsidRPr="002778F0" w:rsidRDefault="00652831" w:rsidP="00652831">
      <w:pPr>
        <w:pStyle w:val="SingleTxtG"/>
        <w:numPr>
          <w:ilvl w:val="0"/>
          <w:numId w:val="19"/>
        </w:numPr>
        <w:spacing w:before="120"/>
        <w:rPr>
          <w:lang w:val="en-IE"/>
        </w:rPr>
      </w:pPr>
      <w:r>
        <w:rPr>
          <w:lang w:val="en-IE"/>
        </w:rPr>
        <w:t>The text allows land carriage from the point of filling to the consignor of carriage according to 1.1.4.2 to countries which are not contracting states/parties of RID/ADR/ADN.</w:t>
      </w:r>
    </w:p>
    <w:p w:rsidR="00652831" w:rsidRDefault="00652831" w:rsidP="00652831">
      <w:pPr>
        <w:pStyle w:val="SingleTxtG"/>
        <w:numPr>
          <w:ilvl w:val="0"/>
          <w:numId w:val="19"/>
        </w:numPr>
        <w:spacing w:before="120"/>
        <w:rPr>
          <w:lang w:val="en-IE"/>
        </w:rPr>
      </w:pPr>
      <w:r>
        <w:rPr>
          <w:lang w:val="en-IE"/>
        </w:rPr>
        <w:t>5b, 5c, and 5d shall apply.</w:t>
      </w:r>
    </w:p>
    <w:p w:rsidR="00652831" w:rsidRPr="00E75DD6" w:rsidRDefault="00652831" w:rsidP="00652831">
      <w:pPr>
        <w:pStyle w:val="SingleTxtG"/>
        <w:spacing w:before="120"/>
        <w:rPr>
          <w:lang w:val="en-IE"/>
        </w:rPr>
      </w:pPr>
      <w:r>
        <w:rPr>
          <w:lang w:val="en-IE"/>
        </w:rPr>
        <w:t>6.</w:t>
      </w:r>
      <w:r>
        <w:rPr>
          <w:lang w:val="en-IE"/>
        </w:rPr>
        <w:tab/>
        <w:t>The text proposed has been slightly amended to include reference to the specific sections of the United Sta</w:t>
      </w:r>
      <w:r w:rsidR="00ED3950">
        <w:rPr>
          <w:lang w:val="en-IE"/>
        </w:rPr>
        <w:t>tes Code of Federal Regulations</w:t>
      </w:r>
      <w:r>
        <w:rPr>
          <w:lang w:val="en-IE"/>
        </w:rPr>
        <w:t xml:space="preserve"> (CFR)</w:t>
      </w:r>
      <w:r w:rsidR="00ED3950">
        <w:rPr>
          <w:lang w:val="en-IE"/>
        </w:rPr>
        <w:t>,</w:t>
      </w:r>
      <w:r>
        <w:rPr>
          <w:lang w:val="en-IE"/>
        </w:rPr>
        <w:t xml:space="preserve"> that lists the authorized standards. The referencing of a section of CFR takes account of comments not to include “Special Permit” cylinders. Temporary storage is mentioned to reflect what is already in </w:t>
      </w:r>
      <w:r w:rsidR="00ED3950">
        <w:rPr>
          <w:lang w:val="en-IE"/>
        </w:rPr>
        <w:t>multilateral agreement M</w:t>
      </w:r>
      <w:r>
        <w:rPr>
          <w:lang w:val="en-IE"/>
        </w:rPr>
        <w:t>299.</w:t>
      </w:r>
    </w:p>
    <w:p w:rsidR="00652831" w:rsidRPr="00A85FF1" w:rsidRDefault="00652831" w:rsidP="00652831">
      <w:pPr>
        <w:pStyle w:val="HChG"/>
      </w:pPr>
      <w:r>
        <w:tab/>
      </w:r>
      <w:r>
        <w:tab/>
      </w:r>
      <w:r w:rsidRPr="00A85FF1">
        <w:t>Proposal</w:t>
      </w:r>
    </w:p>
    <w:p w:rsidR="00652831" w:rsidRDefault="00652831" w:rsidP="00652831">
      <w:pPr>
        <w:pStyle w:val="SingleTxtG"/>
        <w:spacing w:before="120"/>
        <w:rPr>
          <w:lang w:val="en-IE"/>
        </w:rPr>
      </w:pPr>
      <w:r>
        <w:rPr>
          <w:lang w:val="en-IE"/>
        </w:rPr>
        <w:t>7.</w:t>
      </w:r>
      <w:r>
        <w:rPr>
          <w:lang w:val="en-IE"/>
        </w:rPr>
        <w:tab/>
        <w:t>Based on paragraphs 5 and 6, the draft text proposed is, (new text in italics):</w:t>
      </w:r>
    </w:p>
    <w:p w:rsidR="00652831" w:rsidRPr="008E7AFB" w:rsidRDefault="00ED3950" w:rsidP="00652831">
      <w:pPr>
        <w:suppressAutoHyphens w:val="0"/>
        <w:spacing w:after="160" w:line="259" w:lineRule="auto"/>
        <w:ind w:left="2127" w:right="1134" w:hanging="993"/>
        <w:jc w:val="both"/>
        <w:rPr>
          <w:b/>
          <w:i/>
          <w:lang w:val="en-IE"/>
        </w:rPr>
      </w:pPr>
      <w:bookmarkStart w:id="0" w:name="_GoBack"/>
      <w:r w:rsidRPr="00ED3950">
        <w:rPr>
          <w:b/>
          <w:bCs/>
          <w:i/>
          <w:lang w:val="en-IE"/>
        </w:rPr>
        <w:t>“</w:t>
      </w:r>
      <w:r w:rsidR="00652831" w:rsidRPr="00ED3950">
        <w:rPr>
          <w:b/>
          <w:bCs/>
          <w:i/>
          <w:lang w:val="en-IE"/>
        </w:rPr>
        <w:t>1.1.4.7</w:t>
      </w:r>
      <w:bookmarkEnd w:id="0"/>
      <w:r w:rsidR="00652831" w:rsidRPr="008E7AFB">
        <w:rPr>
          <w:i/>
          <w:lang w:val="en-IE"/>
        </w:rPr>
        <w:tab/>
      </w:r>
      <w:r w:rsidR="00652831" w:rsidRPr="008E7AFB">
        <w:rPr>
          <w:b/>
          <w:i/>
          <w:lang w:val="en-IE"/>
        </w:rPr>
        <w:t xml:space="preserve">Refillable pressure receptacles authorized </w:t>
      </w:r>
      <w:bookmarkStart w:id="1" w:name="_Hlk525131534"/>
      <w:r w:rsidR="00652831" w:rsidRPr="008E7AFB">
        <w:rPr>
          <w:b/>
          <w:i/>
          <w:lang w:val="en-IE"/>
        </w:rPr>
        <w:t>by the United States of America Department of Transportation</w:t>
      </w:r>
    </w:p>
    <w:p w:rsidR="00652831" w:rsidRPr="008E7AFB" w:rsidRDefault="00652831" w:rsidP="00652831">
      <w:pPr>
        <w:suppressAutoHyphens w:val="0"/>
        <w:spacing w:after="160" w:line="259" w:lineRule="auto"/>
        <w:ind w:left="2127" w:right="1134" w:hanging="993"/>
        <w:jc w:val="both"/>
        <w:rPr>
          <w:i/>
          <w:lang w:val="en-IE"/>
        </w:rPr>
      </w:pPr>
      <w:r w:rsidRPr="008E7AFB">
        <w:rPr>
          <w:i/>
          <w:lang w:val="en-IE"/>
        </w:rPr>
        <w:t xml:space="preserve">1.1.4.7.1 </w:t>
      </w:r>
      <w:r w:rsidRPr="008E7AFB">
        <w:rPr>
          <w:i/>
          <w:lang w:val="en-IE"/>
        </w:rPr>
        <w:tab/>
      </w:r>
      <w:r w:rsidRPr="00ED3950">
        <w:rPr>
          <w:bCs/>
          <w:i/>
          <w:lang w:val="en-IE"/>
        </w:rPr>
        <w:t>Import of gases</w:t>
      </w:r>
    </w:p>
    <w:p w:rsidR="00652831" w:rsidRPr="008E7AFB" w:rsidRDefault="00652831" w:rsidP="00652831">
      <w:pPr>
        <w:suppressAutoHyphens w:val="0"/>
        <w:spacing w:after="160" w:line="259" w:lineRule="auto"/>
        <w:ind w:left="2127" w:right="1134"/>
        <w:jc w:val="both"/>
        <w:rPr>
          <w:i/>
          <w:lang w:val="en-IE"/>
        </w:rPr>
      </w:pPr>
      <w:r w:rsidRPr="008E7AFB">
        <w:rPr>
          <w:i/>
          <w:lang w:val="en-IE"/>
        </w:rPr>
        <w:t xml:space="preserve">Refillable pressure receptacles authorized by the United States of America Department of Transportation and constructed in accordance with standards </w:t>
      </w:r>
      <w:r w:rsidRPr="008E7AFB">
        <w:rPr>
          <w:i/>
          <w:lang w:val="en-IE"/>
        </w:rPr>
        <w:lastRenderedPageBreak/>
        <w:t xml:space="preserve">listed in Part 178, Specifications for </w:t>
      </w:r>
      <w:proofErr w:type="spellStart"/>
      <w:r w:rsidRPr="008E7AFB">
        <w:rPr>
          <w:i/>
          <w:lang w:val="en-IE"/>
        </w:rPr>
        <w:t>Packagings</w:t>
      </w:r>
      <w:proofErr w:type="spellEnd"/>
      <w:r w:rsidRPr="008E7AFB">
        <w:rPr>
          <w:i/>
          <w:lang w:val="en-IE"/>
        </w:rPr>
        <w:t xml:space="preserve"> of Title 49, Transportation, of the Code of Federal Regulations </w:t>
      </w:r>
      <w:bookmarkEnd w:id="1"/>
      <w:r w:rsidRPr="008E7AFB">
        <w:rPr>
          <w:i/>
          <w:lang w:val="en-IE"/>
        </w:rPr>
        <w:t xml:space="preserve">accepted for carriage in a transport chain in accordance with 1.1.4.2 may be carried from the location of the temporary storage </w:t>
      </w:r>
      <w:r>
        <w:rPr>
          <w:i/>
          <w:lang w:val="en-IE"/>
        </w:rPr>
        <w:t>at</w:t>
      </w:r>
      <w:r w:rsidRPr="008E7AFB">
        <w:rPr>
          <w:i/>
          <w:lang w:val="en-IE"/>
        </w:rPr>
        <w:t xml:space="preserve"> the end point of the transport chain to the end user. </w:t>
      </w:r>
    </w:p>
    <w:p w:rsidR="00652831" w:rsidRPr="008E7AFB" w:rsidRDefault="00652831" w:rsidP="00652831">
      <w:pPr>
        <w:suppressAutoHyphens w:val="0"/>
        <w:spacing w:after="160" w:line="259" w:lineRule="auto"/>
        <w:ind w:left="2127" w:right="1134"/>
        <w:jc w:val="both"/>
        <w:rPr>
          <w:i/>
          <w:lang w:val="en-IE"/>
        </w:rPr>
      </w:pPr>
      <w:bookmarkStart w:id="2" w:name="_Hlk525132507"/>
      <w:r w:rsidRPr="008E7AFB">
        <w:rPr>
          <w:i/>
          <w:lang w:val="en-IE"/>
        </w:rPr>
        <w:t>The consignor for the RID/ADR/ADN carriage shall include the following entry in the transport document:</w:t>
      </w:r>
    </w:p>
    <w:p w:rsidR="00652831" w:rsidRPr="008E7AFB" w:rsidRDefault="00652831" w:rsidP="00652831">
      <w:pPr>
        <w:suppressAutoHyphens w:val="0"/>
        <w:spacing w:after="160" w:line="259" w:lineRule="auto"/>
        <w:ind w:left="1134" w:right="1134"/>
        <w:jc w:val="center"/>
        <w:rPr>
          <w:i/>
          <w:lang w:val="en-IE"/>
        </w:rPr>
      </w:pPr>
      <w:r w:rsidRPr="008E7AFB">
        <w:rPr>
          <w:i/>
          <w:lang w:val="en-IE"/>
        </w:rPr>
        <w:t>“Carriage in accordance with 1.1.4.7”</w:t>
      </w:r>
      <w:r w:rsidR="00ED3950">
        <w:rPr>
          <w:i/>
          <w:lang w:val="en-IE"/>
        </w:rPr>
        <w:t>.”</w:t>
      </w:r>
    </w:p>
    <w:bookmarkEnd w:id="2"/>
    <w:p w:rsidR="00652831" w:rsidRPr="008E7AFB" w:rsidRDefault="00652831" w:rsidP="00652831">
      <w:pPr>
        <w:suppressAutoHyphens w:val="0"/>
        <w:spacing w:after="120" w:line="240" w:lineRule="auto"/>
        <w:ind w:left="2268" w:right="1134" w:hanging="1134"/>
        <w:jc w:val="both"/>
        <w:rPr>
          <w:i/>
          <w:lang w:val="en-IE"/>
        </w:rPr>
      </w:pPr>
      <w:r w:rsidRPr="008E7AFB">
        <w:rPr>
          <w:i/>
          <w:lang w:val="en-IE"/>
        </w:rPr>
        <w:t>1.1.4.7.2</w:t>
      </w:r>
      <w:r w:rsidRPr="008E7AFB">
        <w:rPr>
          <w:i/>
          <w:lang w:val="en-IE"/>
        </w:rPr>
        <w:tab/>
      </w:r>
      <w:r w:rsidRPr="008E7AFB">
        <w:rPr>
          <w:b/>
          <w:i/>
          <w:lang w:val="en-IE"/>
        </w:rPr>
        <w:t>Export of gases</w:t>
      </w:r>
    </w:p>
    <w:p w:rsidR="00652831" w:rsidRPr="008E7AFB" w:rsidRDefault="00652831" w:rsidP="00652831">
      <w:pPr>
        <w:suppressAutoHyphens w:val="0"/>
        <w:spacing w:after="120" w:line="240" w:lineRule="auto"/>
        <w:ind w:left="2268" w:right="1134"/>
        <w:jc w:val="both"/>
        <w:rPr>
          <w:i/>
          <w:lang w:val="en-IE"/>
        </w:rPr>
      </w:pPr>
      <w:r w:rsidRPr="008E7AFB">
        <w:rPr>
          <w:i/>
          <w:lang w:val="en-IE"/>
        </w:rPr>
        <w:t xml:space="preserve">Refillable pressure receptacles authorized by the United States of America Department of Transportation and constructed in accordance with standards listed in Part 178, Specifications for </w:t>
      </w:r>
      <w:proofErr w:type="spellStart"/>
      <w:r w:rsidRPr="008E7AFB">
        <w:rPr>
          <w:i/>
          <w:lang w:val="en-IE"/>
        </w:rPr>
        <w:t>Packagings</w:t>
      </w:r>
      <w:proofErr w:type="spellEnd"/>
      <w:r w:rsidRPr="008E7AFB">
        <w:rPr>
          <w:i/>
          <w:lang w:val="en-IE"/>
        </w:rPr>
        <w:t xml:space="preserve"> of Title 49, Transportation, of the Code of Federal Regulations may be filled and carried only </w:t>
      </w:r>
      <w:proofErr w:type="gramStart"/>
      <w:r w:rsidRPr="008E7AFB">
        <w:rPr>
          <w:i/>
          <w:lang w:val="en-IE"/>
        </w:rPr>
        <w:t>for the purpose of</w:t>
      </w:r>
      <w:proofErr w:type="gramEnd"/>
      <w:r w:rsidRPr="008E7AFB">
        <w:rPr>
          <w:i/>
          <w:lang w:val="en-IE"/>
        </w:rPr>
        <w:t xml:space="preserve"> exporting</w:t>
      </w:r>
      <w:r>
        <w:rPr>
          <w:i/>
          <w:lang w:val="en-IE"/>
        </w:rPr>
        <w:t xml:space="preserve"> gases</w:t>
      </w:r>
      <w:r w:rsidRPr="008E7AFB">
        <w:rPr>
          <w:i/>
          <w:lang w:val="en-IE"/>
        </w:rPr>
        <w:t xml:space="preserve"> to countries which are not Contracting States</w:t>
      </w:r>
      <w:r>
        <w:rPr>
          <w:i/>
          <w:lang w:val="en-IE"/>
        </w:rPr>
        <w:t>/Parties</w:t>
      </w:r>
      <w:r w:rsidRPr="008E7AFB">
        <w:rPr>
          <w:i/>
          <w:lang w:val="en-IE"/>
        </w:rPr>
        <w:t xml:space="preserve"> of RID/ADR</w:t>
      </w:r>
      <w:r>
        <w:rPr>
          <w:i/>
          <w:lang w:val="en-IE"/>
        </w:rPr>
        <w:t>/</w:t>
      </w:r>
      <w:r w:rsidRPr="008E7AFB">
        <w:rPr>
          <w:i/>
          <w:lang w:val="en-IE"/>
        </w:rPr>
        <w:t xml:space="preserve">ADN provided the following </w:t>
      </w:r>
      <w:r>
        <w:rPr>
          <w:i/>
          <w:lang w:val="en-IE"/>
        </w:rPr>
        <w:t xml:space="preserve">provisions </w:t>
      </w:r>
      <w:r w:rsidRPr="008E7AFB">
        <w:rPr>
          <w:i/>
          <w:lang w:val="en-IE"/>
        </w:rPr>
        <w:t>are met:</w:t>
      </w:r>
    </w:p>
    <w:p w:rsidR="00652831" w:rsidRPr="008E7AFB" w:rsidRDefault="00652831" w:rsidP="00652831">
      <w:pPr>
        <w:suppressAutoHyphens w:val="0"/>
        <w:spacing w:after="120" w:line="240" w:lineRule="auto"/>
        <w:ind w:left="2835" w:right="1134" w:hanging="567"/>
        <w:contextualSpacing/>
        <w:jc w:val="both"/>
        <w:rPr>
          <w:i/>
          <w:lang w:val="en-IE"/>
        </w:rPr>
      </w:pPr>
      <w:r>
        <w:rPr>
          <w:i/>
          <w:lang w:val="en-IE"/>
        </w:rPr>
        <w:t>(a)</w:t>
      </w:r>
      <w:r>
        <w:rPr>
          <w:i/>
          <w:lang w:val="en-IE"/>
        </w:rPr>
        <w:tab/>
      </w:r>
      <w:r>
        <w:rPr>
          <w:i/>
          <w:lang w:val="en-IE"/>
        </w:rPr>
        <w:tab/>
      </w:r>
      <w:r w:rsidRPr="008E7AFB">
        <w:rPr>
          <w:i/>
          <w:lang w:val="en-IE"/>
        </w:rPr>
        <w:t>The pressure receptacle is filled in accordance with the relevant requirements of Code of Federal Regulations of the United States of America.</w:t>
      </w:r>
    </w:p>
    <w:p w:rsidR="00652831" w:rsidRPr="008E7AFB" w:rsidRDefault="00652831" w:rsidP="00652831">
      <w:pPr>
        <w:suppressAutoHyphens w:val="0"/>
        <w:spacing w:after="120" w:line="240" w:lineRule="auto"/>
        <w:ind w:left="2835" w:right="1134" w:hanging="567"/>
        <w:contextualSpacing/>
        <w:jc w:val="both"/>
        <w:rPr>
          <w:i/>
          <w:lang w:val="en-IE"/>
        </w:rPr>
      </w:pPr>
      <w:r>
        <w:rPr>
          <w:i/>
          <w:lang w:val="en-IE"/>
        </w:rPr>
        <w:t>(</w:t>
      </w:r>
      <w:r w:rsidRPr="008E7AFB">
        <w:rPr>
          <w:i/>
          <w:lang w:val="en-IE"/>
        </w:rPr>
        <w:t>b)</w:t>
      </w:r>
      <w:r w:rsidRPr="008E7AFB">
        <w:rPr>
          <w:i/>
          <w:lang w:val="en-IE"/>
        </w:rPr>
        <w:tab/>
      </w:r>
      <w:r>
        <w:rPr>
          <w:i/>
          <w:lang w:val="en-IE"/>
        </w:rPr>
        <w:tab/>
      </w:r>
      <w:r w:rsidRPr="008E7AFB">
        <w:rPr>
          <w:i/>
          <w:lang w:val="en-IE"/>
        </w:rPr>
        <w:t>The pressure receptacles shall be marked and labelled in accordance with Chapter 5.2 of RID/ADR/ADN.</w:t>
      </w:r>
    </w:p>
    <w:p w:rsidR="00652831" w:rsidRPr="008E7AFB" w:rsidRDefault="00652831" w:rsidP="00652831">
      <w:pPr>
        <w:suppressAutoHyphens w:val="0"/>
        <w:spacing w:after="120" w:line="240" w:lineRule="auto"/>
        <w:ind w:left="2835" w:right="1134" w:hanging="567"/>
        <w:jc w:val="both"/>
        <w:rPr>
          <w:i/>
          <w:lang w:val="en-IE"/>
        </w:rPr>
      </w:pPr>
      <w:r>
        <w:rPr>
          <w:i/>
          <w:lang w:val="en-IE"/>
        </w:rPr>
        <w:t>(</w:t>
      </w:r>
      <w:r w:rsidRPr="008E7AFB">
        <w:rPr>
          <w:i/>
          <w:lang w:val="en-IE"/>
        </w:rPr>
        <w:t>c)</w:t>
      </w:r>
      <w:r w:rsidRPr="008E7AFB">
        <w:rPr>
          <w:i/>
          <w:lang w:val="en-IE"/>
        </w:rPr>
        <w:tab/>
      </w:r>
      <w:r>
        <w:rPr>
          <w:i/>
          <w:lang w:val="en-IE"/>
        </w:rPr>
        <w:tab/>
      </w:r>
      <w:r w:rsidRPr="008E7AFB">
        <w:rPr>
          <w:i/>
          <w:lang w:val="en-IE"/>
        </w:rPr>
        <w:t>The consignor for the RID/ADR/ADN carriage shall include the following entry in the transport document:</w:t>
      </w:r>
    </w:p>
    <w:p w:rsidR="00652831" w:rsidRDefault="00652831" w:rsidP="00652831">
      <w:pPr>
        <w:suppressAutoHyphens w:val="0"/>
        <w:spacing w:after="120" w:line="240" w:lineRule="auto"/>
        <w:jc w:val="center"/>
        <w:rPr>
          <w:i/>
          <w:lang w:val="en-IE"/>
        </w:rPr>
      </w:pPr>
      <w:r w:rsidRPr="008E7AFB">
        <w:rPr>
          <w:i/>
          <w:lang w:val="en-IE"/>
        </w:rPr>
        <w:t>“Carriage in accordance with 1.1.4.7”</w:t>
      </w:r>
    </w:p>
    <w:p w:rsidR="00652831" w:rsidRDefault="00652831" w:rsidP="00652831">
      <w:pPr>
        <w:pStyle w:val="HChG"/>
      </w:pPr>
      <w:r>
        <w:tab/>
      </w:r>
      <w:r>
        <w:tab/>
      </w:r>
      <w:r w:rsidRPr="00F62903">
        <w:t>Further Action</w:t>
      </w:r>
      <w:r>
        <w:t>s</w:t>
      </w:r>
    </w:p>
    <w:p w:rsidR="00652831" w:rsidRDefault="00652831" w:rsidP="00652831">
      <w:pPr>
        <w:pStyle w:val="SingleTxtG"/>
        <w:spacing w:before="120"/>
        <w:rPr>
          <w:lang w:val="en-IE"/>
        </w:rPr>
      </w:pPr>
      <w:r>
        <w:rPr>
          <w:lang w:val="en-IE"/>
        </w:rPr>
        <w:t>8</w:t>
      </w:r>
      <w:r w:rsidRPr="008E7AFB">
        <w:rPr>
          <w:lang w:val="en-IE"/>
        </w:rPr>
        <w:t>.</w:t>
      </w:r>
      <w:r w:rsidRPr="008E7AFB">
        <w:rPr>
          <w:lang w:val="en-IE"/>
        </w:rPr>
        <w:tab/>
      </w:r>
      <w:r>
        <w:rPr>
          <w:lang w:val="en-IE"/>
        </w:rPr>
        <w:t xml:space="preserve">EIGA continues to work with both the United States Department of Transportation and the Compressed Gas Association of the United States to progress the “Petition for Rule Making” to amend the Code of Federal Regulations to permit similar carriage conditions to European cylinders to enter the United States. It is recognised that delegates to the Joint Meeting may wish to see the proposed text placed in square brackets until the Code of Federal Regulations are amended. </w:t>
      </w:r>
    </w:p>
    <w:p w:rsidR="00652831" w:rsidRPr="008E7AFB" w:rsidRDefault="00652831" w:rsidP="00652831">
      <w:pPr>
        <w:pStyle w:val="SingleTxtG"/>
        <w:spacing w:before="120"/>
        <w:rPr>
          <w:lang w:val="en-IE"/>
        </w:rPr>
      </w:pPr>
      <w:r>
        <w:rPr>
          <w:lang w:val="en-IE"/>
        </w:rPr>
        <w:t>9.</w:t>
      </w:r>
      <w:r>
        <w:rPr>
          <w:lang w:val="en-IE"/>
        </w:rPr>
        <w:tab/>
        <w:t>As the present m</w:t>
      </w:r>
      <w:r w:rsidRPr="008577CD">
        <w:rPr>
          <w:lang w:val="en-IE"/>
        </w:rPr>
        <w:t>ultilateral agreement</w:t>
      </w:r>
      <w:r>
        <w:rPr>
          <w:lang w:val="en-IE"/>
        </w:rPr>
        <w:t xml:space="preserve"> M299 expires on 1 June 2019, EIGA shall work with the experts from the United Kingdom w</w:t>
      </w:r>
      <w:r w:rsidR="00ED3950">
        <w:rPr>
          <w:lang w:val="en-IE"/>
        </w:rPr>
        <w:t>ho have offered to draft a new m</w:t>
      </w:r>
      <w:r>
        <w:rPr>
          <w:lang w:val="en-IE"/>
        </w:rPr>
        <w:t>ultilateral agreement to cover the period until the regulatory text changes are made.</w:t>
      </w:r>
    </w:p>
    <w:p w:rsidR="00652831" w:rsidRDefault="00652831" w:rsidP="00652831">
      <w:pPr>
        <w:spacing w:before="240"/>
        <w:jc w:val="center"/>
        <w:rPr>
          <w:u w:val="single"/>
        </w:rPr>
      </w:pPr>
      <w:r>
        <w:rPr>
          <w:u w:val="single"/>
        </w:rPr>
        <w:tab/>
      </w:r>
      <w:r>
        <w:rPr>
          <w:u w:val="single"/>
        </w:rPr>
        <w:tab/>
      </w:r>
      <w:r>
        <w:rPr>
          <w:u w:val="single"/>
        </w:rPr>
        <w:tab/>
      </w:r>
    </w:p>
    <w:p w:rsidR="000A74B1" w:rsidRDefault="000A74B1" w:rsidP="000A74B1"/>
    <w:sectPr w:rsidR="000A74B1" w:rsidSect="006C45DB">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220" w:rsidRDefault="00FF4220"/>
  </w:endnote>
  <w:endnote w:type="continuationSeparator" w:id="0">
    <w:p w:rsidR="00FF4220" w:rsidRDefault="00FF4220"/>
  </w:endnote>
  <w:endnote w:type="continuationNotice" w:id="1">
    <w:p w:rsidR="00FF4220" w:rsidRDefault="00FF4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9BD" w:rsidRPr="009D2A5B" w:rsidRDefault="00441896" w:rsidP="009D2A5B">
    <w:pPr>
      <w:pStyle w:val="Footer"/>
      <w:tabs>
        <w:tab w:val="right" w:pos="9598"/>
      </w:tabs>
    </w:pPr>
    <w:r w:rsidRPr="009D2A5B">
      <w:rPr>
        <w:b/>
        <w:sz w:val="18"/>
      </w:rPr>
      <w:fldChar w:fldCharType="begin"/>
    </w:r>
    <w:r w:rsidR="00DD29BD" w:rsidRPr="009D2A5B">
      <w:rPr>
        <w:b/>
        <w:sz w:val="18"/>
      </w:rPr>
      <w:instrText xml:space="preserve"> PAGE  \* MERGEFORMAT </w:instrText>
    </w:r>
    <w:r w:rsidRPr="009D2A5B">
      <w:rPr>
        <w:b/>
        <w:sz w:val="18"/>
      </w:rPr>
      <w:fldChar w:fldCharType="separate"/>
    </w:r>
    <w:r w:rsidR="007817B7">
      <w:rPr>
        <w:b/>
        <w:noProof/>
        <w:sz w:val="18"/>
      </w:rPr>
      <w:t>2</w:t>
    </w:r>
    <w:r w:rsidRPr="009D2A5B">
      <w:rPr>
        <w:b/>
        <w:sz w:val="18"/>
      </w:rPr>
      <w:fldChar w:fldCharType="end"/>
    </w:r>
    <w:r w:rsidR="00DD29BD">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9BD" w:rsidRPr="009D2A5B" w:rsidRDefault="00DD29BD" w:rsidP="009D2A5B">
    <w:pPr>
      <w:pStyle w:val="Footer"/>
      <w:tabs>
        <w:tab w:val="right" w:pos="9598"/>
      </w:tabs>
      <w:rPr>
        <w:b/>
        <w:sz w:val="18"/>
      </w:rPr>
    </w:pPr>
    <w:r>
      <w:tab/>
    </w:r>
    <w:r w:rsidR="00441896" w:rsidRPr="009D2A5B">
      <w:rPr>
        <w:b/>
        <w:sz w:val="18"/>
      </w:rPr>
      <w:fldChar w:fldCharType="begin"/>
    </w:r>
    <w:r w:rsidRPr="009D2A5B">
      <w:rPr>
        <w:b/>
        <w:sz w:val="18"/>
      </w:rPr>
      <w:instrText xml:space="preserve"> PAGE  \* MERGEFORMAT </w:instrText>
    </w:r>
    <w:r w:rsidR="00441896" w:rsidRPr="009D2A5B">
      <w:rPr>
        <w:b/>
        <w:sz w:val="18"/>
      </w:rPr>
      <w:fldChar w:fldCharType="separate"/>
    </w:r>
    <w:r w:rsidR="007817B7">
      <w:rPr>
        <w:b/>
        <w:noProof/>
        <w:sz w:val="18"/>
      </w:rPr>
      <w:t>3</w:t>
    </w:r>
    <w:r w:rsidR="00441896"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220" w:rsidRPr="000B175B" w:rsidRDefault="00FF4220" w:rsidP="000B175B">
      <w:pPr>
        <w:tabs>
          <w:tab w:val="right" w:pos="2155"/>
        </w:tabs>
        <w:spacing w:after="80"/>
        <w:ind w:left="680"/>
        <w:rPr>
          <w:u w:val="single"/>
        </w:rPr>
      </w:pPr>
      <w:r>
        <w:rPr>
          <w:u w:val="single"/>
        </w:rPr>
        <w:tab/>
      </w:r>
    </w:p>
  </w:footnote>
  <w:footnote w:type="continuationSeparator" w:id="0">
    <w:p w:rsidR="00FF4220" w:rsidRPr="00FC68B7" w:rsidRDefault="00FF4220" w:rsidP="00FC68B7">
      <w:pPr>
        <w:tabs>
          <w:tab w:val="left" w:pos="2155"/>
        </w:tabs>
        <w:spacing w:after="80"/>
        <w:ind w:left="680"/>
        <w:rPr>
          <w:u w:val="single"/>
        </w:rPr>
      </w:pPr>
      <w:r>
        <w:rPr>
          <w:u w:val="single"/>
        </w:rPr>
        <w:tab/>
      </w:r>
    </w:p>
  </w:footnote>
  <w:footnote w:type="continuationNotice" w:id="1">
    <w:p w:rsidR="00FF4220" w:rsidRDefault="00FF4220"/>
  </w:footnote>
  <w:footnote w:id="2">
    <w:p w:rsidR="00DA6440" w:rsidRPr="00DA6440" w:rsidRDefault="00DA6440" w:rsidP="00DA6440">
      <w:pPr>
        <w:pStyle w:val="FootnoteText"/>
        <w:rPr>
          <w:lang w:val="fr-CH"/>
        </w:rPr>
      </w:pPr>
      <w:r>
        <w:tab/>
      </w:r>
      <w:r>
        <w:tab/>
      </w:r>
      <w:r>
        <w:rPr>
          <w:rStyle w:val="FootnoteReference"/>
        </w:rPr>
        <w:t>*</w:t>
      </w:r>
      <w:r>
        <w:t xml:space="preserve"> </w:t>
      </w:r>
      <w:r>
        <w:tab/>
        <w:t xml:space="preserve">In accordance with the programme of work of the Inland Transport Committee for 2018-2019, </w:t>
      </w:r>
      <w:r>
        <w:tab/>
      </w:r>
      <w:r>
        <w:tab/>
      </w:r>
      <w:r>
        <w:rPr>
          <w:szCs w:val="18"/>
        </w:rPr>
        <w:t>(ECE/TRANS</w:t>
      </w:r>
      <w:r w:rsidRPr="004809ED">
        <w:rPr>
          <w:szCs w:val="18"/>
        </w:rPr>
        <w:t>/</w:t>
      </w:r>
      <w:r>
        <w:rPr>
          <w:szCs w:val="18"/>
        </w:rPr>
        <w:t>WP.15/237, annexe V, (</w:t>
      </w:r>
      <w:r w:rsidRPr="004809ED">
        <w:rPr>
          <w:szCs w:val="18"/>
        </w:rPr>
        <w:t>9.2)</w:t>
      </w:r>
      <w:r>
        <w:rPr>
          <w:szCs w:val="18"/>
        </w:rPr>
        <w:t>)</w:t>
      </w:r>
      <w:r w:rsidRPr="004809ED">
        <w:rPr>
          <w:szCs w:val="18"/>
        </w:rPr>
        <w:t>.</w:t>
      </w:r>
    </w:p>
  </w:footnote>
  <w:footnote w:id="3">
    <w:p w:rsidR="00DA6440" w:rsidRPr="00DA6440" w:rsidRDefault="00DA6440">
      <w:pPr>
        <w:pStyle w:val="FootnoteText"/>
        <w:rPr>
          <w:lang w:val="fr-CH"/>
        </w:rPr>
      </w:pPr>
      <w:r>
        <w:tab/>
      </w:r>
      <w:r>
        <w:tab/>
      </w:r>
      <w:r>
        <w:rPr>
          <w:rStyle w:val="FootnoteReference"/>
        </w:rPr>
        <w:t>**</w:t>
      </w:r>
      <w:r>
        <w:t xml:space="preserve"> </w:t>
      </w:r>
      <w:r>
        <w:tab/>
      </w:r>
      <w:r w:rsidRPr="00F30C99">
        <w:t xml:space="preserve">Circulated by the Intergovernmental Organisation for International Carriage by Rail (OTIF) </w:t>
      </w:r>
      <w:r>
        <w:tab/>
      </w:r>
      <w:r>
        <w:tab/>
      </w:r>
      <w:r w:rsidRPr="00F30C99">
        <w:t xml:space="preserve">under the symbol </w:t>
      </w:r>
      <w:r w:rsidRPr="00561474">
        <w:t>OTIF/RID/RC/201</w:t>
      </w:r>
      <w:r w:rsidR="00ED3950">
        <w:t>9</w:t>
      </w:r>
      <w:r w:rsidRPr="00561474">
        <w:t>/</w:t>
      </w:r>
      <w:r>
        <w:t>14</w:t>
      </w:r>
      <w:r w:rsidRPr="0056147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9BD" w:rsidRPr="009D2A5B" w:rsidRDefault="00DD29BD" w:rsidP="009D2A5B">
    <w:pPr>
      <w:pStyle w:val="Header"/>
    </w:pPr>
    <w:r w:rsidRPr="009D2A5B">
      <w:t>ECE/TRANS/WP.15/AC.1/201</w:t>
    </w:r>
    <w:r w:rsidR="00C64869">
      <w:t>9</w:t>
    </w:r>
    <w:r w:rsidRPr="009D2A5B">
      <w:t>/</w:t>
    </w:r>
    <w:r w:rsidR="00652831">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9BD" w:rsidRPr="009D2A5B" w:rsidRDefault="00DD29BD" w:rsidP="009D2A5B">
    <w:pPr>
      <w:pStyle w:val="Header"/>
      <w:jc w:val="right"/>
    </w:pPr>
    <w:r w:rsidRPr="009D2A5B">
      <w:t>ECE/TRANS/WP.15/AC.1/201</w:t>
    </w:r>
    <w:r w:rsidR="00652831">
      <w:t>9</w:t>
    </w:r>
    <w:r w:rsidRPr="009D2A5B">
      <w:t>/</w:t>
    </w:r>
    <w:r w:rsidR="00DA6440">
      <w:t>1</w:t>
    </w:r>
    <w:r w:rsidR="00652831">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3452856"/>
    <w:multiLevelType w:val="hybridMultilevel"/>
    <w:tmpl w:val="159EA828"/>
    <w:lvl w:ilvl="0" w:tplc="FD728E92">
      <w:start w:val="1"/>
      <w:numFmt w:val="lowerLetter"/>
      <w:lvlText w:val="%1."/>
      <w:lvlJc w:val="left"/>
      <w:pPr>
        <w:ind w:left="2064" w:hanging="36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18" w15:restartNumberingAfterBreak="0">
    <w:nsid w:val="73E201AD"/>
    <w:multiLevelType w:val="hybridMultilevel"/>
    <w:tmpl w:val="DF16E7F4"/>
    <w:lvl w:ilvl="0" w:tplc="67EE8578">
      <w:start w:val="5"/>
      <w:numFmt w:val="lowerLetter"/>
      <w:lvlText w:val="%1."/>
      <w:lvlJc w:val="left"/>
      <w:pPr>
        <w:ind w:left="2064" w:hanging="36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5"/>
  </w:num>
  <w:num w:numId="18">
    <w:abstractNumId w:val="17"/>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40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3498C"/>
    <w:rsid w:val="00034A36"/>
    <w:rsid w:val="00037F90"/>
    <w:rsid w:val="00046B1F"/>
    <w:rsid w:val="00050F6B"/>
    <w:rsid w:val="0005583C"/>
    <w:rsid w:val="00057E97"/>
    <w:rsid w:val="00072C8C"/>
    <w:rsid w:val="000733B5"/>
    <w:rsid w:val="00080491"/>
    <w:rsid w:val="00081815"/>
    <w:rsid w:val="000931C0"/>
    <w:rsid w:val="000A74B1"/>
    <w:rsid w:val="000B0595"/>
    <w:rsid w:val="000B1333"/>
    <w:rsid w:val="000B175B"/>
    <w:rsid w:val="000B3A0F"/>
    <w:rsid w:val="000B4EF7"/>
    <w:rsid w:val="000C2C03"/>
    <w:rsid w:val="000C2D2E"/>
    <w:rsid w:val="000C4D51"/>
    <w:rsid w:val="000D656A"/>
    <w:rsid w:val="000E0415"/>
    <w:rsid w:val="001103AA"/>
    <w:rsid w:val="0011666B"/>
    <w:rsid w:val="00155068"/>
    <w:rsid w:val="00165F3A"/>
    <w:rsid w:val="001B13A5"/>
    <w:rsid w:val="001B4B04"/>
    <w:rsid w:val="001C6663"/>
    <w:rsid w:val="001C7895"/>
    <w:rsid w:val="001D0C8C"/>
    <w:rsid w:val="001D1419"/>
    <w:rsid w:val="001D26DF"/>
    <w:rsid w:val="001D3A03"/>
    <w:rsid w:val="001D7F46"/>
    <w:rsid w:val="001E0B9E"/>
    <w:rsid w:val="001E7B67"/>
    <w:rsid w:val="001F1D57"/>
    <w:rsid w:val="001F7435"/>
    <w:rsid w:val="00202DA8"/>
    <w:rsid w:val="0021157B"/>
    <w:rsid w:val="00211E0B"/>
    <w:rsid w:val="00237D1C"/>
    <w:rsid w:val="00254269"/>
    <w:rsid w:val="00267F5F"/>
    <w:rsid w:val="00277C12"/>
    <w:rsid w:val="00286B4D"/>
    <w:rsid w:val="002A603B"/>
    <w:rsid w:val="002D4643"/>
    <w:rsid w:val="002D4B6C"/>
    <w:rsid w:val="002E7EEB"/>
    <w:rsid w:val="002F175C"/>
    <w:rsid w:val="00302E18"/>
    <w:rsid w:val="003229D8"/>
    <w:rsid w:val="00352709"/>
    <w:rsid w:val="00371178"/>
    <w:rsid w:val="00381475"/>
    <w:rsid w:val="003A6810"/>
    <w:rsid w:val="003C2CC4"/>
    <w:rsid w:val="003D4B23"/>
    <w:rsid w:val="004059B4"/>
    <w:rsid w:val="00410C89"/>
    <w:rsid w:val="00422E03"/>
    <w:rsid w:val="00426B9B"/>
    <w:rsid w:val="004325CB"/>
    <w:rsid w:val="00441896"/>
    <w:rsid w:val="00442A83"/>
    <w:rsid w:val="00443AB5"/>
    <w:rsid w:val="0045495B"/>
    <w:rsid w:val="004665BA"/>
    <w:rsid w:val="0048397A"/>
    <w:rsid w:val="004A12F2"/>
    <w:rsid w:val="004C2461"/>
    <w:rsid w:val="004C7462"/>
    <w:rsid w:val="004D4E04"/>
    <w:rsid w:val="004D5426"/>
    <w:rsid w:val="004E0C05"/>
    <w:rsid w:val="004E77B2"/>
    <w:rsid w:val="00503DEB"/>
    <w:rsid w:val="00504B2D"/>
    <w:rsid w:val="00511A9B"/>
    <w:rsid w:val="0052136D"/>
    <w:rsid w:val="00522B58"/>
    <w:rsid w:val="0052775E"/>
    <w:rsid w:val="00535C90"/>
    <w:rsid w:val="005420F2"/>
    <w:rsid w:val="00545927"/>
    <w:rsid w:val="00546993"/>
    <w:rsid w:val="005628B6"/>
    <w:rsid w:val="00597EDC"/>
    <w:rsid w:val="005A575C"/>
    <w:rsid w:val="005B3DB3"/>
    <w:rsid w:val="005B4E13"/>
    <w:rsid w:val="005B74E2"/>
    <w:rsid w:val="005E6A77"/>
    <w:rsid w:val="005F7B75"/>
    <w:rsid w:val="006001EE"/>
    <w:rsid w:val="00605042"/>
    <w:rsid w:val="00611FC4"/>
    <w:rsid w:val="006176FB"/>
    <w:rsid w:val="00640B26"/>
    <w:rsid w:val="00652831"/>
    <w:rsid w:val="00652D0A"/>
    <w:rsid w:val="006623D5"/>
    <w:rsid w:val="00662BB6"/>
    <w:rsid w:val="00667F8F"/>
    <w:rsid w:val="00684C21"/>
    <w:rsid w:val="0069232B"/>
    <w:rsid w:val="00697F42"/>
    <w:rsid w:val="006A2530"/>
    <w:rsid w:val="006C3589"/>
    <w:rsid w:val="006C45DB"/>
    <w:rsid w:val="006D37AF"/>
    <w:rsid w:val="006D51D0"/>
    <w:rsid w:val="006D5DA3"/>
    <w:rsid w:val="006D66D0"/>
    <w:rsid w:val="006E5117"/>
    <w:rsid w:val="006E564B"/>
    <w:rsid w:val="006E7191"/>
    <w:rsid w:val="00703577"/>
    <w:rsid w:val="00705894"/>
    <w:rsid w:val="00714C9C"/>
    <w:rsid w:val="0072632A"/>
    <w:rsid w:val="00731FF0"/>
    <w:rsid w:val="007327D5"/>
    <w:rsid w:val="007404D2"/>
    <w:rsid w:val="007611CF"/>
    <w:rsid w:val="007629C8"/>
    <w:rsid w:val="0077047D"/>
    <w:rsid w:val="007817B7"/>
    <w:rsid w:val="007B6BA5"/>
    <w:rsid w:val="007C3390"/>
    <w:rsid w:val="007C4F4B"/>
    <w:rsid w:val="007D46D5"/>
    <w:rsid w:val="007E01E9"/>
    <w:rsid w:val="007E63F3"/>
    <w:rsid w:val="007F6611"/>
    <w:rsid w:val="007F7106"/>
    <w:rsid w:val="00811920"/>
    <w:rsid w:val="00815AD0"/>
    <w:rsid w:val="008242D7"/>
    <w:rsid w:val="008257B1"/>
    <w:rsid w:val="00843767"/>
    <w:rsid w:val="008521A5"/>
    <w:rsid w:val="008679D9"/>
    <w:rsid w:val="00871389"/>
    <w:rsid w:val="00874CB6"/>
    <w:rsid w:val="00883999"/>
    <w:rsid w:val="008878DE"/>
    <w:rsid w:val="00897362"/>
    <w:rsid w:val="008979B1"/>
    <w:rsid w:val="008A6B25"/>
    <w:rsid w:val="008A6C4F"/>
    <w:rsid w:val="008B2335"/>
    <w:rsid w:val="008B717B"/>
    <w:rsid w:val="008E0678"/>
    <w:rsid w:val="00901B81"/>
    <w:rsid w:val="00914590"/>
    <w:rsid w:val="009201BA"/>
    <w:rsid w:val="0092212D"/>
    <w:rsid w:val="009223CA"/>
    <w:rsid w:val="00940F93"/>
    <w:rsid w:val="0094558F"/>
    <w:rsid w:val="00961690"/>
    <w:rsid w:val="009760F3"/>
    <w:rsid w:val="009A0E8D"/>
    <w:rsid w:val="009B1518"/>
    <w:rsid w:val="009B26E7"/>
    <w:rsid w:val="009B6669"/>
    <w:rsid w:val="009C3EED"/>
    <w:rsid w:val="009C454F"/>
    <w:rsid w:val="009D2A5B"/>
    <w:rsid w:val="00A00A3F"/>
    <w:rsid w:val="00A01489"/>
    <w:rsid w:val="00A3009E"/>
    <w:rsid w:val="00A3026E"/>
    <w:rsid w:val="00A338F1"/>
    <w:rsid w:val="00A72F22"/>
    <w:rsid w:val="00A7360F"/>
    <w:rsid w:val="00A748A6"/>
    <w:rsid w:val="00A769F4"/>
    <w:rsid w:val="00A776B4"/>
    <w:rsid w:val="00A81407"/>
    <w:rsid w:val="00A9093D"/>
    <w:rsid w:val="00A94361"/>
    <w:rsid w:val="00AA293C"/>
    <w:rsid w:val="00AA6995"/>
    <w:rsid w:val="00AE08DA"/>
    <w:rsid w:val="00AF3993"/>
    <w:rsid w:val="00B11BB4"/>
    <w:rsid w:val="00B175D8"/>
    <w:rsid w:val="00B22BC2"/>
    <w:rsid w:val="00B30179"/>
    <w:rsid w:val="00B421C1"/>
    <w:rsid w:val="00B42658"/>
    <w:rsid w:val="00B55C71"/>
    <w:rsid w:val="00B56E4A"/>
    <w:rsid w:val="00B56E9C"/>
    <w:rsid w:val="00B61320"/>
    <w:rsid w:val="00B64B1F"/>
    <w:rsid w:val="00B6553F"/>
    <w:rsid w:val="00B70F1E"/>
    <w:rsid w:val="00B72641"/>
    <w:rsid w:val="00B77D05"/>
    <w:rsid w:val="00B81206"/>
    <w:rsid w:val="00B81E12"/>
    <w:rsid w:val="00B857E8"/>
    <w:rsid w:val="00BB4810"/>
    <w:rsid w:val="00BB7CD1"/>
    <w:rsid w:val="00BC3FA0"/>
    <w:rsid w:val="00BC74E9"/>
    <w:rsid w:val="00BF68A8"/>
    <w:rsid w:val="00C10FE6"/>
    <w:rsid w:val="00C11A03"/>
    <w:rsid w:val="00C22C0C"/>
    <w:rsid w:val="00C255AF"/>
    <w:rsid w:val="00C30C61"/>
    <w:rsid w:val="00C35502"/>
    <w:rsid w:val="00C40B11"/>
    <w:rsid w:val="00C4527F"/>
    <w:rsid w:val="00C463DD"/>
    <w:rsid w:val="00C4724C"/>
    <w:rsid w:val="00C629A0"/>
    <w:rsid w:val="00C64629"/>
    <w:rsid w:val="00C64869"/>
    <w:rsid w:val="00C745C3"/>
    <w:rsid w:val="00C76F8B"/>
    <w:rsid w:val="00C92461"/>
    <w:rsid w:val="00CB3E03"/>
    <w:rsid w:val="00CE4A8F"/>
    <w:rsid w:val="00D2031B"/>
    <w:rsid w:val="00D20F56"/>
    <w:rsid w:val="00D25FE2"/>
    <w:rsid w:val="00D43252"/>
    <w:rsid w:val="00D47EEA"/>
    <w:rsid w:val="00D550D4"/>
    <w:rsid w:val="00D773DF"/>
    <w:rsid w:val="00D872AC"/>
    <w:rsid w:val="00D9255F"/>
    <w:rsid w:val="00D95303"/>
    <w:rsid w:val="00D978C6"/>
    <w:rsid w:val="00DA3C1C"/>
    <w:rsid w:val="00DA6440"/>
    <w:rsid w:val="00DD29BD"/>
    <w:rsid w:val="00DD403E"/>
    <w:rsid w:val="00DF0F1A"/>
    <w:rsid w:val="00E046DF"/>
    <w:rsid w:val="00E15557"/>
    <w:rsid w:val="00E240D2"/>
    <w:rsid w:val="00E27346"/>
    <w:rsid w:val="00E64DB6"/>
    <w:rsid w:val="00E71610"/>
    <w:rsid w:val="00E71BC8"/>
    <w:rsid w:val="00E7260F"/>
    <w:rsid w:val="00E73F5D"/>
    <w:rsid w:val="00E77E4E"/>
    <w:rsid w:val="00E96630"/>
    <w:rsid w:val="00EC106A"/>
    <w:rsid w:val="00EC1E8A"/>
    <w:rsid w:val="00ED3950"/>
    <w:rsid w:val="00ED7A2A"/>
    <w:rsid w:val="00EE6B3A"/>
    <w:rsid w:val="00EF1D7F"/>
    <w:rsid w:val="00F31E5F"/>
    <w:rsid w:val="00F32BB7"/>
    <w:rsid w:val="00F47EDC"/>
    <w:rsid w:val="00F6100A"/>
    <w:rsid w:val="00F63C9D"/>
    <w:rsid w:val="00F66565"/>
    <w:rsid w:val="00F75A16"/>
    <w:rsid w:val="00F92A22"/>
    <w:rsid w:val="00F93781"/>
    <w:rsid w:val="00FB613B"/>
    <w:rsid w:val="00FC68B7"/>
    <w:rsid w:val="00FE106A"/>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7F50EC98"/>
  <w15:docId w15:val="{8CC7C582-0B22-468A-8F8F-3B43744B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5_GR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245">
      <w:bodyDiv w:val="1"/>
      <w:marLeft w:val="0"/>
      <w:marRight w:val="0"/>
      <w:marTop w:val="0"/>
      <w:marBottom w:val="0"/>
      <w:divBdr>
        <w:top w:val="none" w:sz="0" w:space="0" w:color="auto"/>
        <w:left w:val="none" w:sz="0" w:space="0" w:color="auto"/>
        <w:bottom w:val="none" w:sz="0" w:space="0" w:color="auto"/>
        <w:right w:val="none" w:sz="0" w:space="0" w:color="auto"/>
      </w:divBdr>
    </w:div>
    <w:div w:id="813721635">
      <w:bodyDiv w:val="1"/>
      <w:marLeft w:val="0"/>
      <w:marRight w:val="0"/>
      <w:marTop w:val="0"/>
      <w:marBottom w:val="0"/>
      <w:divBdr>
        <w:top w:val="none" w:sz="0" w:space="0" w:color="auto"/>
        <w:left w:val="none" w:sz="0" w:space="0" w:color="auto"/>
        <w:bottom w:val="none" w:sz="0" w:space="0" w:color="auto"/>
        <w:right w:val="none" w:sz="0" w:space="0" w:color="auto"/>
      </w:divBdr>
    </w:div>
    <w:div w:id="96562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621AB-3D59-4533-B23C-62FA17E67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797</Words>
  <Characters>4594</Characters>
  <Application>Microsoft Office Word</Application>
  <DocSecurity>0</DocSecurity>
  <Lines>353</Lines>
  <Paragraphs>173</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5</cp:revision>
  <cp:lastPrinted>2018-12-27T09:40:00Z</cp:lastPrinted>
  <dcterms:created xsi:type="dcterms:W3CDTF">2018-12-27T09:36:00Z</dcterms:created>
  <dcterms:modified xsi:type="dcterms:W3CDTF">2018-12-27T15:33:00Z</dcterms:modified>
</cp:coreProperties>
</file>