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E126D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E6F4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1E6F45" w:rsidRDefault="001E6F45" w:rsidP="001E6F45">
            <w:pPr>
              <w:jc w:val="right"/>
              <w:rPr>
                <w:lang w:val="en-US"/>
              </w:rPr>
            </w:pPr>
            <w:r w:rsidRPr="001E6F45">
              <w:rPr>
                <w:sz w:val="40"/>
                <w:lang w:val="en-US"/>
              </w:rPr>
              <w:t>ECE</w:t>
            </w:r>
            <w:r w:rsidRPr="001E6F45">
              <w:rPr>
                <w:lang w:val="en-US"/>
              </w:rPr>
              <w:t>/TRANS/WP.15/AC.1/154/Add.1</w:t>
            </w:r>
          </w:p>
        </w:tc>
      </w:tr>
      <w:tr w:rsidR="002D5AAC" w:rsidRPr="00E126D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E6F4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E6F45" w:rsidRDefault="001E6F45" w:rsidP="001E6F4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April 2019</w:t>
            </w:r>
          </w:p>
          <w:p w:rsidR="001E6F45" w:rsidRDefault="001E6F45" w:rsidP="001E6F4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E6F45" w:rsidRPr="008D53B6" w:rsidRDefault="001E6F45" w:rsidP="001E6F4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1E6F45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E6F45" w:rsidRPr="00774BE4" w:rsidRDefault="001E6F45" w:rsidP="001E6F45">
      <w:pPr>
        <w:spacing w:before="120"/>
        <w:outlineLvl w:val="0"/>
        <w:rPr>
          <w:sz w:val="28"/>
          <w:szCs w:val="28"/>
        </w:rPr>
      </w:pPr>
      <w:r w:rsidRPr="00EA19F1">
        <w:rPr>
          <w:sz w:val="28"/>
          <w:szCs w:val="28"/>
        </w:rPr>
        <w:t>Комитет по внутреннему транспорту</w:t>
      </w:r>
    </w:p>
    <w:p w:rsidR="001E6F45" w:rsidRPr="00EA19F1" w:rsidRDefault="001E6F45" w:rsidP="001E6F45">
      <w:pPr>
        <w:spacing w:before="120"/>
        <w:outlineLvl w:val="0"/>
        <w:rPr>
          <w:b/>
          <w:sz w:val="24"/>
          <w:szCs w:val="24"/>
        </w:rPr>
      </w:pPr>
      <w:r w:rsidRPr="00EA19F1">
        <w:rPr>
          <w:b/>
          <w:bCs/>
          <w:sz w:val="24"/>
          <w:szCs w:val="24"/>
        </w:rPr>
        <w:t>Рабочая группа по перевозкам опасных грузов</w:t>
      </w:r>
    </w:p>
    <w:p w:rsidR="001E6F45" w:rsidRPr="00774BE4" w:rsidRDefault="001E6F45" w:rsidP="001E6F45">
      <w:pPr>
        <w:spacing w:before="120"/>
        <w:rPr>
          <w:b/>
          <w:bCs/>
        </w:rPr>
      </w:pPr>
      <w:r w:rsidRPr="00774BE4"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</w:r>
      <w:r w:rsidRPr="00774BE4">
        <w:rPr>
          <w:b/>
          <w:bCs/>
        </w:rPr>
        <w:t>и Рабочей группы по перевозкам опасных грузов</w:t>
      </w:r>
    </w:p>
    <w:p w:rsidR="001E6F45" w:rsidRPr="001E6F45" w:rsidRDefault="001E6F45" w:rsidP="001E6F45">
      <w:pPr>
        <w:pStyle w:val="HChG"/>
      </w:pPr>
      <w:r>
        <w:tab/>
      </w:r>
      <w:r>
        <w:tab/>
        <w:t>Доклад Совместно</w:t>
      </w:r>
      <w:r w:rsidR="00463453">
        <w:t>го совещания Комиссии экспертов</w:t>
      </w:r>
      <w:r w:rsidR="00463453">
        <w:rPr>
          <w:lang w:val="en-US"/>
        </w:rPr>
        <w:t> </w:t>
      </w:r>
      <w:r>
        <w:t>МПОГ и Рабочей группы по перевозкам опасных грузов о работе его весенней сессии 2019 года</w:t>
      </w:r>
      <w:r w:rsidRPr="001E6F45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1E6F45">
        <w:rPr>
          <w:szCs w:val="28"/>
        </w:rPr>
        <w:t>,</w:t>
      </w:r>
    </w:p>
    <w:p w:rsidR="001E6F45" w:rsidRPr="00EA19F1" w:rsidRDefault="001E6F45" w:rsidP="001E6F45">
      <w:pPr>
        <w:pStyle w:val="H56G"/>
      </w:pPr>
      <w:r>
        <w:tab/>
      </w:r>
      <w:r>
        <w:tab/>
        <w:t>состоявшейся в Берне 18–22 марта 2019 года</w:t>
      </w:r>
    </w:p>
    <w:p w:rsidR="001E6F45" w:rsidRPr="00EA19F1" w:rsidRDefault="001E6F45" w:rsidP="001E6F45">
      <w:pPr>
        <w:pStyle w:val="H23G"/>
      </w:pPr>
      <w:r>
        <w:tab/>
      </w:r>
      <w:r>
        <w:tab/>
      </w:r>
      <w:r>
        <w:rPr>
          <w:bCs/>
        </w:rPr>
        <w:t>Добавление</w:t>
      </w:r>
      <w:r w:rsidRPr="001E6F45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p w:rsidR="001E6F45" w:rsidRPr="00EA19F1" w:rsidRDefault="001E6F45" w:rsidP="001E6F45">
      <w:pPr>
        <w:pStyle w:val="H1G"/>
      </w:pPr>
      <w:r>
        <w:tab/>
      </w:r>
      <w:r>
        <w:tab/>
      </w:r>
      <w:r>
        <w:rPr>
          <w:bCs/>
        </w:rPr>
        <w:t>Приложение I</w:t>
      </w:r>
    </w:p>
    <w:p w:rsidR="001E6F45" w:rsidRPr="00EA19F1" w:rsidRDefault="001E6F45" w:rsidP="001E6F45">
      <w:pPr>
        <w:pStyle w:val="H1G"/>
      </w:pPr>
      <w:r>
        <w:tab/>
      </w:r>
      <w:r>
        <w:tab/>
      </w:r>
      <w:r>
        <w:rPr>
          <w:bCs/>
        </w:rPr>
        <w:t>Доклад Рабочей группы по цистернам</w:t>
      </w:r>
    </w:p>
    <w:p w:rsidR="001E6F45" w:rsidRPr="00CC28D3" w:rsidRDefault="001E6F45" w:rsidP="001E6F45">
      <w:pPr>
        <w:pStyle w:val="SingleTxtG"/>
      </w:pPr>
      <w:r>
        <w:t>1.</w:t>
      </w:r>
      <w:r>
        <w:tab/>
        <w:t>Рабочая группа по цистернам провела совещание 18</w:t>
      </w:r>
      <w:r w:rsidRPr="00774BE4">
        <w:t>–</w:t>
      </w:r>
      <w:r>
        <w:t>20 марта 2019 года в Берне на основе мандата, предоставленного Совместным совещанием МПОГ/ДОПОГ/</w:t>
      </w:r>
      <w:r w:rsidR="00463453">
        <w:br/>
      </w:r>
      <w:r>
        <w:t>ВОПОГ, под председательством г-н</w:t>
      </w:r>
      <w:r w:rsidR="00E126DC">
        <w:t>а</w:t>
      </w:r>
      <w:r>
        <w:t xml:space="preserve"> </w:t>
      </w:r>
      <w:proofErr w:type="spellStart"/>
      <w:r>
        <w:t>Арне</w:t>
      </w:r>
      <w:proofErr w:type="spellEnd"/>
      <w:r>
        <w:t xml:space="preserve"> </w:t>
      </w:r>
      <w:proofErr w:type="spellStart"/>
      <w:r>
        <w:t>Бейла</w:t>
      </w:r>
      <w:proofErr w:type="spellEnd"/>
      <w:r>
        <w:t xml:space="preserve"> (Соединенное Королевство); обязанности секретаря исполнял г-н Кес де Путтер (Нидерланды). Соответствующие документы были представлены на пленарной сессии и переданы на рассмотрение Рабочей группы.</w:t>
      </w:r>
    </w:p>
    <w:p w:rsidR="001E6F45" w:rsidRPr="00EA19F1" w:rsidRDefault="001E6F45" w:rsidP="001E6F45">
      <w:pPr>
        <w:pStyle w:val="SingleTxtG"/>
      </w:pPr>
      <w:r>
        <w:t>2.</w:t>
      </w:r>
      <w:r>
        <w:tab/>
        <w:t>Рабочая группа по цистернам, состояща</w:t>
      </w:r>
      <w:r w:rsidR="00463453">
        <w:t>я из 26 экспертов от 13 стран и </w:t>
      </w:r>
      <w:r>
        <w:t>4 неправительственных организаций, Европейского союза (Европейской комиссии и Железнодорожного агентства Европейского союза), рассмотрела следующие официальные и неофициальные документы:</w:t>
      </w:r>
    </w:p>
    <w:p w:rsidR="001E6F45" w:rsidRPr="00CC28D3" w:rsidRDefault="001E6F45" w:rsidP="001E6F45">
      <w:pPr>
        <w:pStyle w:val="SingleTxtG"/>
        <w:pageBreakBefore/>
        <w:tabs>
          <w:tab w:val="left" w:pos="2300"/>
        </w:tabs>
        <w:spacing w:after="0"/>
        <w:ind w:left="3119" w:hanging="1985"/>
        <w:jc w:val="left"/>
      </w:pPr>
      <w:r w:rsidRPr="00774BE4">
        <w:rPr>
          <w:i/>
          <w:iCs/>
        </w:rPr>
        <w:lastRenderedPageBreak/>
        <w:t>Документы:</w:t>
      </w:r>
      <w:r>
        <w:tab/>
      </w:r>
      <w:r>
        <w:tab/>
      </w:r>
      <w:r>
        <w:tab/>
      </w:r>
      <w:r>
        <w:tab/>
        <w:t>ECE/TRANS/WP.15/AC.1/2019/1 (Беларусь)</w:t>
      </w:r>
    </w:p>
    <w:p w:rsidR="001E6F45" w:rsidRPr="001E6F45" w:rsidRDefault="001E6F45" w:rsidP="001E6F45">
      <w:pPr>
        <w:pStyle w:val="SingleTxtG"/>
        <w:tabs>
          <w:tab w:val="left" w:pos="2300"/>
        </w:tabs>
        <w:spacing w:after="0"/>
        <w:ind w:left="3119" w:hanging="1985"/>
        <w:jc w:val="left"/>
        <w:rPr>
          <w:lang w:val="en-US"/>
        </w:rPr>
      </w:pPr>
      <w:r>
        <w:tab/>
      </w:r>
      <w:r>
        <w:tab/>
      </w:r>
      <w:r>
        <w:tab/>
      </w:r>
      <w:r>
        <w:tab/>
      </w:r>
      <w:r w:rsidRPr="00EA19F1">
        <w:rPr>
          <w:lang w:val="en-US"/>
        </w:rPr>
        <w:t>ECE/TRANS/WP.15/AC.1/2019/3 (</w:t>
      </w:r>
      <w:r>
        <w:t>Бельгия</w:t>
      </w:r>
      <w:r w:rsidRPr="00EA19F1">
        <w:rPr>
          <w:lang w:val="en-US"/>
        </w:rPr>
        <w:t>)</w:t>
      </w:r>
    </w:p>
    <w:p w:rsidR="001E6F45" w:rsidRPr="001E6F45" w:rsidRDefault="001E6F45" w:rsidP="001E6F45">
      <w:pPr>
        <w:pStyle w:val="SingleTxtG"/>
        <w:tabs>
          <w:tab w:val="left" w:pos="2300"/>
        </w:tabs>
        <w:spacing w:after="0"/>
        <w:ind w:left="3119" w:hanging="1985"/>
        <w:jc w:val="left"/>
        <w:rPr>
          <w:lang w:val="en-US"/>
        </w:rPr>
      </w:pPr>
      <w:r w:rsidRPr="00EA19F1">
        <w:rPr>
          <w:lang w:val="en-US"/>
        </w:rPr>
        <w:tab/>
      </w:r>
      <w:r w:rsidRPr="00EA19F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A19F1">
        <w:rPr>
          <w:lang w:val="en-US"/>
        </w:rPr>
        <w:t>ECE/TRANS/WP.15/AC.1/2019/6 (</w:t>
      </w:r>
      <w:r>
        <w:t>МОКЦ</w:t>
      </w:r>
      <w:r w:rsidRPr="00EA19F1">
        <w:rPr>
          <w:lang w:val="en-US"/>
        </w:rPr>
        <w:t>)</w:t>
      </w:r>
    </w:p>
    <w:p w:rsidR="001E6F45" w:rsidRPr="001E6F45" w:rsidRDefault="001E6F45" w:rsidP="001E6F45">
      <w:pPr>
        <w:pStyle w:val="SingleTxtG"/>
        <w:tabs>
          <w:tab w:val="left" w:pos="2300"/>
        </w:tabs>
        <w:spacing w:after="0"/>
        <w:ind w:left="3119" w:hanging="1985"/>
        <w:jc w:val="left"/>
        <w:rPr>
          <w:lang w:val="en-US"/>
        </w:rPr>
      </w:pPr>
      <w:r w:rsidRPr="00EA19F1">
        <w:rPr>
          <w:lang w:val="en-US"/>
        </w:rPr>
        <w:tab/>
      </w:r>
      <w:r w:rsidRPr="00EA19F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A19F1">
        <w:rPr>
          <w:lang w:val="en-US"/>
        </w:rPr>
        <w:t>ECE/TRANS/WP.15/AC.1/2019/7 (</w:t>
      </w:r>
      <w:r>
        <w:t>Румыния</w:t>
      </w:r>
      <w:r w:rsidRPr="00EA19F1">
        <w:rPr>
          <w:lang w:val="en-US"/>
        </w:rPr>
        <w:t>)</w:t>
      </w:r>
    </w:p>
    <w:p w:rsidR="001E6F45" w:rsidRPr="00EA19F1" w:rsidRDefault="001E6F45" w:rsidP="001E6F45">
      <w:pPr>
        <w:pStyle w:val="SingleTxtG"/>
        <w:tabs>
          <w:tab w:val="left" w:pos="2300"/>
        </w:tabs>
        <w:spacing w:after="0"/>
        <w:ind w:left="3119" w:hanging="1985"/>
        <w:jc w:val="left"/>
      </w:pPr>
      <w:r w:rsidRPr="00EA19F1">
        <w:rPr>
          <w:lang w:val="en-US"/>
        </w:rPr>
        <w:tab/>
      </w:r>
      <w:r w:rsidRPr="00EA19F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ECE/TRANS/WP.15/AC.1/2019/17 </w:t>
      </w:r>
      <w:r>
        <w:br/>
      </w:r>
      <w:r>
        <w:tab/>
      </w:r>
      <w:r>
        <w:tab/>
        <w:t>(Соединенное Королевство)</w:t>
      </w:r>
    </w:p>
    <w:p w:rsidR="001E6F45" w:rsidRPr="00EA19F1" w:rsidRDefault="001E6F45" w:rsidP="001E6F45">
      <w:pPr>
        <w:pStyle w:val="SingleTxtG"/>
        <w:keepNext/>
        <w:keepLines/>
        <w:spacing w:after="0"/>
        <w:ind w:left="3119" w:hanging="1985"/>
        <w:jc w:val="left"/>
      </w:pPr>
      <w:r>
        <w:tab/>
      </w:r>
      <w:r>
        <w:tab/>
      </w:r>
      <w:r>
        <w:tab/>
        <w:t xml:space="preserve">ECE/TRANS/WP.15/AC.1/2019/18 </w:t>
      </w:r>
      <w:r>
        <w:br/>
      </w:r>
      <w:r>
        <w:tab/>
      </w:r>
      <w:r>
        <w:tab/>
        <w:t>(Соединенное Королевство)</w:t>
      </w:r>
    </w:p>
    <w:p w:rsidR="001E6F45" w:rsidRPr="00463453" w:rsidRDefault="001E6F45" w:rsidP="001E6F45">
      <w:pPr>
        <w:pStyle w:val="SingleTxtG"/>
        <w:tabs>
          <w:tab w:val="left" w:pos="2300"/>
          <w:tab w:val="left" w:pos="3119"/>
        </w:tabs>
        <w:ind w:left="3119" w:hanging="1985"/>
        <w:jc w:val="left"/>
        <w:rPr>
          <w:lang w:val="en-US"/>
        </w:rPr>
      </w:pPr>
      <w:r>
        <w:tab/>
      </w:r>
      <w:r>
        <w:tab/>
      </w:r>
      <w:r>
        <w:tab/>
      </w:r>
      <w:r>
        <w:tab/>
      </w:r>
      <w:r w:rsidRPr="00EA19F1">
        <w:rPr>
          <w:lang w:val="en-US"/>
        </w:rPr>
        <w:t>ECE</w:t>
      </w:r>
      <w:r w:rsidRPr="00463453">
        <w:rPr>
          <w:lang w:val="en-US"/>
        </w:rPr>
        <w:t>/</w:t>
      </w:r>
      <w:r w:rsidRPr="00EA19F1">
        <w:rPr>
          <w:lang w:val="en-US"/>
        </w:rPr>
        <w:t>TRANS</w:t>
      </w:r>
      <w:r w:rsidRPr="00463453">
        <w:rPr>
          <w:lang w:val="en-US"/>
        </w:rPr>
        <w:t>/</w:t>
      </w:r>
      <w:r w:rsidRPr="00EA19F1">
        <w:rPr>
          <w:lang w:val="en-US"/>
        </w:rPr>
        <w:t>WP</w:t>
      </w:r>
      <w:r w:rsidRPr="00463453">
        <w:rPr>
          <w:lang w:val="en-US"/>
        </w:rPr>
        <w:t>.15/</w:t>
      </w:r>
      <w:r w:rsidRPr="00EA19F1">
        <w:rPr>
          <w:lang w:val="en-US"/>
        </w:rPr>
        <w:t>AC</w:t>
      </w:r>
      <w:r w:rsidRPr="00463453">
        <w:rPr>
          <w:lang w:val="en-US"/>
        </w:rPr>
        <w:t>.1/2019/19 (</w:t>
      </w:r>
      <w:r>
        <w:t>Польша</w:t>
      </w:r>
      <w:r w:rsidRPr="00463453">
        <w:rPr>
          <w:lang w:val="en-US"/>
        </w:rPr>
        <w:t>)</w:t>
      </w:r>
    </w:p>
    <w:p w:rsidR="001E6F45" w:rsidRPr="00EA19F1" w:rsidRDefault="001E6F45" w:rsidP="001E6F45">
      <w:pPr>
        <w:pStyle w:val="SingleTxtG"/>
        <w:keepNext/>
        <w:keepLines/>
        <w:tabs>
          <w:tab w:val="left" w:pos="3969"/>
          <w:tab w:val="left" w:pos="5954"/>
        </w:tabs>
        <w:spacing w:after="0"/>
        <w:ind w:left="3119" w:hanging="1985"/>
        <w:jc w:val="left"/>
      </w:pPr>
      <w:r>
        <w:rPr>
          <w:i/>
          <w:iCs/>
        </w:rPr>
        <w:t>Неофициальные докуме</w:t>
      </w:r>
      <w:r w:rsidRPr="001E6F45">
        <w:t>нты:</w:t>
      </w:r>
      <w:r w:rsidRPr="001E6F45">
        <w:tab/>
      </w:r>
      <w:r>
        <w:t xml:space="preserve">INF.5 (Соединенное Королевство) </w:t>
      </w:r>
    </w:p>
    <w:p w:rsidR="001E6F45" w:rsidRPr="00EA19F1" w:rsidRDefault="001E6F45" w:rsidP="001E6F45">
      <w:pPr>
        <w:pStyle w:val="SingleTxtG"/>
        <w:keepNext/>
        <w:keepLines/>
        <w:tabs>
          <w:tab w:val="left" w:pos="3969"/>
          <w:tab w:val="left" w:pos="5954"/>
        </w:tabs>
        <w:spacing w:after="0"/>
        <w:ind w:left="3119" w:hanging="1985"/>
        <w:jc w:val="left"/>
      </w:pPr>
      <w:r>
        <w:tab/>
      </w:r>
      <w:r>
        <w:tab/>
        <w:t>INF.11 (Соединенное Королевство)</w:t>
      </w:r>
    </w:p>
    <w:p w:rsidR="001E6F45" w:rsidRPr="00EA19F1" w:rsidRDefault="001E6F45" w:rsidP="001E6F45">
      <w:pPr>
        <w:pStyle w:val="SingleTxtG"/>
        <w:keepNext/>
        <w:keepLines/>
        <w:tabs>
          <w:tab w:val="left" w:pos="3969"/>
          <w:tab w:val="left" w:pos="5954"/>
        </w:tabs>
        <w:spacing w:after="0"/>
        <w:ind w:left="3119" w:hanging="1985"/>
        <w:jc w:val="left"/>
      </w:pPr>
      <w:r>
        <w:tab/>
      </w:r>
      <w:r>
        <w:tab/>
        <w:t xml:space="preserve">INF.12 (Соединенное Королевство) </w:t>
      </w:r>
    </w:p>
    <w:p w:rsidR="001E6F45" w:rsidRPr="00EA19F1" w:rsidRDefault="001E6F45" w:rsidP="001E6F45">
      <w:pPr>
        <w:pStyle w:val="SingleTxtG"/>
        <w:keepNext/>
        <w:keepLines/>
        <w:tabs>
          <w:tab w:val="left" w:pos="3969"/>
          <w:tab w:val="left" w:pos="5954"/>
        </w:tabs>
        <w:spacing w:after="0"/>
        <w:ind w:left="3119" w:hanging="1985"/>
        <w:jc w:val="left"/>
      </w:pPr>
      <w:r>
        <w:tab/>
      </w:r>
      <w:r>
        <w:tab/>
        <w:t>INF.13 (Соединенное Королевство)</w:t>
      </w:r>
    </w:p>
    <w:p w:rsidR="001E6F45" w:rsidRPr="00EA19F1" w:rsidRDefault="001E6F45" w:rsidP="001E6F45">
      <w:pPr>
        <w:pStyle w:val="SingleTxtG"/>
        <w:keepNext/>
        <w:keepLines/>
        <w:tabs>
          <w:tab w:val="left" w:pos="3969"/>
          <w:tab w:val="left" w:pos="5954"/>
        </w:tabs>
        <w:spacing w:after="0"/>
        <w:ind w:left="3119" w:hanging="1985"/>
        <w:jc w:val="left"/>
      </w:pPr>
      <w:r>
        <w:tab/>
      </w:r>
      <w:r>
        <w:tab/>
        <w:t xml:space="preserve">INF.14 (Нидерланды) </w:t>
      </w:r>
    </w:p>
    <w:p w:rsidR="001E6F45" w:rsidRPr="00EA19F1" w:rsidRDefault="001E6F45" w:rsidP="001E6F45">
      <w:pPr>
        <w:pStyle w:val="SingleTxtG"/>
        <w:keepNext/>
        <w:keepLines/>
        <w:tabs>
          <w:tab w:val="left" w:pos="3969"/>
          <w:tab w:val="left" w:pos="5954"/>
        </w:tabs>
        <w:spacing w:after="0"/>
        <w:ind w:left="3119" w:hanging="1985"/>
        <w:jc w:val="left"/>
      </w:pPr>
      <w:r>
        <w:tab/>
      </w:r>
      <w:r>
        <w:tab/>
        <w:t>INF.16 (МСАГВ)</w:t>
      </w:r>
    </w:p>
    <w:p w:rsidR="001E6F45" w:rsidRPr="00EA19F1" w:rsidRDefault="001E6F45" w:rsidP="001E6F45">
      <w:pPr>
        <w:pStyle w:val="SingleTxtG"/>
        <w:keepNext/>
        <w:keepLines/>
        <w:tabs>
          <w:tab w:val="left" w:pos="3969"/>
          <w:tab w:val="left" w:pos="5954"/>
        </w:tabs>
        <w:spacing w:after="0"/>
        <w:ind w:left="3119" w:hanging="1985"/>
        <w:jc w:val="left"/>
      </w:pPr>
      <w:r>
        <w:tab/>
      </w:r>
      <w:r>
        <w:tab/>
        <w:t>INF.19 (Германия)</w:t>
      </w:r>
    </w:p>
    <w:p w:rsidR="001E6F45" w:rsidRPr="00EA19F1" w:rsidRDefault="001E6F45" w:rsidP="001E6F45">
      <w:pPr>
        <w:pStyle w:val="SingleTxtG"/>
        <w:keepNext/>
        <w:keepLines/>
        <w:tabs>
          <w:tab w:val="left" w:pos="3969"/>
          <w:tab w:val="left" w:pos="5954"/>
        </w:tabs>
        <w:spacing w:after="0"/>
        <w:ind w:left="3119" w:hanging="1985"/>
        <w:jc w:val="left"/>
      </w:pPr>
      <w:r>
        <w:tab/>
      </w:r>
      <w:r>
        <w:tab/>
        <w:t>INF.21 (Нидерланды)</w:t>
      </w:r>
    </w:p>
    <w:p w:rsidR="001E6F45" w:rsidRPr="00EA19F1" w:rsidRDefault="001E6F45" w:rsidP="001E6F45">
      <w:pPr>
        <w:pStyle w:val="SingleTxtG"/>
        <w:keepNext/>
        <w:keepLines/>
        <w:tabs>
          <w:tab w:val="left" w:pos="3969"/>
          <w:tab w:val="left" w:pos="5954"/>
        </w:tabs>
        <w:spacing w:after="0"/>
        <w:ind w:left="3119" w:hanging="1985"/>
        <w:jc w:val="left"/>
      </w:pPr>
      <w:r>
        <w:tab/>
      </w:r>
      <w:r>
        <w:tab/>
        <w:t>INF.25 (Европейская комиссия)</w:t>
      </w:r>
    </w:p>
    <w:p w:rsidR="001E6F45" w:rsidRPr="001E6F45" w:rsidRDefault="001E6F45" w:rsidP="001E6F45">
      <w:pPr>
        <w:pStyle w:val="SingleTxtG"/>
        <w:tabs>
          <w:tab w:val="left" w:pos="3969"/>
          <w:tab w:val="left" w:pos="5954"/>
        </w:tabs>
        <w:ind w:left="3119" w:hanging="1985"/>
        <w:jc w:val="left"/>
      </w:pPr>
      <w:r>
        <w:tab/>
      </w:r>
      <w:r>
        <w:tab/>
        <w:t>INF.29 (Соединенное Королевство)</w:t>
      </w:r>
    </w:p>
    <w:p w:rsidR="001E6F45" w:rsidRPr="00EA19F1" w:rsidRDefault="001E6F45" w:rsidP="001E6F45">
      <w:pPr>
        <w:pStyle w:val="SingleTxtG"/>
        <w:spacing w:after="0"/>
      </w:pPr>
      <w:r>
        <w:t>3.</w:t>
      </w:r>
      <w:r>
        <w:tab/>
        <w:t>Из-за нехватки времени</w:t>
      </w:r>
      <w:r w:rsidRPr="00774BE4">
        <w:t xml:space="preserve"> </w:t>
      </w:r>
      <w:r>
        <w:t>не</w:t>
      </w:r>
      <w:r w:rsidRPr="00774BE4">
        <w:t xml:space="preserve"> </w:t>
      </w:r>
      <w:r>
        <w:t>удалось</w:t>
      </w:r>
      <w:r w:rsidRPr="00774BE4">
        <w:t xml:space="preserve"> </w:t>
      </w:r>
      <w:r>
        <w:t>обсудить неофициальные документы INF.30 и INF.31 (Соединенное Королевство). Рабочая группа по цистернам отметила, что документ ECE/TRANS/WP.15/AC.1/2019/2 будет обсужден Рабочей группой по стандартам до его рассмотрения на пленарном заседании.</w:t>
      </w:r>
    </w:p>
    <w:p w:rsidR="001E6F45" w:rsidRPr="00EA19F1" w:rsidRDefault="001E6F45" w:rsidP="001E6F45">
      <w:pPr>
        <w:pStyle w:val="H23G"/>
      </w:pPr>
      <w:r>
        <w:tab/>
        <w:t xml:space="preserve">Пункт 1: </w:t>
      </w:r>
      <w:r>
        <w:tab/>
        <w:t xml:space="preserve">Изменение редакции пункта 6.8.2.5.1 ДОПОГ </w:t>
      </w:r>
    </w:p>
    <w:p w:rsidR="001E6F45" w:rsidRPr="00EA19F1" w:rsidRDefault="001E6F45" w:rsidP="001E6F45">
      <w:pPr>
        <w:pStyle w:val="SingleTxtG"/>
        <w:tabs>
          <w:tab w:val="left" w:pos="3119"/>
        </w:tabs>
      </w:pPr>
      <w:r>
        <w:rPr>
          <w:i/>
          <w:iCs/>
        </w:rPr>
        <w:t>Документ:</w:t>
      </w:r>
      <w:r>
        <w:tab/>
      </w:r>
      <w:r>
        <w:tab/>
      </w:r>
      <w:r>
        <w:tab/>
        <w:t xml:space="preserve">ECE/TRANS/WP.15/AC.1/2019/1 (Беларусь) </w:t>
      </w:r>
    </w:p>
    <w:p w:rsidR="001E6F45" w:rsidRPr="00EA19F1" w:rsidRDefault="001E6F45" w:rsidP="001E6F45">
      <w:pPr>
        <w:pStyle w:val="SingleTxtG"/>
        <w:tabs>
          <w:tab w:val="left" w:pos="3119"/>
        </w:tabs>
      </w:pPr>
      <w:r w:rsidRPr="00774BE4">
        <w:rPr>
          <w:i/>
          <w:iCs/>
        </w:rPr>
        <w:t>Неофициальный документ:</w:t>
      </w:r>
      <w:r>
        <w:t xml:space="preserve"> </w:t>
      </w:r>
      <w:r>
        <w:tab/>
        <w:t>INF.29 (Соединенное Королевство)</w:t>
      </w:r>
    </w:p>
    <w:p w:rsidR="001E6F45" w:rsidRPr="00EA19F1" w:rsidRDefault="001E6F45" w:rsidP="001E6F45">
      <w:pPr>
        <w:pStyle w:val="SingleTxtG"/>
      </w:pPr>
      <w:r>
        <w:t>4.</w:t>
      </w:r>
      <w:r>
        <w:tab/>
        <w:t xml:space="preserve">Предложение об изменении редакции пункта 6.8.2.5.1 путем замены термина «испытание» термином «проверка» получило широкую поддержку и было принято. Было указано, что периодическая проверка и промежуточная проверка включают в себя несколько элементов, в том числе одно или более испытаний, и что дата применяется только тогда, когда все элементы проверки были проведены с положительными результатами. </w:t>
      </w:r>
    </w:p>
    <w:p w:rsidR="001E6F45" w:rsidRPr="00EA19F1" w:rsidRDefault="001E6F45" w:rsidP="001E6F45">
      <w:pPr>
        <w:pStyle w:val="H23G"/>
      </w:pPr>
      <w:r>
        <w:tab/>
      </w:r>
      <w:r>
        <w:tab/>
      </w:r>
      <w:r>
        <w:rPr>
          <w:bCs/>
        </w:rPr>
        <w:t>Предложение 1:</w:t>
      </w:r>
    </w:p>
    <w:p w:rsidR="001E6F45" w:rsidRPr="00EA19F1" w:rsidRDefault="001E6F45" w:rsidP="001E6F45">
      <w:pPr>
        <w:pStyle w:val="SingleTxtG"/>
      </w:pPr>
      <w:r>
        <w:t>6.8.2.5.1</w:t>
      </w:r>
      <w:r>
        <w:tab/>
        <w:t xml:space="preserve">Изменить девятый абзац пункта 6.8.2.5.1 (МПОГ/ДОПОГ) следующим образом (новый текст напечатан </w:t>
      </w:r>
      <w:r w:rsidRPr="00774BE4">
        <w:rPr>
          <w:i/>
          <w:iCs/>
          <w:u w:val="single"/>
        </w:rPr>
        <w:t>курсивом</w:t>
      </w:r>
      <w:r>
        <w:rPr>
          <w:i/>
          <w:iCs/>
          <w:u w:val="single"/>
        </w:rPr>
        <w:t xml:space="preserve"> и </w:t>
      </w:r>
      <w:r w:rsidRPr="00774BE4">
        <w:rPr>
          <w:i/>
          <w:iCs/>
          <w:u w:val="single"/>
        </w:rPr>
        <w:t>подчеркнут</w:t>
      </w:r>
      <w:r>
        <w:t xml:space="preserve">, а исключенный текст </w:t>
      </w:r>
      <w:r w:rsidRPr="004A7EF1">
        <w:rPr>
          <w:strike/>
        </w:rPr>
        <w:t>зачеркнут</w:t>
      </w:r>
      <w:r>
        <w:t>):</w:t>
      </w:r>
    </w:p>
    <w:p w:rsidR="001E6F45" w:rsidRPr="00EA19F1" w:rsidRDefault="001E6F45" w:rsidP="001E6F45">
      <w:pPr>
        <w:pStyle w:val="SingleTxtG"/>
        <w:ind w:left="2127" w:hanging="426"/>
      </w:pPr>
      <w:r>
        <w:t xml:space="preserve">«– </w:t>
      </w:r>
      <w:r>
        <w:tab/>
        <w:t xml:space="preserve">дата и вид </w:t>
      </w:r>
      <w:r w:rsidRPr="004A7EF1">
        <w:rPr>
          <w:strike/>
        </w:rPr>
        <w:t>последнего испытания</w:t>
      </w:r>
      <w:r>
        <w:t xml:space="preserve"> </w:t>
      </w:r>
      <w:r>
        <w:rPr>
          <w:i/>
          <w:iCs/>
          <w:u w:val="single"/>
        </w:rPr>
        <w:t>последней проверки</w:t>
      </w:r>
      <w:r>
        <w:t>: «месяц, год», за которыми следует буква «P», если</w:t>
      </w:r>
      <w:r w:rsidRPr="004A7EF1">
        <w:rPr>
          <w:bCs/>
          <w:sz w:val="21"/>
          <w:szCs w:val="21"/>
        </w:rPr>
        <w:t xml:space="preserve"> </w:t>
      </w:r>
      <w:r w:rsidRPr="004A7EF1">
        <w:rPr>
          <w:bCs/>
          <w:strike/>
          <w:sz w:val="21"/>
          <w:szCs w:val="21"/>
        </w:rPr>
        <w:t>это испытание</w:t>
      </w:r>
      <w:r>
        <w:t xml:space="preserve"> </w:t>
      </w:r>
      <w:r w:rsidRPr="004A7EF1">
        <w:rPr>
          <w:i/>
          <w:iCs/>
          <w:u w:val="single"/>
        </w:rPr>
        <w:t>эта проверка</w:t>
      </w:r>
      <w:r>
        <w:t xml:space="preserve"> является </w:t>
      </w:r>
      <w:r w:rsidRPr="004A7EF1">
        <w:rPr>
          <w:strike/>
        </w:rPr>
        <w:t>первоначальным испытанием</w:t>
      </w:r>
      <w:r>
        <w:t xml:space="preserve"> </w:t>
      </w:r>
      <w:r>
        <w:rPr>
          <w:i/>
          <w:iCs/>
          <w:u w:val="single"/>
        </w:rPr>
        <w:t>первоначальной проверкой</w:t>
      </w:r>
      <w:r>
        <w:t xml:space="preserve"> или </w:t>
      </w:r>
      <w:r w:rsidRPr="004A7EF1">
        <w:rPr>
          <w:strike/>
        </w:rPr>
        <w:t>периодическим испытанием</w:t>
      </w:r>
      <w:r>
        <w:t xml:space="preserve"> </w:t>
      </w:r>
      <w:r>
        <w:rPr>
          <w:i/>
          <w:iCs/>
          <w:u w:val="single"/>
        </w:rPr>
        <w:t>периодической проверкой</w:t>
      </w:r>
      <w:r>
        <w:t xml:space="preserve"> в соответствии с пунктами 6.8.2.4.1 и 6.8.2.4.2, или «месяц, год», за которыми следует буква «L», если </w:t>
      </w:r>
      <w:r w:rsidRPr="004A7EF1">
        <w:rPr>
          <w:strike/>
        </w:rPr>
        <w:t>это испытание</w:t>
      </w:r>
      <w:r>
        <w:t xml:space="preserve"> </w:t>
      </w:r>
      <w:r>
        <w:rPr>
          <w:i/>
          <w:iCs/>
          <w:u w:val="single"/>
        </w:rPr>
        <w:t xml:space="preserve">эта проверка </w:t>
      </w:r>
      <w:r>
        <w:t xml:space="preserve">является </w:t>
      </w:r>
      <w:r w:rsidRPr="004A7EF1">
        <w:rPr>
          <w:strike/>
        </w:rPr>
        <w:t>промежуточным испытанием</w:t>
      </w:r>
      <w:r>
        <w:t xml:space="preserve"> </w:t>
      </w:r>
      <w:r>
        <w:rPr>
          <w:i/>
          <w:iCs/>
          <w:u w:val="single"/>
        </w:rPr>
        <w:t>промежуточной проверкой</w:t>
      </w:r>
      <w:r>
        <w:t xml:space="preserve"> в соответствии с пунктом 6.8.2.4.3;».</w:t>
      </w:r>
    </w:p>
    <w:p w:rsidR="001E6F45" w:rsidRPr="00EA19F1" w:rsidRDefault="001E6F45" w:rsidP="001E6F45">
      <w:pPr>
        <w:pStyle w:val="SingleTxtG"/>
      </w:pPr>
      <w:r>
        <w:t>5.</w:t>
      </w:r>
      <w:r>
        <w:tab/>
        <w:t>Сопутствующие поправки, содержащиеся в неофициальном документе INF.29, были приняты. Вместе с тем было решено, что термин «проверка», используемый в десятом абзаце пункта 6.8.2.5.1 и восьмом абзаце пункта 6.8.3.5.10, должен быть в единственном числе, поскольку каждая запись даты будет производиться одним экспертом или одним проверяющим органом. Было также решено, что формулировка ТТ6 в пункте 6.8.4 d) может быть дополнительно упрощена.</w:t>
      </w:r>
    </w:p>
    <w:p w:rsidR="001E6F45" w:rsidRPr="00774BE4" w:rsidRDefault="001E6F45" w:rsidP="001E6F45">
      <w:pPr>
        <w:pStyle w:val="H23G"/>
      </w:pPr>
      <w:bookmarkStart w:id="0" w:name="_GoBack"/>
      <w:bookmarkEnd w:id="0"/>
      <w:r>
        <w:lastRenderedPageBreak/>
        <w:tab/>
      </w:r>
      <w:r>
        <w:tab/>
      </w:r>
      <w:r>
        <w:rPr>
          <w:bCs/>
        </w:rPr>
        <w:t>Предложение 2:</w:t>
      </w:r>
    </w:p>
    <w:p w:rsidR="001E6F45" w:rsidRPr="00EA19F1" w:rsidRDefault="001E6F45" w:rsidP="001E6F45">
      <w:pPr>
        <w:pStyle w:val="SingleTxtG"/>
      </w:pPr>
      <w:r>
        <w:t xml:space="preserve">Изменить указанные ниже пункты следующим образом (новый текст напечатан </w:t>
      </w:r>
      <w:r w:rsidRPr="00C1184B">
        <w:rPr>
          <w:i/>
          <w:iCs/>
          <w:u w:val="single"/>
        </w:rPr>
        <w:t>курсивом и подчеркнут</w:t>
      </w:r>
      <w:r>
        <w:t xml:space="preserve">, а исключенный текст </w:t>
      </w:r>
      <w:r w:rsidRPr="00C1184B">
        <w:rPr>
          <w:strike/>
        </w:rPr>
        <w:t>зачеркнут</w:t>
      </w:r>
      <w:r>
        <w:t>):</w:t>
      </w:r>
    </w:p>
    <w:p w:rsidR="001E6F45" w:rsidRPr="00EA19F1" w:rsidRDefault="001E6F45" w:rsidP="001E6F45">
      <w:pPr>
        <w:pStyle w:val="SingleTxtG"/>
      </w:pPr>
      <w:r>
        <w:t>6.8.2.5.1 (МПОГ/ДОПОГ), десятый абзац:</w:t>
      </w:r>
    </w:p>
    <w:p w:rsidR="001E6F45" w:rsidRPr="00EA19F1" w:rsidRDefault="001E6F45" w:rsidP="001E6F45">
      <w:pPr>
        <w:pStyle w:val="SingleTxtG"/>
        <w:tabs>
          <w:tab w:val="left" w:pos="2268"/>
          <w:tab w:val="left" w:pos="3261"/>
        </w:tabs>
        <w:ind w:left="1701"/>
      </w:pPr>
      <w:r>
        <w:t>«–</w:t>
      </w:r>
      <w:r>
        <w:tab/>
        <w:t xml:space="preserve">клеймо эксперта, проводившего </w:t>
      </w:r>
      <w:r w:rsidRPr="00C1184B">
        <w:rPr>
          <w:strike/>
        </w:rPr>
        <w:t>испытания</w:t>
      </w:r>
      <w:r>
        <w:t xml:space="preserve"> </w:t>
      </w:r>
      <w:r>
        <w:rPr>
          <w:i/>
          <w:iCs/>
          <w:u w:val="single"/>
        </w:rPr>
        <w:t>проверку</w:t>
      </w:r>
      <w:r>
        <w:t>;».</w:t>
      </w:r>
    </w:p>
    <w:p w:rsidR="001E6F45" w:rsidRPr="00EA19F1" w:rsidRDefault="001E6F45" w:rsidP="001E6F45">
      <w:pPr>
        <w:pStyle w:val="SingleTxtG"/>
      </w:pPr>
      <w:r>
        <w:t>6.8.3.5.10 (МПОГ/ДОПОГ), седьмой и восьмой абзацы:</w:t>
      </w:r>
    </w:p>
    <w:p w:rsidR="001E6F45" w:rsidRPr="00EA19F1" w:rsidRDefault="001E6F45" w:rsidP="001E6F45">
      <w:pPr>
        <w:pStyle w:val="SingleTxtG"/>
        <w:ind w:left="2268" w:hanging="567"/>
      </w:pPr>
      <w:r>
        <w:t>«–</w:t>
      </w:r>
      <w:r>
        <w:tab/>
        <w:t xml:space="preserve">дата (месяц и год) </w:t>
      </w:r>
      <w:r w:rsidRPr="00C1184B">
        <w:rPr>
          <w:strike/>
        </w:rPr>
        <w:t>первоначального испытания</w:t>
      </w:r>
      <w:r>
        <w:t xml:space="preserve"> </w:t>
      </w:r>
      <w:r>
        <w:rPr>
          <w:i/>
          <w:iCs/>
          <w:u w:val="single"/>
        </w:rPr>
        <w:t xml:space="preserve">первоначальной проверки </w:t>
      </w:r>
      <w:r>
        <w:t xml:space="preserve">и </w:t>
      </w:r>
      <w:r w:rsidRPr="00C1184B">
        <w:rPr>
          <w:strike/>
        </w:rPr>
        <w:t>последнего периодического испытания</w:t>
      </w:r>
      <w:r>
        <w:t xml:space="preserve"> </w:t>
      </w:r>
      <w:r>
        <w:rPr>
          <w:i/>
          <w:iCs/>
          <w:u w:val="single"/>
        </w:rPr>
        <w:t>последней периодической проверки</w:t>
      </w:r>
      <w:r>
        <w:t>, проведенных в соответствии с пунктами 6.8.3.4.12–6.8.3.4.15;».</w:t>
      </w:r>
    </w:p>
    <w:p w:rsidR="001E6F45" w:rsidRPr="00EA19F1" w:rsidRDefault="001E6F45" w:rsidP="001E6F45">
      <w:pPr>
        <w:pStyle w:val="SingleTxtG"/>
        <w:tabs>
          <w:tab w:val="left" w:pos="2552"/>
        </w:tabs>
        <w:ind w:left="2268" w:hanging="567"/>
      </w:pPr>
      <w:r>
        <w:t>«–</w:t>
      </w:r>
      <w:r>
        <w:tab/>
        <w:t xml:space="preserve">клеймо эксперта, проводившего </w:t>
      </w:r>
      <w:r w:rsidRPr="00C1184B">
        <w:rPr>
          <w:strike/>
        </w:rPr>
        <w:t>испытания</w:t>
      </w:r>
      <w:r>
        <w:rPr>
          <w:i/>
          <w:iCs/>
          <w:u w:val="single"/>
        </w:rPr>
        <w:t xml:space="preserve"> проверку.</w:t>
      </w:r>
      <w:r w:rsidRPr="00E126DC">
        <w:t>»</w:t>
      </w:r>
      <w:r>
        <w:t>.</w:t>
      </w:r>
    </w:p>
    <w:p w:rsidR="001E6F45" w:rsidRPr="00EA19F1" w:rsidRDefault="001E6F45" w:rsidP="001E6F45">
      <w:pPr>
        <w:pStyle w:val="SingleTxtG"/>
        <w:keepNext/>
        <w:keepLines/>
      </w:pPr>
      <w:r>
        <w:t>6.8.3.5.11 (только МПОГ), последний абзац в левой колонке:</w:t>
      </w:r>
    </w:p>
    <w:p w:rsidR="001E6F45" w:rsidRPr="00EA19F1" w:rsidRDefault="001E6F45" w:rsidP="001E6F45">
      <w:pPr>
        <w:pStyle w:val="SingleTxtG"/>
        <w:ind w:left="2268" w:hanging="567"/>
      </w:pPr>
      <w:r>
        <w:t>«–</w:t>
      </w:r>
      <w:r>
        <w:tab/>
        <w:t xml:space="preserve">дата (месяц, год) </w:t>
      </w:r>
      <w:r w:rsidRPr="004C11C2">
        <w:rPr>
          <w:strike/>
        </w:rPr>
        <w:t>следующего испытания</w:t>
      </w:r>
      <w:r>
        <w:t xml:space="preserve"> </w:t>
      </w:r>
      <w:r>
        <w:rPr>
          <w:i/>
          <w:iCs/>
          <w:u w:val="single"/>
        </w:rPr>
        <w:t>следующей проверки</w:t>
      </w:r>
      <w:r>
        <w:t xml:space="preserve"> в соответствии с пунктами 6.8.2.4.3 и 6.8.3.4.15.».</w:t>
      </w:r>
    </w:p>
    <w:p w:rsidR="001E6F45" w:rsidRPr="00EA19F1" w:rsidRDefault="001E6F45" w:rsidP="001E6F45">
      <w:pPr>
        <w:pStyle w:val="SingleTxtG"/>
      </w:pPr>
      <w:r>
        <w:t>6.8.4 d) (МПОГ/ДОПОГ)</w:t>
      </w:r>
    </w:p>
    <w:p w:rsidR="001E6F45" w:rsidRPr="00EA19F1" w:rsidRDefault="001E6F45" w:rsidP="001E6F45">
      <w:pPr>
        <w:pStyle w:val="SingleTxtG"/>
        <w:ind w:left="1701"/>
      </w:pPr>
      <w:r>
        <w:tab/>
      </w:r>
      <w:r>
        <w:rPr>
          <w:b/>
          <w:bCs/>
        </w:rPr>
        <w:t>TT 6</w:t>
      </w:r>
      <w:r>
        <w:tab/>
        <w:t>Изменить текст в левой колонке следующим образом:</w:t>
      </w:r>
    </w:p>
    <w:p w:rsidR="001E6F45" w:rsidRPr="00CC28D3" w:rsidRDefault="001E6F45" w:rsidP="001E6F45">
      <w:pPr>
        <w:pStyle w:val="SingleTxtG"/>
        <w:ind w:left="2835" w:hanging="567"/>
      </w:pPr>
      <w:r>
        <w:t>«TT6</w:t>
      </w:r>
      <w:r>
        <w:tab/>
      </w:r>
      <w:r w:rsidRPr="004C11C2">
        <w:rPr>
          <w:strike/>
        </w:rPr>
        <w:t>Периодические испытания</w:t>
      </w:r>
      <w:r>
        <w:t xml:space="preserve"> </w:t>
      </w:r>
      <w:r>
        <w:rPr>
          <w:i/>
          <w:iCs/>
          <w:u w:val="single"/>
        </w:rPr>
        <w:t>Периодическая проверка</w:t>
      </w:r>
      <w:r>
        <w:t xml:space="preserve">, включая гидравлическое испытание под давлением, </w:t>
      </w:r>
      <w:r w:rsidRPr="004C11C2">
        <w:rPr>
          <w:strike/>
        </w:rPr>
        <w:t>должны</w:t>
      </w:r>
      <w:r>
        <w:t xml:space="preserve"> </w:t>
      </w:r>
      <w:r>
        <w:rPr>
          <w:i/>
          <w:iCs/>
          <w:u w:val="single"/>
        </w:rPr>
        <w:t>должна</w:t>
      </w:r>
      <w:r>
        <w:t xml:space="preserve"> проводиться не реже одного раза в три года.».</w:t>
      </w:r>
    </w:p>
    <w:p w:rsidR="001E6F45" w:rsidRPr="00EA19F1" w:rsidRDefault="001E6F45" w:rsidP="001E6F45">
      <w:pPr>
        <w:pStyle w:val="SingleTxtG"/>
        <w:ind w:firstLine="567"/>
        <w:rPr>
          <w:bCs/>
        </w:rPr>
      </w:pPr>
      <w:r w:rsidRPr="004C11C2">
        <w:rPr>
          <w:b/>
          <w:bCs/>
        </w:rPr>
        <w:t>TT 8</w:t>
      </w:r>
      <w:r>
        <w:tab/>
        <w:t>Изменить первый абзац следующим образом:</w:t>
      </w:r>
    </w:p>
    <w:p w:rsidR="001E6F45" w:rsidRPr="00F22920" w:rsidRDefault="001E6F45" w:rsidP="001E6F45">
      <w:pPr>
        <w:pStyle w:val="SingleTxtG"/>
        <w:ind w:left="2268"/>
        <w:rPr>
          <w:b/>
        </w:rPr>
      </w:pPr>
      <w:r>
        <w:t>«Цистерны, на которые нанесена маркировка в виде надлежащего отгрузочного наименования, требуемого для позиции под № ООН 1005 АММИАК БЕЗВОДНЫЙ, в соответствии с пунктами 6.8.3.5.1–6.8.3.5.3 и которые изготовлены из мелкозернистой стали с пределом текучести более 400 Н/мм</w:t>
      </w:r>
      <w:r>
        <w:rPr>
          <w:vertAlign w:val="superscript"/>
        </w:rPr>
        <w:t>2</w:t>
      </w:r>
      <w:r>
        <w:t xml:space="preserve"> в соответствии со стандартом на материал, должны при </w:t>
      </w:r>
      <w:r w:rsidRPr="00F22920">
        <w:rPr>
          <w:strike/>
        </w:rPr>
        <w:t>каждом периодическом испытании</w:t>
      </w:r>
      <w:r>
        <w:t xml:space="preserve"> </w:t>
      </w:r>
      <w:r>
        <w:rPr>
          <w:i/>
          <w:iCs/>
          <w:u w:val="single"/>
        </w:rPr>
        <w:t>каждой периодической проверке</w:t>
      </w:r>
      <w:r>
        <w:t xml:space="preserve">, </w:t>
      </w:r>
      <w:r w:rsidRPr="00F22920">
        <w:rPr>
          <w:strike/>
        </w:rPr>
        <w:t>проводимом</w:t>
      </w:r>
      <w:r>
        <w:t xml:space="preserve"> </w:t>
      </w:r>
      <w:r>
        <w:rPr>
          <w:i/>
          <w:iCs/>
          <w:u w:val="single"/>
        </w:rPr>
        <w:t>проводимой</w:t>
      </w:r>
      <w:r>
        <w:t xml:space="preserve"> согласно пункту 6.8.2.4.2, подвергаться проверкам методом магнитоскопии на предмет обнаружения поверхностных трещин.».</w:t>
      </w:r>
    </w:p>
    <w:p w:rsidR="001E6F45" w:rsidRPr="00F22920" w:rsidRDefault="001E6F45" w:rsidP="001E6F45">
      <w:pPr>
        <w:pStyle w:val="SingleTxtG"/>
      </w:pPr>
      <w:r>
        <w:t xml:space="preserve">6.10.4 </w:t>
      </w:r>
      <w:r>
        <w:tab/>
      </w:r>
      <w:r>
        <w:tab/>
        <w:t xml:space="preserve">Изменить следующим образом: </w:t>
      </w:r>
    </w:p>
    <w:p w:rsidR="001E6F45" w:rsidRPr="00F22920" w:rsidRDefault="001E6F45" w:rsidP="001E6F45">
      <w:pPr>
        <w:pStyle w:val="SingleTxtG"/>
        <w:ind w:left="1701" w:firstLine="567"/>
      </w:pPr>
      <w:r>
        <w:t>(МПОГ:)</w:t>
      </w:r>
    </w:p>
    <w:p w:rsidR="001E6F45" w:rsidRPr="00F22920" w:rsidRDefault="001E6F45" w:rsidP="001E6F45">
      <w:pPr>
        <w:pStyle w:val="SingleTxtG"/>
        <w:ind w:left="2268"/>
      </w:pPr>
      <w:r>
        <w:t xml:space="preserve">«Вакуумные цистерны для отходов должны подвергаться, помимо </w:t>
      </w:r>
      <w:r w:rsidRPr="00A9055A">
        <w:rPr>
          <w:strike/>
        </w:rPr>
        <w:t>испытаний</w:t>
      </w:r>
      <w:r>
        <w:t xml:space="preserve"> </w:t>
      </w:r>
      <w:r>
        <w:rPr>
          <w:i/>
          <w:iCs/>
          <w:u w:val="single"/>
        </w:rPr>
        <w:t>проверки</w:t>
      </w:r>
      <w:r w:rsidRPr="00186F39">
        <w:rPr>
          <w:i/>
          <w:iCs/>
        </w:rPr>
        <w:t xml:space="preserve"> </w:t>
      </w:r>
      <w:r>
        <w:t>в соответствии с пунктом 6.8.2.4.3, внутреннему осмотру по меньшей мере один раз в два с половиной года в случае контейнеров-цистерн и съемных кузовов-цистерн.».</w:t>
      </w:r>
    </w:p>
    <w:p w:rsidR="001E6F45" w:rsidRPr="00F22920" w:rsidRDefault="001E6F45" w:rsidP="001E6F45">
      <w:pPr>
        <w:pStyle w:val="SingleTxtG"/>
        <w:ind w:left="1701" w:firstLine="567"/>
      </w:pPr>
      <w:r>
        <w:t>(ДОПОГ:)</w:t>
      </w:r>
    </w:p>
    <w:p w:rsidR="001E6F45" w:rsidRPr="00F22920" w:rsidRDefault="001E6F45" w:rsidP="001E6F45">
      <w:pPr>
        <w:pStyle w:val="SingleTxtG"/>
        <w:ind w:left="2268"/>
      </w:pPr>
      <w:r>
        <w:t xml:space="preserve">«Вакуумные цистерны для отходов должны подвергаться, помимо </w:t>
      </w:r>
      <w:r w:rsidRPr="00A9055A">
        <w:rPr>
          <w:strike/>
        </w:rPr>
        <w:t>испытаний</w:t>
      </w:r>
      <w:r>
        <w:t xml:space="preserve"> </w:t>
      </w:r>
      <w:r>
        <w:rPr>
          <w:i/>
          <w:iCs/>
          <w:u w:val="single"/>
        </w:rPr>
        <w:t>проверки</w:t>
      </w:r>
      <w:r>
        <w:t xml:space="preserve"> в соответствии с пунктом 6.8.2.4.3, внутреннему осмотру один раз в три года в случае встроенных и съемных цистерн и по меньшей мере один раз в два с половиной года в случае контейнеров-цистерн и съемных кузовов-цистерн.».</w:t>
      </w:r>
    </w:p>
    <w:p w:rsidR="001E6F45" w:rsidRPr="00F22920" w:rsidRDefault="001E6F45" w:rsidP="001E6F45">
      <w:pPr>
        <w:pStyle w:val="SingleTxtG"/>
        <w:spacing w:before="120"/>
      </w:pPr>
      <w:r>
        <w:t>6.</w:t>
      </w:r>
      <w:r>
        <w:tab/>
        <w:t>В связи с вопросом, поднятым Бельгией на пленарном заседании, было решено заменить термин «exceptional check» в пункте 6.8.2.4.4 термином «exceptional inspection» («внеплановая проверка»). Поскольку официального предложения по этой поправке не поступило, было предложено, чтобы неофициальная рабочая группа по проверке и сертификации цистерн, которая проведет свое совещание в Лондоне в июне 2019 года («Лондонская» рабочая группа), приняла данное предложение к сведению. В ходе обсуждения было признано, что требуются другие сопутствующие поправки, связанные с заменой термина «испытание (испытания)» термином «проверка (проверки)». Было решено поручить их рассмотрение также Лондонской рабочей группе.</w:t>
      </w:r>
    </w:p>
    <w:p w:rsidR="001E6F45" w:rsidRPr="00F22920" w:rsidRDefault="001E6F45" w:rsidP="001E6F45">
      <w:pPr>
        <w:pStyle w:val="H23G"/>
      </w:pPr>
      <w:r>
        <w:lastRenderedPageBreak/>
        <w:tab/>
        <w:t xml:space="preserve">Пункт 2: </w:t>
      </w:r>
      <w:r>
        <w:tab/>
        <w:t>Применение пункта 6.7.1.3: перевозка продукта, отнесенного к № ООН 3160, в переносных цистернах, которым назначена инструкция T50</w:t>
      </w:r>
    </w:p>
    <w:p w:rsidR="001E6F45" w:rsidRPr="00F22920" w:rsidRDefault="001E6F45" w:rsidP="001E6F45">
      <w:pPr>
        <w:pStyle w:val="SingleTxtG"/>
        <w:tabs>
          <w:tab w:val="left" w:pos="3119"/>
        </w:tabs>
      </w:pPr>
      <w:r>
        <w:rPr>
          <w:i/>
          <w:iCs/>
        </w:rPr>
        <w:t>Документ:</w:t>
      </w:r>
      <w:r>
        <w:tab/>
      </w:r>
      <w:r>
        <w:tab/>
      </w:r>
      <w:r>
        <w:tab/>
        <w:t xml:space="preserve">ECE/TRANS/WP.15/AC.1/2019/3 (Бельгия) </w:t>
      </w:r>
    </w:p>
    <w:p w:rsidR="001E6F45" w:rsidRPr="00F22920" w:rsidRDefault="001E6F45" w:rsidP="001E6F45">
      <w:pPr>
        <w:pStyle w:val="SingleTxtG"/>
        <w:rPr>
          <w:b/>
        </w:rPr>
      </w:pPr>
      <w:r>
        <w:t>7.</w:t>
      </w:r>
      <w:r>
        <w:tab/>
        <w:t>Рабочая группа отметила, что трифторхлорэтилен, отнесенный к № ООН 3160, разрешается перевозить в переносных цистернах на основании временного разрешения в соответствии с пунктом 6.7.1.3 МКМПОГ. Грузоотправитель просит Бельгию выдать временное разрешение на внутреннюю перевозку, поскольку теперь страной происхождения будет Бельгия.</w:t>
      </w:r>
    </w:p>
    <w:p w:rsidR="001E6F45" w:rsidRPr="00F22920" w:rsidRDefault="001E6F45" w:rsidP="001E6F45">
      <w:pPr>
        <w:pStyle w:val="SingleTxtG"/>
      </w:pPr>
      <w:r>
        <w:t>8.</w:t>
      </w:r>
      <w:r>
        <w:tab/>
        <w:t xml:space="preserve">Было также отмечено, что временное разрешение было выдано в соответствии с МКМПОГ с тем, чтобы разрешить осуществлять перевозку параллельно с подачей заявки о включении применимых положений в правила. </w:t>
      </w:r>
    </w:p>
    <w:p w:rsidR="001E6F45" w:rsidRPr="00F22920" w:rsidRDefault="001E6F45" w:rsidP="001E6F45">
      <w:pPr>
        <w:pStyle w:val="SingleTxtG"/>
      </w:pPr>
      <w:r>
        <w:t>9.</w:t>
      </w:r>
      <w:r>
        <w:tab/>
        <w:t>Предложение о назначении этому веществу инструкции по переносным цистернам следует представить Подкомитету экспертов по перевозке опасных грузов.</w:t>
      </w:r>
    </w:p>
    <w:p w:rsidR="001E6F45" w:rsidRPr="00F22920" w:rsidRDefault="001E6F45" w:rsidP="001E6F45">
      <w:pPr>
        <w:pStyle w:val="H23G"/>
      </w:pPr>
      <w:r>
        <w:tab/>
      </w:r>
      <w:r>
        <w:rPr>
          <w:bCs/>
        </w:rPr>
        <w:t>Пункт 3:</w:t>
      </w:r>
      <w:r>
        <w:tab/>
      </w:r>
      <w:r>
        <w:rPr>
          <w:bCs/>
        </w:rPr>
        <w:t>Поправка к разделу 1.2.1 (Определения)</w:t>
      </w:r>
    </w:p>
    <w:p w:rsidR="001E6F45" w:rsidRPr="00EA698A" w:rsidRDefault="001E6F45" w:rsidP="001E6F45">
      <w:pPr>
        <w:pStyle w:val="SingleTxtG"/>
        <w:tabs>
          <w:tab w:val="left" w:pos="3119"/>
        </w:tabs>
        <w:rPr>
          <w:lang w:val="en-US"/>
        </w:rPr>
      </w:pPr>
      <w:r>
        <w:rPr>
          <w:i/>
          <w:iCs/>
        </w:rPr>
        <w:t>Документ</w:t>
      </w:r>
      <w:r w:rsidRPr="00EA698A">
        <w:rPr>
          <w:i/>
          <w:iCs/>
          <w:lang w:val="en-US"/>
        </w:rPr>
        <w:t>:</w:t>
      </w:r>
      <w:r w:rsidRPr="00EA698A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E6F45">
        <w:rPr>
          <w:lang w:val="en-US"/>
        </w:rPr>
        <w:t>ECE</w:t>
      </w:r>
      <w:r w:rsidRPr="00EA698A">
        <w:rPr>
          <w:lang w:val="en-US"/>
        </w:rPr>
        <w:t>/</w:t>
      </w:r>
      <w:r w:rsidRPr="001E6F45">
        <w:rPr>
          <w:lang w:val="en-US"/>
        </w:rPr>
        <w:t>TRANS</w:t>
      </w:r>
      <w:r w:rsidRPr="00EA698A">
        <w:rPr>
          <w:lang w:val="en-US"/>
        </w:rPr>
        <w:t>/</w:t>
      </w:r>
      <w:r w:rsidRPr="001E6F45">
        <w:rPr>
          <w:lang w:val="en-US"/>
        </w:rPr>
        <w:t>WP</w:t>
      </w:r>
      <w:r w:rsidRPr="00EA698A">
        <w:rPr>
          <w:lang w:val="en-US"/>
        </w:rPr>
        <w:t>.15/</w:t>
      </w:r>
      <w:r w:rsidRPr="001E6F45">
        <w:rPr>
          <w:lang w:val="en-US"/>
        </w:rPr>
        <w:t>AC</w:t>
      </w:r>
      <w:r w:rsidRPr="00EA698A">
        <w:rPr>
          <w:lang w:val="en-US"/>
        </w:rPr>
        <w:t>.1/2019/6 (</w:t>
      </w:r>
      <w:r>
        <w:t>МОКЦ</w:t>
      </w:r>
      <w:r w:rsidRPr="00EA698A">
        <w:rPr>
          <w:lang w:val="en-US"/>
        </w:rPr>
        <w:t>)</w:t>
      </w:r>
    </w:p>
    <w:p w:rsidR="001E6F45" w:rsidRPr="00E36B75" w:rsidRDefault="001E6F45" w:rsidP="001E6F45">
      <w:pPr>
        <w:pStyle w:val="SingleTxtG"/>
      </w:pPr>
      <w:r>
        <w:t>10.</w:t>
      </w:r>
      <w:r>
        <w:tab/>
        <w:t>«Предприятие, на имя которого зарегистрирован контейнер-цистерна/</w:t>
      </w:r>
      <w:r w:rsidR="00B704B4">
        <w:br/>
      </w:r>
      <w:r>
        <w:t xml:space="preserve">зарегистрирована переносная цистерна», часто является финансовым учреждением, таким как лизинговая компания или банк, и не выполняет обязанности оператора контейнера-цистерны/переносной цистерны в области безопасности. Цистерна передается в аренду или иным финансовым способом оформляется для передачи на основе имеющего юридическую силу договора между зарегистрированным собственником, например банком или лизинговой компанией, и оператором контейнера-цистерны/переносной цистерны. </w:t>
      </w:r>
    </w:p>
    <w:p w:rsidR="001E6F45" w:rsidRPr="00627CCC" w:rsidRDefault="001E6F45" w:rsidP="001E6F45">
      <w:pPr>
        <w:pStyle w:val="SingleTxtG"/>
      </w:pPr>
      <w:r>
        <w:t>11.</w:t>
      </w:r>
      <w:r>
        <w:tab/>
        <w:t>МОКЦ представила Совместному совещанию на его осенней сессии 2018 года неофициальный документ INF.7, который был обсужден Рабочей группой по цистернам. В то время было отмечено, что определение, содержащееся в МПОГ, также касается операторов вагонов-цистерн и косвенно в</w:t>
      </w:r>
      <w:r w:rsidR="00463453">
        <w:t>ладельцев вагонов-цистерн. МОКЦ </w:t>
      </w:r>
      <w:r>
        <w:t>было предложено проверить, не создаст ли эта поправка проблем для операторов вагонов-цистерн и владельцев вагонов-цистерн.</w:t>
      </w:r>
    </w:p>
    <w:p w:rsidR="001E6F45" w:rsidRPr="00E20404" w:rsidRDefault="001E6F45" w:rsidP="001E6F45">
      <w:pPr>
        <w:pStyle w:val="SingleTxtG"/>
        <w:keepNext/>
        <w:keepLines/>
      </w:pPr>
      <w:r>
        <w:t>12.</w:t>
      </w:r>
      <w:r>
        <w:tab/>
        <w:t>МСАГВ заявил, что оператором вагона-цистерны является также предприятие, которое регистрирует вагон-цистерну, и что поправка, внесенная МОКЦ, не улучшит понимания ситуации с оператором или владельцем вагона-цистерны. После рассмотрения нескольких альтернативных вариантов Рабочая группа не смогла прийти к какому-либо заключению. Было решено, что данный документ следует сохранить в повестке дня для следующей сессии.</w:t>
      </w:r>
    </w:p>
    <w:p w:rsidR="001E6F45" w:rsidRPr="00E36B75" w:rsidRDefault="001E6F45" w:rsidP="001E6F45">
      <w:pPr>
        <w:pStyle w:val="SingleTxtG"/>
      </w:pPr>
      <w:r>
        <w:t>13.</w:t>
      </w:r>
      <w:r>
        <w:tab/>
        <w:t>В отсутствие представителя МОКЦ были рассмотрены нижеследующие варианты и идеи для будущего обсуждения.</w:t>
      </w:r>
    </w:p>
    <w:p w:rsidR="001E6F45" w:rsidRPr="00E36B75" w:rsidRDefault="001E6F45" w:rsidP="001E6F45">
      <w:pPr>
        <w:pStyle w:val="SingleTxtG"/>
      </w:pPr>
      <w:r>
        <w:t>Для ДОПОГ:</w:t>
      </w:r>
    </w:p>
    <w:p w:rsidR="001E6F45" w:rsidRPr="00E36B75" w:rsidRDefault="001E6F45" w:rsidP="001E6F45">
      <w:pPr>
        <w:pStyle w:val="SingleTxtG"/>
        <w:ind w:left="1701"/>
        <w:rPr>
          <w:i/>
        </w:rPr>
      </w:pPr>
      <w:r>
        <w:t>«"</w:t>
      </w:r>
      <w:r>
        <w:rPr>
          <w:i/>
          <w:iCs/>
        </w:rPr>
        <w:t>Оператор контейнера-цистерны/переносной цистерны</w:t>
      </w:r>
      <w:r>
        <w:t xml:space="preserve">" означает любое предприятие, </w:t>
      </w:r>
      <w:r w:rsidRPr="00E36B75">
        <w:rPr>
          <w:strike/>
        </w:rPr>
        <w:t>на имя которого зарегистрирован контейнер-цистерна/зарегистрирована переносная цистерна</w:t>
      </w:r>
      <w:r>
        <w:t xml:space="preserve"> </w:t>
      </w:r>
      <w:r>
        <w:rPr>
          <w:i/>
          <w:iCs/>
        </w:rPr>
        <w:t>от имени которого эксплуатируется контейнер-цистерна/переносная цистерна.</w:t>
      </w:r>
      <w:r>
        <w:t>»,</w:t>
      </w:r>
    </w:p>
    <w:p w:rsidR="001E6F45" w:rsidRPr="00E36B75" w:rsidRDefault="001E6F45" w:rsidP="001E6F45">
      <w:pPr>
        <w:pStyle w:val="SingleTxtG"/>
        <w:ind w:left="1701"/>
        <w:rPr>
          <w:i/>
        </w:rPr>
      </w:pPr>
      <w:r>
        <w:rPr>
          <w:i/>
          <w:iCs/>
        </w:rPr>
        <w:t>или</w:t>
      </w:r>
    </w:p>
    <w:p w:rsidR="001E6F45" w:rsidRPr="00E36B75" w:rsidRDefault="001E6F45" w:rsidP="001E6F45">
      <w:pPr>
        <w:pStyle w:val="SingleTxtG"/>
        <w:ind w:left="1701"/>
      </w:pPr>
      <w:r>
        <w:t>«"</w:t>
      </w:r>
      <w:r>
        <w:rPr>
          <w:i/>
          <w:iCs/>
        </w:rPr>
        <w:t>Оператор контейнера-цистерны/переносной цистерны</w:t>
      </w:r>
      <w:r>
        <w:t>" означает любое предприятие, которое эксплуатирует контейнер-цистерну/переносную цистерну. Если оператором не является владелец, то оператором является предприятие, которому данный контейнер-цистерна/данная переносная цистерна передается в аренду или иным способом предоставляется для использования на основе имеющего юридическую силу договора.»,</w:t>
      </w:r>
    </w:p>
    <w:p w:rsidR="001E6F45" w:rsidRPr="00E36B75" w:rsidRDefault="001E6F45" w:rsidP="001E6F45">
      <w:pPr>
        <w:pStyle w:val="SingleTxtG"/>
        <w:ind w:left="1701"/>
        <w:rPr>
          <w:i/>
        </w:rPr>
      </w:pPr>
      <w:r>
        <w:rPr>
          <w:i/>
          <w:iCs/>
        </w:rPr>
        <w:t>или</w:t>
      </w:r>
    </w:p>
    <w:p w:rsidR="001E6F45" w:rsidRPr="00E36B75" w:rsidRDefault="001E6F45" w:rsidP="001E6F45">
      <w:pPr>
        <w:pStyle w:val="SingleTxtG"/>
        <w:ind w:left="1701"/>
      </w:pPr>
      <w:r>
        <w:lastRenderedPageBreak/>
        <w:t>«"</w:t>
      </w:r>
      <w:r>
        <w:rPr>
          <w:i/>
          <w:iCs/>
        </w:rPr>
        <w:t>Оператор контейнера-цистерны/переносной цистерны</w:t>
      </w:r>
      <w:r>
        <w:t>" означает любое предприятие, являющееся владельцем цистерны-цистерны/переносной цистерны или имеющее право на его/ее использование.».</w:t>
      </w:r>
    </w:p>
    <w:p w:rsidR="001E6F45" w:rsidRPr="00E36B75" w:rsidRDefault="001E6F45" w:rsidP="001E6F45">
      <w:pPr>
        <w:pStyle w:val="SingleTxtG"/>
        <w:rPr>
          <w:i/>
        </w:rPr>
      </w:pPr>
      <w:r>
        <w:t xml:space="preserve">Для МПОГ: </w:t>
      </w:r>
    </w:p>
    <w:p w:rsidR="001E6F45" w:rsidRPr="00E36B75" w:rsidRDefault="001E6F45" w:rsidP="001E6F45">
      <w:pPr>
        <w:pStyle w:val="SingleTxtG"/>
        <w:ind w:left="1701"/>
      </w:pPr>
      <w:r>
        <w:t>«"</w:t>
      </w:r>
      <w:r>
        <w:rPr>
          <w:i/>
          <w:iCs/>
        </w:rPr>
        <w:t>Оператор контейнера-цистерны, переносной цистерны или вагона-цистерны</w:t>
      </w:r>
      <w:r>
        <w:t xml:space="preserve">" означает любое предприятие, </w:t>
      </w:r>
      <w:r w:rsidRPr="009906CD">
        <w:rPr>
          <w:strike/>
        </w:rPr>
        <w:t>на имя которого зарегистрирован или допущен к перевозке</w:t>
      </w:r>
      <w:r w:rsidRPr="009906CD">
        <w:t xml:space="preserve"> </w:t>
      </w:r>
      <w:r w:rsidRPr="009906CD">
        <w:rPr>
          <w:u w:val="single"/>
        </w:rPr>
        <w:t>от имени которого эксплуатируется</w:t>
      </w:r>
      <w:r>
        <w:t xml:space="preserve"> контейнер-цистерна, переносная цистерна или вагон-цистерна.», </w:t>
      </w:r>
    </w:p>
    <w:p w:rsidR="001E6F45" w:rsidRPr="00E36B75" w:rsidRDefault="001E6F45" w:rsidP="001E6F45">
      <w:pPr>
        <w:pStyle w:val="SingleTxtG"/>
        <w:ind w:left="1701"/>
        <w:rPr>
          <w:i/>
        </w:rPr>
      </w:pPr>
      <w:r>
        <w:rPr>
          <w:i/>
          <w:iCs/>
        </w:rPr>
        <w:t>или</w:t>
      </w:r>
    </w:p>
    <w:p w:rsidR="001E6F45" w:rsidRPr="00E36B75" w:rsidRDefault="001E6F45" w:rsidP="001E6F45">
      <w:pPr>
        <w:pStyle w:val="SingleTxtG"/>
        <w:ind w:left="1701"/>
      </w:pPr>
      <w:r>
        <w:t>«"</w:t>
      </w:r>
      <w:r>
        <w:rPr>
          <w:i/>
          <w:iCs/>
        </w:rPr>
        <w:t>Оператор контейнера-цистерны, переносной цистерны или вагона-цистерны</w:t>
      </w:r>
      <w:r>
        <w:t>" означает любое предприятие, которое эксплуатирует контейнер-цистерну, переносную цистерну или вагон-цистерну. Если оператором не является владелец, то оператором является предприятие, которому данный контейнер-цистерна, переносная цистерна или вагон-цистерна передается в аренду или иным способом предоставляется на основе имеющего юридическую силу договора.»,</w:t>
      </w:r>
    </w:p>
    <w:p w:rsidR="001E6F45" w:rsidRPr="00E36B75" w:rsidRDefault="001E6F45" w:rsidP="001E6F45">
      <w:pPr>
        <w:pStyle w:val="SingleTxtG"/>
        <w:ind w:left="1701"/>
        <w:rPr>
          <w:i/>
        </w:rPr>
      </w:pPr>
      <w:r>
        <w:rPr>
          <w:i/>
          <w:iCs/>
        </w:rPr>
        <w:t>или</w:t>
      </w:r>
    </w:p>
    <w:p w:rsidR="001E6F45" w:rsidRPr="00E36B75" w:rsidRDefault="001E6F45" w:rsidP="001E6F45">
      <w:pPr>
        <w:pStyle w:val="SingleTxtG"/>
        <w:ind w:left="1701"/>
        <w:rPr>
          <w:i/>
        </w:rPr>
      </w:pPr>
      <w:r>
        <w:t>«"</w:t>
      </w:r>
      <w:r>
        <w:rPr>
          <w:i/>
          <w:iCs/>
        </w:rPr>
        <w:t>Оператор контейнера-цистерны или переносной цистерны</w:t>
      </w:r>
      <w:r>
        <w:t xml:space="preserve">" означает любое предприятие, </w:t>
      </w:r>
      <w:r w:rsidRPr="009906CD">
        <w:t xml:space="preserve">от имени которого </w:t>
      </w:r>
      <w:r w:rsidRPr="009906CD">
        <w:rPr>
          <w:u w:val="single"/>
        </w:rPr>
        <w:t>эксплуатируется</w:t>
      </w:r>
      <w:r>
        <w:t xml:space="preserve"> контейнер-цистерна, переносная цистерна или вагон-цистерна.».</w:t>
      </w:r>
    </w:p>
    <w:p w:rsidR="001E6F45" w:rsidRPr="00DC5275" w:rsidRDefault="001E6F45" w:rsidP="001E6F45">
      <w:pPr>
        <w:pStyle w:val="SingleTxtG"/>
        <w:ind w:left="1701"/>
        <w:rPr>
          <w:bCs/>
          <w:lang w:eastAsia="ru-RU"/>
        </w:rPr>
      </w:pPr>
      <w:r>
        <w:t>«"</w:t>
      </w:r>
      <w:r>
        <w:rPr>
          <w:i/>
          <w:iCs/>
        </w:rPr>
        <w:t>Оператор вагона-цистерны</w:t>
      </w:r>
      <w:r>
        <w:t>" означает любое предприятие, на имя которого зарегистрирован или допущен к перевозке вагон-цистерна.».</w:t>
      </w:r>
    </w:p>
    <w:p w:rsidR="001E6F45" w:rsidRPr="003670CC" w:rsidRDefault="001E6F45" w:rsidP="001E6F45">
      <w:pPr>
        <w:pStyle w:val="H23G"/>
      </w:pPr>
      <w:r>
        <w:rPr>
          <w:bCs/>
        </w:rPr>
        <w:tab/>
        <w:t>Пункт 4:</w:t>
      </w:r>
      <w:r>
        <w:t xml:space="preserve"> </w:t>
      </w:r>
      <w:r>
        <w:tab/>
      </w:r>
      <w:r>
        <w:rPr>
          <w:bCs/>
        </w:rPr>
        <w:t>Предложение по поправкам, касающимся терминов «risk» и «hazard/danger» («риск» и «опасность») в контексте МПОГ/ДОПОГ/ВОПОГ</w:t>
      </w:r>
    </w:p>
    <w:p w:rsidR="001E6F45" w:rsidRPr="003670CC" w:rsidRDefault="001E6F45" w:rsidP="001E6F45">
      <w:pPr>
        <w:pStyle w:val="SingleTxtG"/>
        <w:tabs>
          <w:tab w:val="left" w:pos="3119"/>
        </w:tabs>
      </w:pPr>
      <w:r>
        <w:rPr>
          <w:i/>
          <w:iCs/>
        </w:rPr>
        <w:t>Документ:</w:t>
      </w:r>
      <w:r>
        <w:tab/>
      </w:r>
      <w:r>
        <w:tab/>
      </w:r>
      <w:r>
        <w:tab/>
        <w:t>ECE/TRANS/WP.15/AC.1/2019/7 (Румыния)</w:t>
      </w:r>
    </w:p>
    <w:p w:rsidR="001E6F45" w:rsidRPr="00DC5275" w:rsidRDefault="001E6F45" w:rsidP="001E6F45">
      <w:pPr>
        <w:pStyle w:val="SingleTxtG"/>
      </w:pPr>
      <w:r>
        <w:t>14.</w:t>
      </w:r>
      <w:r>
        <w:tab/>
        <w:t>По просьбе Совместного совещания, высказанной в ходе представления данного документа на пленарном заседании, состоялось обсуждение вопросов, относящихся к главам 4.3, 6.8 и 6.10. В отношении главы 4.3 было сочтено, что поправка к варианту на английском языке (замена «additional</w:t>
      </w:r>
      <w:r w:rsidRPr="002A051F">
        <w:t xml:space="preserve"> </w:t>
      </w:r>
      <w:r>
        <w:t>hazard»</w:t>
      </w:r>
      <w:r w:rsidRPr="002A051F">
        <w:t xml:space="preserve"> </w:t>
      </w:r>
      <w:r>
        <w:t>на «other</w:t>
      </w:r>
      <w:r w:rsidRPr="002A051F">
        <w:t xml:space="preserve"> </w:t>
      </w:r>
      <w:r>
        <w:t>subsidiary</w:t>
      </w:r>
      <w:r w:rsidRPr="002A051F">
        <w:t xml:space="preserve"> </w:t>
      </w:r>
      <w:r>
        <w:t>hazard»; в варианте на русском языке замена слов «дополнительных видов опасности» словами «других видов</w:t>
      </w:r>
      <w:r w:rsidRPr="002A051F">
        <w:t xml:space="preserve"> </w:t>
      </w:r>
      <w:r>
        <w:t xml:space="preserve">дополнительной опасности») может быть оправданной, однако соответствующее изменение в варианте на французском языке было бы менее простым и потребовало бы более тщательного рассмотрения. Что касается поправок к главам 6.8 и 6.10, то было сочтено, что </w:t>
      </w:r>
      <w:r w:rsidRPr="004F19AF">
        <w:t>слово «risk»</w:t>
      </w:r>
      <w:r>
        <w:t xml:space="preserve"> будет более уместным, чем </w:t>
      </w:r>
      <w:r w:rsidRPr="009038E7">
        <w:t xml:space="preserve">слово «danger» </w:t>
      </w:r>
      <w:r>
        <w:t xml:space="preserve">для механических конструкций. </w:t>
      </w:r>
    </w:p>
    <w:p w:rsidR="001E6F45" w:rsidRPr="003670CC" w:rsidRDefault="001E6F45" w:rsidP="001E6F45">
      <w:pPr>
        <w:pStyle w:val="SingleTxtG"/>
      </w:pPr>
      <w:r>
        <w:t>15.</w:t>
      </w:r>
      <w:r>
        <w:tab/>
        <w:t>Представитель Румыни</w:t>
      </w:r>
      <w:r w:rsidR="00463453">
        <w:t>и</w:t>
      </w:r>
      <w:r>
        <w:t xml:space="preserve"> согласился принять замечания, высказанные неофициальной рабочей группе по разработке определений терминов «risk» </w:t>
      </w:r>
      <w:r w:rsidRPr="00E11E47">
        <w:t>и «hazard/danger» («риск» и «опасность») в контексте МПОГ/ДОПОГ/ВОПОГ</w:t>
      </w:r>
      <w:r>
        <w:t>, для дальнейшего рассмотрения.</w:t>
      </w:r>
    </w:p>
    <w:p w:rsidR="001E6F45" w:rsidRPr="00DC5275" w:rsidRDefault="001E6F45" w:rsidP="001E6F45">
      <w:pPr>
        <w:pStyle w:val="H23G"/>
      </w:pPr>
      <w:r>
        <w:tab/>
      </w:r>
      <w:r>
        <w:rPr>
          <w:bCs/>
        </w:rPr>
        <w:t>Пункт 5:</w:t>
      </w:r>
      <w:r>
        <w:t xml:space="preserve"> </w:t>
      </w:r>
      <w:r>
        <w:tab/>
      </w:r>
      <w:r>
        <w:rPr>
          <w:bCs/>
        </w:rPr>
        <w:t>Уточнения в отношении защиты, требующейся для фитингов и вспомогательных приспособлений, установленных в верхней части вакуумных цистерн для отходов</w:t>
      </w:r>
      <w:r>
        <w:t xml:space="preserve"> </w:t>
      </w:r>
    </w:p>
    <w:p w:rsidR="001E6F45" w:rsidRPr="00DC5275" w:rsidRDefault="001E6F45" w:rsidP="001E6F45">
      <w:pPr>
        <w:pStyle w:val="SingleTxtG"/>
        <w:tabs>
          <w:tab w:val="left" w:pos="3119"/>
        </w:tabs>
      </w:pPr>
      <w:r>
        <w:rPr>
          <w:i/>
          <w:iCs/>
        </w:rPr>
        <w:t>Документ:</w:t>
      </w:r>
      <w:r>
        <w:tab/>
      </w:r>
      <w:r>
        <w:tab/>
      </w:r>
      <w:r>
        <w:tab/>
        <w:t xml:space="preserve">ECE/TRANS/WP.15/AC.1/2019/17 </w:t>
      </w:r>
      <w:r>
        <w:br/>
      </w:r>
      <w:r>
        <w:tab/>
      </w:r>
      <w:r>
        <w:tab/>
      </w:r>
      <w:r>
        <w:tab/>
        <w:t>(Соединенное Королевство)</w:t>
      </w:r>
    </w:p>
    <w:p w:rsidR="001E6F45" w:rsidRPr="00A878CB" w:rsidRDefault="001E6F45" w:rsidP="001E6F45">
      <w:pPr>
        <w:pStyle w:val="SingleTxtG"/>
      </w:pPr>
      <w:proofErr w:type="gramStart"/>
      <w:r>
        <w:t>16.</w:t>
      </w:r>
      <w:r>
        <w:tab/>
        <w:t>В</w:t>
      </w:r>
      <w:proofErr w:type="gramEnd"/>
      <w:r>
        <w:t xml:space="preserve"> отношении защиты оборудования, установленного в верхней части цистерн в целом, применимы два аргумента, сформулированные в пункте 6.8.2.1.28 для защиты в случае опрокидывания и в пункте 6.8.2.2.1 для защиты от срыва или повреждения во время перевозки или погрузочно-разгрузочных операций. Для вакуумных цистерн для отходов, согласно пункту 6.10.3.1, защита от срыва во время перевозки и погрузочно-разгрузочных работ обеспечивается в том случае, если они установлены в так называемой «защищенной зоне», указанной в пункте 6.10.1.1.1. Однако пункт 6.10.3.1 </w:t>
      </w:r>
      <w:r>
        <w:lastRenderedPageBreak/>
        <w:t>сформулирован таким образом, что в нем не рассматривается защита в случае опрокидывания, предписанная в пункте 6.8.2.1.28.</w:t>
      </w:r>
    </w:p>
    <w:p w:rsidR="001E6F45" w:rsidRPr="00A878CB" w:rsidRDefault="001E6F45" w:rsidP="001E6F45">
      <w:pPr>
        <w:pStyle w:val="SingleTxtG"/>
      </w:pPr>
      <w:r>
        <w:t>17.</w:t>
      </w:r>
      <w:r>
        <w:tab/>
        <w:t>В этой связи были высказаны две точки зрения. Одна из них заключалась в том, что применение пункта 6.8.2.1.28 не отменяется положениями главы 6.10 и не исключается в пункте 6.10.1.2.1, и на основании формулировки, содержащейся в ДОПОГ, был сделан вывод о том, что вакуумные цистерны для отходов должны отвечать требованиям пункта 6.8.2.1.28. Другая точка зрения заключалась в том, что применение пункта 6.8.2.1.28 никогда не предполагалось в том случае, если оборудование помещено в так называемую «защищенную зону».</w:t>
      </w:r>
    </w:p>
    <w:p w:rsidR="001E6F45" w:rsidRDefault="001E6F45" w:rsidP="001E6F45">
      <w:pPr>
        <w:pStyle w:val="SingleTxtG"/>
      </w:pPr>
      <w:r>
        <w:t>18.</w:t>
      </w:r>
      <w:r>
        <w:tab/>
        <w:t>Некоторые эксперты также заявили, что имело место лишь ограниченное число аварий и что при авариях с цистернами, не обеспеченными защитой, не было зарегистрировано потери содержимого в результате повреждения оборудования. Вместе с тем для некоторых конкретных конструкций дополнительная защита может оказаться полезной, в то время как в других случаях оборудование защищено другими элементами, такими как шланговые барабаны или</w:t>
      </w:r>
      <w:r w:rsidRPr="00812343">
        <w:t xml:space="preserve"> </w:t>
      </w:r>
      <w:r>
        <w:t>всасывающие штанги.</w:t>
      </w:r>
    </w:p>
    <w:p w:rsidR="001E6F45" w:rsidRPr="00086CB2" w:rsidRDefault="001E6F45" w:rsidP="001E6F45">
      <w:pPr>
        <w:pStyle w:val="SingleTxtG"/>
      </w:pPr>
      <w:r>
        <w:t>19.</w:t>
      </w:r>
      <w:r>
        <w:tab/>
        <w:t>После обсуждения не удалось прийти к какому-либо выводу. В то же время было решено, что текст следует уточнить, с тем чтобы обеспечить единое толкование, и от имени Рабочей группы Соединенному Королевству было предложено представить для одной из будущих сессий пересмотренный документ с учетом высказанных замечаний.</w:t>
      </w:r>
    </w:p>
    <w:p w:rsidR="001E6F45" w:rsidRPr="00A878CB" w:rsidRDefault="001E6F45" w:rsidP="001E6F45">
      <w:pPr>
        <w:pStyle w:val="H23G"/>
      </w:pPr>
      <w:r>
        <w:rPr>
          <w:bCs/>
        </w:rPr>
        <w:tab/>
        <w:t>Пункт 6:</w:t>
      </w:r>
      <w:r>
        <w:t xml:space="preserve"> </w:t>
      </w:r>
      <w:r>
        <w:tab/>
      </w:r>
      <w:r>
        <w:rPr>
          <w:bCs/>
        </w:rPr>
        <w:t xml:space="preserve">Доклад о работе девятого совещания </w:t>
      </w:r>
      <w:r w:rsidR="00463453">
        <w:rPr>
          <w:bCs/>
        </w:rPr>
        <w:t>неофициальной рабочей группы по </w:t>
      </w:r>
      <w:r>
        <w:rPr>
          <w:bCs/>
        </w:rPr>
        <w:t>проверке и сертификации цистерн</w:t>
      </w:r>
      <w:r>
        <w:t xml:space="preserve"> </w:t>
      </w:r>
    </w:p>
    <w:p w:rsidR="001E6F45" w:rsidRPr="00A878CB" w:rsidRDefault="001E6F45" w:rsidP="001E6F45">
      <w:pPr>
        <w:pStyle w:val="SingleTxtG"/>
        <w:tabs>
          <w:tab w:val="left" w:pos="3119"/>
        </w:tabs>
      </w:pPr>
      <w:r>
        <w:rPr>
          <w:i/>
          <w:iCs/>
        </w:rPr>
        <w:t>Документ:</w:t>
      </w:r>
      <w:r>
        <w:tab/>
      </w:r>
      <w:r>
        <w:tab/>
      </w:r>
      <w:r>
        <w:tab/>
        <w:t xml:space="preserve">ECE/TRANS/WP.15/AC.1/2019/18 </w:t>
      </w:r>
      <w:r>
        <w:br/>
      </w:r>
      <w:r>
        <w:tab/>
      </w:r>
      <w:r>
        <w:tab/>
      </w:r>
      <w:r>
        <w:tab/>
        <w:t>(Соединенное Королевство)</w:t>
      </w:r>
    </w:p>
    <w:p w:rsidR="001E6F45" w:rsidRPr="00A878CB" w:rsidRDefault="001E6F45" w:rsidP="001E6F45">
      <w:pPr>
        <w:pStyle w:val="SingleTxtG"/>
        <w:tabs>
          <w:tab w:val="left" w:pos="3119"/>
        </w:tabs>
        <w:spacing w:after="0"/>
      </w:pPr>
      <w:r>
        <w:rPr>
          <w:i/>
          <w:iCs/>
        </w:rPr>
        <w:t>Неофициальные документы:</w:t>
      </w:r>
      <w:r>
        <w:t xml:space="preserve"> </w:t>
      </w:r>
      <w:r>
        <w:tab/>
        <w:t>INF.11, INF.12 и INF.13 (Соединенное Королевство)</w:t>
      </w:r>
    </w:p>
    <w:p w:rsidR="001E6F45" w:rsidRPr="00A878CB" w:rsidRDefault="001E6F45" w:rsidP="001E6F45">
      <w:pPr>
        <w:pStyle w:val="SingleTxtG"/>
        <w:tabs>
          <w:tab w:val="left" w:pos="3119"/>
        </w:tabs>
        <w:spacing w:after="0"/>
      </w:pPr>
      <w:r>
        <w:tab/>
      </w:r>
      <w:r>
        <w:tab/>
      </w:r>
      <w:r>
        <w:tab/>
        <w:t>INF.21 (Нидерланды)</w:t>
      </w:r>
    </w:p>
    <w:p w:rsidR="001E6F45" w:rsidRPr="00A878CB" w:rsidRDefault="001E6F45" w:rsidP="001E6F45">
      <w:pPr>
        <w:pStyle w:val="SingleTxtG"/>
        <w:tabs>
          <w:tab w:val="left" w:pos="3119"/>
        </w:tabs>
      </w:pPr>
      <w:r>
        <w:tab/>
      </w:r>
      <w:r>
        <w:tab/>
      </w:r>
      <w:r>
        <w:tab/>
        <w:t>INF.25 (Европейская комиссия)</w:t>
      </w:r>
    </w:p>
    <w:p w:rsidR="001E6F45" w:rsidRPr="00627CCC" w:rsidRDefault="001E6F45" w:rsidP="001E6F45">
      <w:pPr>
        <w:pStyle w:val="SingleTxtG"/>
        <w:rPr>
          <w:color w:val="222222"/>
        </w:rPr>
      </w:pPr>
      <w:r>
        <w:t>20.</w:t>
      </w:r>
      <w:r>
        <w:tab/>
        <w:t>Председатель неофициальной рабочей группы представил документы, подготовленные неофициальной рабочей группой. За время, прошедшее после последней сессии Совместного совещания, неофициальная рабочая группа провела два совещания, и доклады о работе этих совещаний содержатся в документе ECE/TRANS/WP.15/AC.1/2019/18 и неофициальном документе INF.11. Особое внимание было обращено на неофициальный документ INF.12, в приложении I к которому изложены основополагающие принципы, на базе которых проводилась работа. Вместе с тем было сочтено, что для обсуждения было бы полезно представить обзор основных целей проекта, а именно: выработать общий подход к взаимному признанию мер административного контроля и процедур оценки соответствия, сертификации официального утверждения типа и проверок, в соответствии с которым:</w:t>
      </w:r>
    </w:p>
    <w:p w:rsidR="001E6F45" w:rsidRPr="00627CCC" w:rsidRDefault="001E6F45" w:rsidP="001E6F45">
      <w:pPr>
        <w:pStyle w:val="SingleTxtG"/>
        <w:ind w:firstLine="567"/>
      </w:pPr>
      <w:r>
        <w:t>a)</w:t>
      </w:r>
      <w:r>
        <w:tab/>
        <w:t xml:space="preserve">проверяющие органы утверждаются </w:t>
      </w:r>
      <w:r w:rsidR="00463453">
        <w:t>в соответствии со стандартом EN </w:t>
      </w:r>
      <w:r>
        <w:t>ISO/IEC 17020 и могут быть признаны другими догова</w:t>
      </w:r>
      <w:r w:rsidR="00463453">
        <w:t>ривающимися государствами МПОГ/</w:t>
      </w:r>
      <w:r>
        <w:t>договаривающимися сторонами ДОПОГ;</w:t>
      </w:r>
    </w:p>
    <w:p w:rsidR="001E6F45" w:rsidRPr="00627CCC" w:rsidRDefault="001E6F45" w:rsidP="001E6F45">
      <w:pPr>
        <w:pStyle w:val="SingleTxtG"/>
        <w:ind w:firstLine="567"/>
      </w:pPr>
      <w:r>
        <w:t>b)</w:t>
      </w:r>
      <w:r>
        <w:tab/>
        <w:t>на такие органы прямо возлагается ответственность за проверку соответствия собранной цистерны независимо от того, где были изготовлены различные компоненты; и</w:t>
      </w:r>
    </w:p>
    <w:p w:rsidR="001E6F45" w:rsidRPr="00627CCC" w:rsidRDefault="001E6F45" w:rsidP="001E6F45">
      <w:pPr>
        <w:pStyle w:val="SingleTxtG"/>
        <w:ind w:firstLine="567"/>
      </w:pPr>
      <w:r>
        <w:t>c)</w:t>
      </w:r>
      <w:r>
        <w:tab/>
        <w:t>в определенных ситуациях для обеспечения выполнения требований МПОГ/ДОПОГ предусматривается проведение предэксплуатационной проверки.</w:t>
      </w:r>
    </w:p>
    <w:p w:rsidR="001E6F45" w:rsidRPr="00627CCC" w:rsidRDefault="001E6F45" w:rsidP="001E6F45">
      <w:pPr>
        <w:pStyle w:val="SingleTxtG"/>
      </w:pPr>
      <w:r>
        <w:t>21.</w:t>
      </w:r>
      <w:r>
        <w:tab/>
        <w:t>Было отмечено, что со времени проведения последней сессии неофициальной рабочей группы остался ряд вопросов и оговорок. Неофициальный документ INF.13 содержит полные переформулированные тексты разделов 1.8.6 и 1.8.7, а также поправки к главе 6.8. Рабочая группа по цистернам рассмотрела вопросы и оговорки, заключенные в квадратные скобки.</w:t>
      </w:r>
    </w:p>
    <w:p w:rsidR="001E6F45" w:rsidRPr="00627CCC" w:rsidRDefault="001E6F45" w:rsidP="001E6F45">
      <w:pPr>
        <w:pStyle w:val="SingleTxtG"/>
      </w:pPr>
      <w:r>
        <w:t>22.</w:t>
      </w:r>
      <w:r>
        <w:tab/>
        <w:t xml:space="preserve">В неофициальном документе INF.21 внимание было обращено на преимущества наличия национальной системы утверждения проверяющих органов. Эксперт от </w:t>
      </w:r>
      <w:r>
        <w:lastRenderedPageBreak/>
        <w:t xml:space="preserve">Нидерландов отметил, что системы, основанные на основополагающих требованиях стандарта ISO 17020, применяются в Нидерландах с очень хорошими результатами. </w:t>
      </w:r>
    </w:p>
    <w:p w:rsidR="001E6F45" w:rsidRPr="00627CCC" w:rsidRDefault="001E6F45" w:rsidP="001E6F45">
      <w:pPr>
        <w:pStyle w:val="SingleTxtG"/>
        <w:rPr>
          <w:color w:val="222222"/>
        </w:rPr>
      </w:pPr>
      <w:r>
        <w:t>23.</w:t>
      </w:r>
      <w:r>
        <w:tab/>
        <w:t>Представитель Европейской комиссии представил неофициальный документ INF.25, в котором был предложен ряд поправок, призванных содействовать обеспечению надлежащего выполнения «Директивы о переносном оборудовании, работающем под давлением» (директива 2010/35/EU)</w:t>
      </w:r>
      <w:r w:rsidRPr="0068483C">
        <w:rPr>
          <w:rStyle w:val="FootnoteReference"/>
        </w:rPr>
        <w:footnoteReference w:id="3"/>
      </w:r>
      <w:r>
        <w:t>. В частности, в результате обсуждения вопроса о национальной системе утверждения проверяющих органов была сформулирована следующая новая редакция пункта 1.8.6.2.1:</w:t>
      </w:r>
    </w:p>
    <w:p w:rsidR="001E6F45" w:rsidRPr="00627CCC" w:rsidRDefault="001E6F45" w:rsidP="001E6F45">
      <w:pPr>
        <w:pStyle w:val="SingleTxtG"/>
        <w:ind w:left="1701"/>
        <w:rPr>
          <w:i/>
          <w:iCs/>
        </w:rPr>
      </w:pPr>
      <w:r>
        <w:rPr>
          <w:i/>
          <w:iCs/>
        </w:rPr>
        <w:t>«В тех случаях, когда компетентный орган утверждает проверяющий орган, схема утверждения должна основываться на стандарте EN ISO/</w:t>
      </w:r>
      <w:r w:rsidR="00B704B4">
        <w:rPr>
          <w:i/>
          <w:iCs/>
        </w:rPr>
        <w:br/>
      </w:r>
      <w:r>
        <w:rPr>
          <w:i/>
          <w:iCs/>
        </w:rPr>
        <w:t>IEC 17020:2012 (за исключением пункта 8.1.3), тип А или тип В, если это разрешено в главе 6.2.</w:t>
      </w:r>
    </w:p>
    <w:p w:rsidR="001E6F45" w:rsidRPr="00627CCC" w:rsidRDefault="001E6F45" w:rsidP="001E6F45">
      <w:pPr>
        <w:pStyle w:val="SingleTxtG"/>
        <w:ind w:left="1701"/>
        <w:rPr>
          <w:i/>
          <w:iCs/>
        </w:rPr>
      </w:pPr>
      <w:r>
        <w:rPr>
          <w:i/>
          <w:iCs/>
        </w:rPr>
        <w:t>За исключением случаев, когда применяются пункты 6.2.2.11, 6.2.3.6 и TA4 и TT9 раздела 6.8.4, компетентные органы могут принять решение не использовать аккредитацию в соответствии со стандартом EN ISO/</w:t>
      </w:r>
      <w:r w:rsidR="00463453">
        <w:rPr>
          <w:i/>
          <w:iCs/>
        </w:rPr>
        <w:br/>
      </w:r>
      <w:r>
        <w:rPr>
          <w:i/>
          <w:iCs/>
        </w:rPr>
        <w:t>IEC 17020:2012.</w:t>
      </w:r>
      <w:r>
        <w:t xml:space="preserve"> </w:t>
      </w:r>
      <w:r>
        <w:rPr>
          <w:i/>
          <w:iCs/>
        </w:rPr>
        <w:t>В этих обстоятельствах компетентный орган должен представить все документальные доказательства, необходимые для проверки компетентности и независимости проверяющих органов в соответствии с пунктом 1.8.6.2.4.</w:t>
      </w:r>
    </w:p>
    <w:p w:rsidR="001E6F45" w:rsidRPr="00627CCC" w:rsidRDefault="001E6F45" w:rsidP="001E6F45">
      <w:pPr>
        <w:pStyle w:val="SingleTxtG"/>
        <w:ind w:left="1701"/>
        <w:rPr>
          <w:i/>
          <w:iCs/>
        </w:rPr>
      </w:pPr>
      <w:r>
        <w:rPr>
          <w:i/>
          <w:iCs/>
        </w:rPr>
        <w:t>В тех случаях, когда компетентный орган не утверждает проверяющие органы, но выполняет эти функции самостоятельно, компетентный орган должен соблюдать положения подраздела 1.8.6.3.».</w:t>
      </w:r>
    </w:p>
    <w:p w:rsidR="001E6F45" w:rsidRPr="00627CCC" w:rsidRDefault="001E6F45" w:rsidP="001E6F45">
      <w:pPr>
        <w:pStyle w:val="SingleTxtG"/>
      </w:pPr>
      <w:r>
        <w:t>24.</w:t>
      </w:r>
      <w:r>
        <w:tab/>
        <w:t>Проработав неофициальный документ INF.13 и вышеизложенный текст, эксперты Рабочей группы по цистернам сочли, что с технической точки зрения можно быть уверенным в том, что данные поправки будут эффективными. Некоторые формулировки потребовалось оставить в квадратных скобках в основном по причинам редакционного характера, хотя один вопрос, касающийся работы проверяющих органов на других территориях, еще предстоит обсудить.</w:t>
      </w:r>
    </w:p>
    <w:p w:rsidR="001E6F45" w:rsidRPr="00627CCC" w:rsidRDefault="001E6F45" w:rsidP="001E6F45">
      <w:pPr>
        <w:pStyle w:val="SingleTxtG"/>
      </w:pPr>
      <w:r>
        <w:t>25.</w:t>
      </w:r>
      <w:r>
        <w:tab/>
        <w:t>Кроме того, поскольку это был первый случай представления полного набора поправок, было сочтено, что последствия предложенной формулировки следует дополнительно рассмотреть на следующем совещании неофициальной рабочей группы, которое состоится в Лондоне 12–14 июня 2019 года. Делегатам предлагается рассмотреть эти предложения и представить замечания неофициальной рабочей группе в надлежащее время, с тем чтобы текст можно было окончательно доработать на указанном совещании и принять на осенней сессии Совместного совещания.</w:t>
      </w:r>
    </w:p>
    <w:p w:rsidR="001E6F45" w:rsidRPr="00627CCC" w:rsidRDefault="001E6F45" w:rsidP="001E6F45">
      <w:pPr>
        <w:pStyle w:val="H23G"/>
      </w:pPr>
      <w:r>
        <w:tab/>
      </w:r>
      <w:r>
        <w:rPr>
          <w:bCs/>
        </w:rPr>
        <w:t>Пункт 7:</w:t>
      </w:r>
      <w:r>
        <w:t xml:space="preserve"> </w:t>
      </w:r>
      <w:r>
        <w:tab/>
      </w:r>
      <w:r>
        <w:rPr>
          <w:bCs/>
        </w:rPr>
        <w:t xml:space="preserve">Перевозка цистерн, вагонов-батарей/транспортных средств-батарей </w:t>
      </w:r>
      <w:r>
        <w:rPr>
          <w:bCs/>
        </w:rPr>
        <w:br/>
        <w:t>и МЭГК после истечения срока действия промежуточной проверки</w:t>
      </w:r>
    </w:p>
    <w:p w:rsidR="001E6F45" w:rsidRPr="003602AF" w:rsidRDefault="001E6F45" w:rsidP="001E6F45">
      <w:pPr>
        <w:pStyle w:val="SingleTxtG"/>
        <w:tabs>
          <w:tab w:val="left" w:pos="3119"/>
        </w:tabs>
      </w:pPr>
      <w:r>
        <w:rPr>
          <w:i/>
          <w:iCs/>
        </w:rPr>
        <w:t>Документ:</w:t>
      </w:r>
      <w:r>
        <w:tab/>
      </w:r>
      <w:r>
        <w:tab/>
      </w:r>
      <w:r>
        <w:tab/>
        <w:t>ECE/TRANS/WP.15/AC.1/2019/19 (Польша)</w:t>
      </w:r>
    </w:p>
    <w:p w:rsidR="001E6F45" w:rsidRPr="00627CCC" w:rsidRDefault="001E6F45" w:rsidP="001E6F45">
      <w:pPr>
        <w:pStyle w:val="SingleTxtG"/>
      </w:pPr>
      <w:r>
        <w:t>26.</w:t>
      </w:r>
      <w:r>
        <w:tab/>
        <w:t>На сессии Совместного совещания в марте 2016 года была принята поправка к пункту 4.3.2.3.7, предусматривающая возможность перевозки в течение еще одного месяца после истечения срока следующей периодической проверки, если цистерна была заполнена до указанной даты. Однако данный вариант не был включен в положения, касающиеся промежуточной проверки</w:t>
      </w:r>
      <w:r w:rsidR="000721D4">
        <w:t>, хотя в соответствии с пунктом </w:t>
      </w:r>
      <w:r>
        <w:t>6.8.2.4.3 промежуточная проверка может проводиться в течение трех месяцев до или после указанной даты, т</w:t>
      </w:r>
      <w:r w:rsidR="00463453">
        <w:t>.</w:t>
      </w:r>
      <w:r>
        <w:t xml:space="preserve"> е</w:t>
      </w:r>
      <w:r w:rsidR="00463453">
        <w:t>.</w:t>
      </w:r>
      <w:r>
        <w:t xml:space="preserve"> добавляются три месяца.</w:t>
      </w:r>
    </w:p>
    <w:p w:rsidR="001E6F45" w:rsidRPr="00627CCC" w:rsidRDefault="001E6F45" w:rsidP="001E6F45">
      <w:pPr>
        <w:pStyle w:val="SingleTxtG"/>
      </w:pPr>
      <w:r>
        <w:t>27.</w:t>
      </w:r>
      <w:r>
        <w:tab/>
        <w:t xml:space="preserve">Польша предлагает поправки к пункту 4.3.2.3.7, разрешающие осуществлять перевозку, если цистерна наполнена до указанной даты промежуточной проверки (основанной на дате предыдущей проверки), в течение трех месяцев после этой даты, что позволяет использовать три месяца, предусмотренные в пункте 6.8.2.4.3. </w:t>
      </w:r>
    </w:p>
    <w:p w:rsidR="001E6F45" w:rsidRPr="00627CCC" w:rsidRDefault="001E6F45" w:rsidP="001E6F45">
      <w:pPr>
        <w:pStyle w:val="SingleTxtG"/>
      </w:pPr>
      <w:r>
        <w:t>28.</w:t>
      </w:r>
      <w:r>
        <w:tab/>
        <w:t xml:space="preserve">Состоялось обсуждение вопроса о точном значении формулировки «в течение трех месяцев до или после указанной даты» в первом абзаце пункта 6.8.2.4.3. Было </w:t>
      </w:r>
      <w:r>
        <w:lastRenderedPageBreak/>
        <w:t>указано, что смысл состоит в том, что промежуточные проверки могут проводиться в течение периода до трех месяцев после указанной даты, однако с указанной даты цистерна не может более использоваться для перевозки опасных грузов.</w:t>
      </w:r>
    </w:p>
    <w:p w:rsidR="001E6F45" w:rsidRPr="00627CCC" w:rsidRDefault="001E6F45" w:rsidP="001E6F45">
      <w:pPr>
        <w:pStyle w:val="SingleTxtG"/>
      </w:pPr>
      <w:r>
        <w:t>29.</w:t>
      </w:r>
      <w:r>
        <w:tab/>
        <w:t xml:space="preserve">Это предложение было в принципе принято, однако группа сочла, что его формулировку можно было бы дополнительно улучшить, и решила на данном этапе принять его в квадратных скобках до его редакционной проработки. </w:t>
      </w:r>
    </w:p>
    <w:p w:rsidR="001E6F45" w:rsidRPr="00627CCC" w:rsidRDefault="001E6F45" w:rsidP="001E6F45">
      <w:pPr>
        <w:pStyle w:val="H23G"/>
      </w:pPr>
      <w:r>
        <w:tab/>
      </w:r>
      <w:r>
        <w:tab/>
      </w:r>
      <w:r>
        <w:rPr>
          <w:bCs/>
        </w:rPr>
        <w:t>Предложение 3</w:t>
      </w:r>
      <w:r w:rsidR="00E126DC">
        <w:rPr>
          <w:bCs/>
        </w:rPr>
        <w:t>:</w:t>
      </w:r>
    </w:p>
    <w:p w:rsidR="001E6F45" w:rsidRPr="00627CCC" w:rsidRDefault="001E6F45" w:rsidP="001E6F45">
      <w:pPr>
        <w:spacing w:before="120" w:after="120"/>
        <w:ind w:left="1134" w:right="1134"/>
      </w:pPr>
      <w:r>
        <w:t xml:space="preserve">Изменить пункт 4.3.2.3.7 следующим образом (новый текст напечатан </w:t>
      </w:r>
      <w:r>
        <w:rPr>
          <w:b/>
          <w:bCs/>
        </w:rPr>
        <w:t xml:space="preserve">жирным шрифтом </w:t>
      </w:r>
      <w:r>
        <w:t xml:space="preserve">и </w:t>
      </w:r>
      <w:r>
        <w:rPr>
          <w:b/>
          <w:bCs/>
          <w:u w:val="single"/>
        </w:rPr>
        <w:t>подчеркнут</w:t>
      </w:r>
      <w:r>
        <w:t xml:space="preserve">, исключенный текст </w:t>
      </w:r>
      <w:r>
        <w:rPr>
          <w:strike/>
        </w:rPr>
        <w:t>зачеркнут</w:t>
      </w:r>
      <w:r>
        <w:t>):</w:t>
      </w:r>
    </w:p>
    <w:p w:rsidR="001E6F45" w:rsidRPr="00627CCC" w:rsidRDefault="001E6F45" w:rsidP="001E6F45">
      <w:pPr>
        <w:pStyle w:val="SingleTxtG"/>
        <w:ind w:left="1701"/>
      </w:pPr>
      <w:r>
        <w:t>«4.3.2.3.7</w:t>
      </w:r>
      <w:r>
        <w:tab/>
        <w:t xml:space="preserve">Вагоны-цистерны, съемные цистерны, вагоны-батареи (МПОГ)/ Встроенные цистерны (автоцистерны), съемные цистерны, транспортные средства-батареи (ДОПОГ), контейнеры-цистерны, съемные кузова-цистерны и МЭГК не могут наполняться или предъявляться к перевозке после </w:t>
      </w:r>
      <w:r>
        <w:rPr>
          <w:b/>
          <w:bCs/>
          <w:u w:val="single"/>
        </w:rPr>
        <w:t>указанной даты</w:t>
      </w:r>
      <w:r>
        <w:t xml:space="preserve"> </w:t>
      </w:r>
      <w:r>
        <w:rPr>
          <w:strike/>
        </w:rPr>
        <w:t>истечения сроков действия испытания или</w:t>
      </w:r>
      <w:r>
        <w:t xml:space="preserve"> проверки, </w:t>
      </w:r>
      <w:r>
        <w:rPr>
          <w:b/>
          <w:bCs/>
          <w:u w:val="single"/>
        </w:rPr>
        <w:t>предписанной</w:t>
      </w:r>
      <w:r>
        <w:t xml:space="preserve"> </w:t>
      </w:r>
      <w:r>
        <w:rPr>
          <w:strike/>
        </w:rPr>
        <w:t>предписанных</w:t>
      </w:r>
      <w:r>
        <w:t xml:space="preserve"> в пунктах 6.8.2.4.2, </w:t>
      </w:r>
      <w:r>
        <w:rPr>
          <w:b/>
          <w:bCs/>
          <w:u w:val="single"/>
        </w:rPr>
        <w:t>6.8.2.4.3,</w:t>
      </w:r>
      <w:r>
        <w:t xml:space="preserve"> 6.8.3.4.6 и 6.8.3.4.12.</w:t>
      </w:r>
    </w:p>
    <w:p w:rsidR="001E6F45" w:rsidRPr="00627CCC" w:rsidRDefault="001E6F45" w:rsidP="001E6F45">
      <w:pPr>
        <w:pStyle w:val="SingleTxtG"/>
        <w:ind w:left="1701"/>
      </w:pPr>
      <w:r>
        <w:t xml:space="preserve">Однако вагоны-цистерны, съемные цистерны, вагоны-батареи (МПОГ)/встроенные цистерны (автоцистерны), съемные цистерны, транспортные средства-батареи (ДОПОГ), контейнеры-цистерны, съемные кузова-цистерны и МЭГК, наполненные до </w:t>
      </w:r>
      <w:r>
        <w:rPr>
          <w:b/>
          <w:bCs/>
          <w:u w:val="single"/>
        </w:rPr>
        <w:t>указанной</w:t>
      </w:r>
      <w:r>
        <w:t xml:space="preserve"> даты </w:t>
      </w:r>
      <w:r>
        <w:rPr>
          <w:strike/>
        </w:rPr>
        <w:t>истечения срока действия</w:t>
      </w:r>
      <w:r>
        <w:t xml:space="preserve"> последней </w:t>
      </w:r>
      <w:r>
        <w:rPr>
          <w:strike/>
        </w:rPr>
        <w:t>периодической</w:t>
      </w:r>
      <w:r>
        <w:t xml:space="preserve"> проверки, могут перевозиться:</w:t>
      </w:r>
    </w:p>
    <w:p w:rsidR="001E6F45" w:rsidRPr="00627CCC" w:rsidRDefault="001E6F45" w:rsidP="001E6F45">
      <w:pPr>
        <w:pStyle w:val="SingleTxtG"/>
        <w:ind w:left="2268" w:hanging="567"/>
      </w:pPr>
      <w:r>
        <w:t>a)</w:t>
      </w:r>
      <w:r>
        <w:tab/>
        <w:t xml:space="preserve">в течение периода, не превышающего одного месяца, после </w:t>
      </w:r>
      <w:r>
        <w:rPr>
          <w:b/>
          <w:bCs/>
          <w:u w:val="single"/>
        </w:rPr>
        <w:t>указанной даты</w:t>
      </w:r>
      <w:r>
        <w:t xml:space="preserve"> </w:t>
      </w:r>
      <w:r>
        <w:rPr>
          <w:strike/>
        </w:rPr>
        <w:t>истечения данного срока действия</w:t>
      </w:r>
      <w:r>
        <w:t xml:space="preserve"> </w:t>
      </w:r>
      <w:r>
        <w:rPr>
          <w:b/>
          <w:bCs/>
          <w:u w:val="single"/>
        </w:rPr>
        <w:t>последней периодической проверки</w:t>
      </w:r>
      <w:r>
        <w:t>;</w:t>
      </w:r>
    </w:p>
    <w:p w:rsidR="001E6F45" w:rsidRPr="003602AF" w:rsidRDefault="001E6F45" w:rsidP="001E6F45">
      <w:pPr>
        <w:pStyle w:val="SingleTxtG"/>
        <w:ind w:left="2268" w:hanging="567"/>
      </w:pPr>
      <w:r>
        <w:t>b)</w:t>
      </w:r>
      <w:r>
        <w:tab/>
        <w:t xml:space="preserve">если компетентным органом не предписано иное, в течение периода, не превышающего трех месяцев, после </w:t>
      </w:r>
      <w:r>
        <w:rPr>
          <w:b/>
          <w:bCs/>
          <w:u w:val="single"/>
        </w:rPr>
        <w:t>указанной даты</w:t>
      </w:r>
      <w:r>
        <w:t xml:space="preserve"> </w:t>
      </w:r>
      <w:r>
        <w:rPr>
          <w:strike/>
        </w:rPr>
        <w:t>истечения данного срока действия</w:t>
      </w:r>
      <w:r>
        <w:t xml:space="preserve"> </w:t>
      </w:r>
      <w:r>
        <w:rPr>
          <w:b/>
          <w:bCs/>
          <w:u w:val="single"/>
        </w:rPr>
        <w:t>последней периодической проверки</w:t>
      </w:r>
      <w:r>
        <w:t xml:space="preserve"> с целью возвращения опасных грузов для их надлежащей утилизации или переработки. Информация об освобождении от действия </w:t>
      </w:r>
      <w:r>
        <w:rPr>
          <w:b/>
          <w:bCs/>
          <w:u w:val="single"/>
        </w:rPr>
        <w:t>данного</w:t>
      </w:r>
      <w:r>
        <w:t xml:space="preserve"> </w:t>
      </w:r>
      <w:r>
        <w:rPr>
          <w:strike/>
        </w:rPr>
        <w:t>соответствующего</w:t>
      </w:r>
      <w:r>
        <w:t xml:space="preserve"> требования заносится в транспортный документ</w:t>
      </w:r>
      <w:r>
        <w:rPr>
          <w:strike/>
        </w:rPr>
        <w:t>.</w:t>
      </w:r>
      <w:r>
        <w:t>;</w:t>
      </w:r>
    </w:p>
    <w:p w:rsidR="001E6F45" w:rsidRPr="00627CCC" w:rsidRDefault="001E6F45" w:rsidP="001E6F45">
      <w:pPr>
        <w:pStyle w:val="SingleTxtG"/>
        <w:ind w:left="2268" w:hanging="567"/>
      </w:pPr>
      <w:r>
        <w:rPr>
          <w:b/>
          <w:bCs/>
          <w:u w:val="single"/>
        </w:rPr>
        <w:t>c)</w:t>
      </w:r>
      <w:r w:rsidRPr="00C928AB">
        <w:rPr>
          <w:u w:val="single"/>
        </w:rPr>
        <w:tab/>
      </w:r>
      <w:r>
        <w:rPr>
          <w:b/>
          <w:bCs/>
          <w:u w:val="single"/>
        </w:rPr>
        <w:t>в течение периода, не превышающего трех месяцев, после указанной даты промежуточной проверки, как указано в пункте 6.8.2.4.3</w:t>
      </w:r>
      <w:r>
        <w:t>.»].</w:t>
      </w:r>
    </w:p>
    <w:p w:rsidR="001E6F45" w:rsidRPr="00627CCC" w:rsidRDefault="001E6F45" w:rsidP="001E6F45">
      <w:pPr>
        <w:pStyle w:val="H23G"/>
      </w:pPr>
      <w:r>
        <w:tab/>
      </w:r>
      <w:r>
        <w:rPr>
          <w:bCs/>
        </w:rPr>
        <w:t>Пункт 8:</w:t>
      </w:r>
      <w:r>
        <w:tab/>
      </w:r>
      <w:r>
        <w:rPr>
          <w:bCs/>
        </w:rPr>
        <w:t>Испытания предохранительных клапанов автоцистерн для перевозки сжиженного нефтяного газа (СНГ), проводимые во время промежуточных проверок</w:t>
      </w:r>
    </w:p>
    <w:p w:rsidR="001E6F45" w:rsidRPr="00627CCC" w:rsidRDefault="001E6F45" w:rsidP="001E6F45">
      <w:pPr>
        <w:pStyle w:val="SingleTxtG"/>
        <w:tabs>
          <w:tab w:val="left" w:pos="3119"/>
        </w:tabs>
      </w:pPr>
      <w:r>
        <w:rPr>
          <w:i/>
          <w:iCs/>
        </w:rPr>
        <w:t>Неофициальный документ:</w:t>
      </w:r>
      <w:r>
        <w:tab/>
        <w:t>INF.5 (Соединенное Королевство)</w:t>
      </w:r>
    </w:p>
    <w:p w:rsidR="001E6F45" w:rsidRPr="00627CCC" w:rsidRDefault="001E6F45" w:rsidP="001E6F45">
      <w:pPr>
        <w:pStyle w:val="SingleTxtG"/>
      </w:pPr>
      <w:r>
        <w:t>30.</w:t>
      </w:r>
      <w:r>
        <w:tab/>
        <w:t>Рабочая группа по цистернам был</w:t>
      </w:r>
      <w:r w:rsidR="00463453">
        <w:t>а</w:t>
      </w:r>
      <w:r>
        <w:t xml:space="preserve"> проинформирован</w:t>
      </w:r>
      <w:r w:rsidR="00463453">
        <w:t>а</w:t>
      </w:r>
      <w:r>
        <w:t xml:space="preserve"> о предварительных результатах, полученных в рамках программы испытаний предохранительных клапанов автоцистерн для перевозки СНГ, осуществляемой в Соединенном Королевстве. Целью данной программы испытаний является создание доказательной базы, которая позволит проверяющим органам в ходе промежуточных проверок обосновывать не физические испытания предохранительных клапанов (в соответствии с требованиями стандарта EN 12972:2007 и 2018), а проверку документации или маркировки с указанием установленных давлений таких клапанов (разрешенную согласно стандарту EN 14334:2014). В ходе осуществления этой программы испытаний к настоящему времени было испытано 145 клапанов, лишь один из которых продемонстрировал отклонение давления открытия. Этот оставшийся клапан открылся (и вновь закрылся) при давлении ниже его установленного давления,</w:t>
      </w:r>
      <w:r w:rsidRPr="00EB0370">
        <w:t xml:space="preserve"> </w:t>
      </w:r>
      <w:r>
        <w:t>указанного в маркировке, и причиной этого считается то, что данный клапан был неправильно отрегулирован перед установкой. Помимо этого, все функционировало надлежащим образом.</w:t>
      </w:r>
    </w:p>
    <w:p w:rsidR="001E6F45" w:rsidRPr="00627CCC" w:rsidRDefault="001E6F45" w:rsidP="001E6F45">
      <w:pPr>
        <w:pStyle w:val="SingleTxtG"/>
      </w:pPr>
      <w:r>
        <w:t>31.</w:t>
      </w:r>
      <w:r>
        <w:tab/>
        <w:t xml:space="preserve">Рабочая группа поблагодарила Соединенное Королевство за представленную информацию. Было отмечено, что цистерны, изготовленные в соответствии со </w:t>
      </w:r>
      <w:r>
        <w:lastRenderedPageBreak/>
        <w:t>стандартом EN 12493, могут проверяться на основе стандарта EN 14334, который допускает проведение визуальной проверки предохранительного клапана.</w:t>
      </w:r>
    </w:p>
    <w:p w:rsidR="001E6F45" w:rsidRPr="00627CCC" w:rsidRDefault="001E6F45" w:rsidP="001E6F45">
      <w:pPr>
        <w:pStyle w:val="H23G"/>
      </w:pPr>
      <w:r>
        <w:tab/>
      </w:r>
      <w:r>
        <w:rPr>
          <w:bCs/>
        </w:rPr>
        <w:t>Пункт 9:</w:t>
      </w:r>
      <w:r>
        <w:t xml:space="preserve"> </w:t>
      </w:r>
      <w:r>
        <w:tab/>
      </w:r>
      <w:r>
        <w:rPr>
          <w:bCs/>
        </w:rPr>
        <w:t xml:space="preserve">Официальное утверждение переносных цистерн в качестве </w:t>
      </w:r>
      <w:r w:rsidR="00B704B4">
        <w:rPr>
          <w:bCs/>
        </w:rPr>
        <w:br/>
      </w:r>
      <w:r>
        <w:rPr>
          <w:bCs/>
        </w:rPr>
        <w:t>контейнеров-цистерн</w:t>
      </w:r>
    </w:p>
    <w:p w:rsidR="001E6F45" w:rsidRPr="00627CCC" w:rsidRDefault="001E6F45" w:rsidP="00B704B4">
      <w:pPr>
        <w:pStyle w:val="SingleTxtG"/>
        <w:tabs>
          <w:tab w:val="left" w:pos="3119"/>
          <w:tab w:val="left" w:pos="3969"/>
        </w:tabs>
      </w:pPr>
      <w:r>
        <w:rPr>
          <w:i/>
          <w:iCs/>
        </w:rPr>
        <w:t>Неофициальный документ:</w:t>
      </w:r>
      <w:r>
        <w:tab/>
        <w:t>INF.14 (Нидерланды)</w:t>
      </w:r>
    </w:p>
    <w:p w:rsidR="001E6F45" w:rsidRPr="00627CCC" w:rsidRDefault="001E6F45" w:rsidP="001E6F45">
      <w:pPr>
        <w:pStyle w:val="SingleTxtG"/>
      </w:pPr>
      <w:r>
        <w:t>32.</w:t>
      </w:r>
      <w:r>
        <w:tab/>
        <w:t xml:space="preserve">Выдвигаются доводы в пользу того, что официальное утверждение переносных цистерн в качестве контейнеров-цистерн может вводить в заблуждение проверяющие органы, пользователей и правоохранительные органы, повышая тем самым риск возникновения опасных ситуаций. Однако представители промышленности высказали мнение, что двойное официальное утверждение имеет определенные преимущества (см. пункт 33) и что, когда преимущества, связанные с получением официального утверждения в качестве контейнера-цистерны, будут применяться также к переносным цистернам (см. пункт 34), практика двойного официального утверждения прекратится. </w:t>
      </w:r>
    </w:p>
    <w:p w:rsidR="001E6F45" w:rsidRPr="003602AF" w:rsidRDefault="001E6F45" w:rsidP="001E6F45">
      <w:pPr>
        <w:pStyle w:val="SingleTxtG"/>
      </w:pPr>
      <w:r>
        <w:t>33.</w:t>
      </w:r>
      <w:r>
        <w:tab/>
        <w:t xml:space="preserve">Были представлены следующие аргументы в пользу двойного официального утверждения: отсутствие инструкции по переносным цистернам для позиций, имеющих код цистерны; допущение нижнего слива для контейнеров-цистерн, в то время как для переносных цистерн предписан верхний слив; и более высокая степень наполнения контейнеров-цистерн. </w:t>
      </w:r>
    </w:p>
    <w:p w:rsidR="001E6F45" w:rsidRPr="00627CCC" w:rsidRDefault="001E6F45" w:rsidP="001E6F45">
      <w:pPr>
        <w:pStyle w:val="SingleTxtG"/>
      </w:pPr>
      <w:r>
        <w:t>34.</w:t>
      </w:r>
      <w:r>
        <w:tab/>
        <w:t xml:space="preserve">Эксперт от Нидерландов пояснил, что одним из вариантов могло бы стать включение в таблицу А главы 3.2 дополнительных инструкций по переносным цистернам, которые были бы применимы только для внутреннего транспорта и были бы четко различимы как таковые. Точно так же можно было бы ввести специальное положение или специальные положения, которые предусматривали бы такую же степень наполнения, как и для контейнеров-цистерн, и были бы четко распознаваемы как применимые только для внутреннего транспорта. Вместе с тем было отмечено, что формирование упорядоченной системы инструкций по цистернам для достижения этой цели потребует большой работы и что для продвижения вперед в этом направлении необходимо принципиальное согласие. </w:t>
      </w:r>
    </w:p>
    <w:p w:rsidR="001E6F45" w:rsidRPr="00627CCC" w:rsidRDefault="001E6F45" w:rsidP="001E6F45">
      <w:pPr>
        <w:pStyle w:val="SingleTxtG"/>
        <w:rPr>
          <w:b/>
        </w:rPr>
      </w:pPr>
      <w:r>
        <w:t>35.</w:t>
      </w:r>
      <w:r>
        <w:tab/>
        <w:t>Несколько экспертов сочли, что такой подход позволил бы добиться положительных результатов в предотвращении выдачи двойных официальных утверждений. Большинство делегаций высказали мнение, что больше не следует выдавать двойные официальные утверждения. Затем было решено, что продолжать осуществление этого проекта нет необходимости.</w:t>
      </w:r>
    </w:p>
    <w:p w:rsidR="001E6F45" w:rsidRPr="00627CCC" w:rsidRDefault="001E6F45" w:rsidP="001E6F45">
      <w:pPr>
        <w:pStyle w:val="H23G"/>
      </w:pPr>
      <w:r>
        <w:tab/>
      </w:r>
      <w:r>
        <w:rPr>
          <w:bCs/>
        </w:rPr>
        <w:t>Пункт 10:</w:t>
      </w:r>
      <w:r>
        <w:t xml:space="preserve"> </w:t>
      </w:r>
      <w:r>
        <w:tab/>
      </w:r>
      <w:r>
        <w:rPr>
          <w:bCs/>
        </w:rPr>
        <w:t>Толкование требований стандарта EN 14025: минимальный диаметр люков</w:t>
      </w:r>
      <w:r w:rsidR="000721D4">
        <w:rPr>
          <w:bCs/>
        </w:rPr>
        <w:t xml:space="preserve"> в </w:t>
      </w:r>
      <w:r>
        <w:rPr>
          <w:bCs/>
        </w:rPr>
        <w:t>цистернах</w:t>
      </w:r>
    </w:p>
    <w:p w:rsidR="001E6F45" w:rsidRPr="00F90E4A" w:rsidRDefault="001E6F45" w:rsidP="001E6F45">
      <w:pPr>
        <w:pStyle w:val="SingleTxtG"/>
        <w:tabs>
          <w:tab w:val="left" w:pos="3119"/>
        </w:tabs>
      </w:pPr>
      <w:r>
        <w:rPr>
          <w:i/>
          <w:iCs/>
        </w:rPr>
        <w:t>Неофициальный документ:</w:t>
      </w:r>
      <w:r>
        <w:tab/>
        <w:t>INF.16 (МСАГВ)</w:t>
      </w:r>
    </w:p>
    <w:p w:rsidR="001E6F45" w:rsidRPr="00627CCC" w:rsidRDefault="001E6F45" w:rsidP="001E6F45">
      <w:pPr>
        <w:pStyle w:val="SingleTxtG"/>
      </w:pPr>
      <w:r>
        <w:t>36.</w:t>
      </w:r>
      <w:r>
        <w:tab/>
        <w:t xml:space="preserve"> Стандарт EN 14025 требует, чтобы диаметр люков в цист</w:t>
      </w:r>
      <w:r w:rsidR="000721D4">
        <w:t>ернах составлял не </w:t>
      </w:r>
      <w:r>
        <w:t xml:space="preserve">менее 500 мм. Однако ссылка на стандарт EN 12561, содержащаяся в </w:t>
      </w:r>
      <w:r w:rsidR="000721D4">
        <w:br/>
      </w:r>
      <w:r>
        <w:t>стандарте EN 14025:2008, позволяет использовать стандартные фланцы с внешним диаметром немногим более 500 мм, но внутренним диаметром 492 мм с учетом толщины стенки. В прошлом вагоны-цистерны строились с люками, снабженными такими стандартными фланцами, но поскольку данная ссылка больше не включена в стандарт EN 14025, то обсуждается вопрос о том, можно ли по-прежнему использовать стандартные фланцы с внутренним диаметром 492 мм.</w:t>
      </w:r>
    </w:p>
    <w:p w:rsidR="001E6F45" w:rsidRPr="00627CCC" w:rsidRDefault="001E6F45" w:rsidP="001E6F45">
      <w:pPr>
        <w:pStyle w:val="SingleTxtG"/>
      </w:pPr>
      <w:r>
        <w:t>37.</w:t>
      </w:r>
      <w:r>
        <w:tab/>
        <w:t>Было заявлено, что необходимо соблюдать</w:t>
      </w:r>
      <w:r w:rsidR="00B704B4">
        <w:t xml:space="preserve"> минимальный внутренний диаметр </w:t>
      </w:r>
      <w:r>
        <w:t>500 мм. Было указано, что в этом случае может потребоваться переходная мера для вагонов-цистерн, построенных в соответствии со стандартом EN 14025:2008.</w:t>
      </w:r>
    </w:p>
    <w:p w:rsidR="001E6F45" w:rsidRPr="00627CCC" w:rsidRDefault="001E6F45" w:rsidP="000721D4">
      <w:pPr>
        <w:pStyle w:val="H23G"/>
        <w:pageBreakBefore/>
      </w:pPr>
      <w:r>
        <w:lastRenderedPageBreak/>
        <w:tab/>
      </w:r>
      <w:r>
        <w:rPr>
          <w:bCs/>
        </w:rPr>
        <w:t>Пункт 11:</w:t>
      </w:r>
      <w:r>
        <w:t xml:space="preserve"> </w:t>
      </w:r>
      <w:r>
        <w:tab/>
      </w:r>
      <w:r>
        <w:rPr>
          <w:bCs/>
        </w:rPr>
        <w:t>Пункт 6.9.1.3 МПОГ/ДОПОГ: нагрева</w:t>
      </w:r>
      <w:r w:rsidR="007A0D89">
        <w:rPr>
          <w:bCs/>
        </w:rPr>
        <w:t>тельные элементы для цистерн из </w:t>
      </w:r>
      <w:r>
        <w:rPr>
          <w:bCs/>
        </w:rPr>
        <w:t>армированны</w:t>
      </w:r>
      <w:r w:rsidR="000721D4">
        <w:rPr>
          <w:bCs/>
        </w:rPr>
        <w:t>х в</w:t>
      </w:r>
      <w:r w:rsidR="007A0D89">
        <w:rPr>
          <w:bCs/>
        </w:rPr>
        <w:t>олокном пластмасс (</w:t>
      </w:r>
      <w:proofErr w:type="spellStart"/>
      <w:r w:rsidR="007A0D89">
        <w:rPr>
          <w:bCs/>
        </w:rPr>
        <w:t>волокнита</w:t>
      </w:r>
      <w:proofErr w:type="spellEnd"/>
      <w:r w:rsidR="007A0D89">
        <w:rPr>
          <w:bCs/>
        </w:rPr>
        <w:t>)</w:t>
      </w:r>
    </w:p>
    <w:p w:rsidR="001E6F45" w:rsidRPr="00627CCC" w:rsidRDefault="001E6F45" w:rsidP="001E6F45">
      <w:pPr>
        <w:pStyle w:val="SingleTxtG"/>
        <w:tabs>
          <w:tab w:val="left" w:pos="3119"/>
        </w:tabs>
      </w:pPr>
      <w:r>
        <w:rPr>
          <w:i/>
          <w:iCs/>
        </w:rPr>
        <w:t>Неофициальный документ:</w:t>
      </w:r>
      <w:r>
        <w:tab/>
        <w:t>INF.19 (Германия)</w:t>
      </w:r>
    </w:p>
    <w:p w:rsidR="001E6F45" w:rsidRDefault="001E6F45" w:rsidP="001E6F45">
      <w:pPr>
        <w:pStyle w:val="SingleTxtG"/>
      </w:pPr>
      <w:r>
        <w:t>38.</w:t>
      </w:r>
      <w:r>
        <w:tab/>
        <w:t xml:space="preserve">Германия запросила разъяснение относительно того, разрешено ли использовать нагревательные элементы на цистернах из </w:t>
      </w:r>
      <w:proofErr w:type="spellStart"/>
      <w:r>
        <w:t>волокнита</w:t>
      </w:r>
      <w:proofErr w:type="spellEnd"/>
      <w:r>
        <w:t>. Несмотря на то, что в текстах на английском и французском языках формулировка пункта 6.9.1.3 гласит, что «для цистерн из волокнита не должны использоваться нагревательные элементы», как это указано в главе, посвященной конструкции и изготовлению этих цистерн, большинство участников высказали мнение, что такие цистерны не должны быть оснащены нагревательными элементами.</w:t>
      </w:r>
    </w:p>
    <w:p w:rsidR="001E6F45" w:rsidRPr="001E6F45" w:rsidRDefault="001E6F45" w:rsidP="001E6F4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E6F45" w:rsidRPr="001E6F45" w:rsidSect="001E6F4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22E" w:rsidRPr="00A312BC" w:rsidRDefault="0062022E" w:rsidP="00A312BC"/>
  </w:endnote>
  <w:endnote w:type="continuationSeparator" w:id="0">
    <w:p w:rsidR="0062022E" w:rsidRPr="00A312BC" w:rsidRDefault="0062022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F45" w:rsidRPr="001E6F45" w:rsidRDefault="001E6F45">
    <w:pPr>
      <w:pStyle w:val="Footer"/>
    </w:pPr>
    <w:r w:rsidRPr="001E6F45">
      <w:rPr>
        <w:b/>
        <w:sz w:val="18"/>
      </w:rPr>
      <w:fldChar w:fldCharType="begin"/>
    </w:r>
    <w:r w:rsidRPr="001E6F45">
      <w:rPr>
        <w:b/>
        <w:sz w:val="18"/>
      </w:rPr>
      <w:instrText xml:space="preserve"> PAGE  \* MERGEFORMAT </w:instrText>
    </w:r>
    <w:r w:rsidRPr="001E6F45">
      <w:rPr>
        <w:b/>
        <w:sz w:val="18"/>
      </w:rPr>
      <w:fldChar w:fldCharType="separate"/>
    </w:r>
    <w:r w:rsidR="00BB4AE2">
      <w:rPr>
        <w:b/>
        <w:noProof/>
        <w:sz w:val="18"/>
      </w:rPr>
      <w:t>10</w:t>
    </w:r>
    <w:r w:rsidRPr="001E6F45">
      <w:rPr>
        <w:b/>
        <w:sz w:val="18"/>
      </w:rPr>
      <w:fldChar w:fldCharType="end"/>
    </w:r>
    <w:r>
      <w:rPr>
        <w:b/>
        <w:sz w:val="18"/>
      </w:rPr>
      <w:tab/>
    </w:r>
    <w:r>
      <w:t>GE.19-06323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F45" w:rsidRPr="001E6F45" w:rsidRDefault="001E6F45" w:rsidP="001E6F45">
    <w:pPr>
      <w:pStyle w:val="Footer"/>
      <w:tabs>
        <w:tab w:val="clear" w:pos="9639"/>
        <w:tab w:val="right" w:pos="9638"/>
      </w:tabs>
      <w:rPr>
        <w:b/>
        <w:sz w:val="18"/>
      </w:rPr>
    </w:pPr>
    <w:r>
      <w:t>GE.19-06323</w:t>
    </w:r>
    <w:r>
      <w:tab/>
    </w:r>
    <w:r w:rsidRPr="001E6F45">
      <w:rPr>
        <w:b/>
        <w:sz w:val="18"/>
      </w:rPr>
      <w:fldChar w:fldCharType="begin"/>
    </w:r>
    <w:r w:rsidRPr="001E6F45">
      <w:rPr>
        <w:b/>
        <w:sz w:val="18"/>
      </w:rPr>
      <w:instrText xml:space="preserve"> PAGE  \* MERGEFORMAT </w:instrText>
    </w:r>
    <w:r w:rsidRPr="001E6F45">
      <w:rPr>
        <w:b/>
        <w:sz w:val="18"/>
      </w:rPr>
      <w:fldChar w:fldCharType="separate"/>
    </w:r>
    <w:r w:rsidR="00BB4AE2">
      <w:rPr>
        <w:b/>
        <w:noProof/>
        <w:sz w:val="18"/>
      </w:rPr>
      <w:t>9</w:t>
    </w:r>
    <w:r w:rsidRPr="001E6F4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1E6F45" w:rsidRDefault="001E6F45" w:rsidP="001E6F4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06323  (</w:t>
    </w:r>
    <w:proofErr w:type="gramEnd"/>
    <w:r>
      <w:t>R)</w:t>
    </w:r>
    <w:r w:rsidR="00463453">
      <w:rPr>
        <w:lang w:val="en-US"/>
      </w:rPr>
      <w:t xml:space="preserve">  170519  20</w:t>
    </w:r>
    <w:r>
      <w:rPr>
        <w:lang w:val="en-US"/>
      </w:rPr>
      <w:t>0519</w:t>
    </w:r>
    <w:r>
      <w:br/>
    </w:r>
    <w:r w:rsidRPr="001E6F45">
      <w:rPr>
        <w:rFonts w:ascii="C39T30Lfz" w:hAnsi="C39T30Lfz"/>
        <w:kern w:val="14"/>
        <w:sz w:val="56"/>
      </w:rPr>
      <w:t></w:t>
    </w:r>
    <w:r w:rsidRPr="001E6F45">
      <w:rPr>
        <w:rFonts w:ascii="C39T30Lfz" w:hAnsi="C39T30Lfz"/>
        <w:kern w:val="14"/>
        <w:sz w:val="56"/>
      </w:rPr>
      <w:t></w:t>
    </w:r>
    <w:r w:rsidRPr="001E6F45">
      <w:rPr>
        <w:rFonts w:ascii="C39T30Lfz" w:hAnsi="C39T30Lfz"/>
        <w:kern w:val="14"/>
        <w:sz w:val="56"/>
      </w:rPr>
      <w:t></w:t>
    </w:r>
    <w:r w:rsidRPr="001E6F45">
      <w:rPr>
        <w:rFonts w:ascii="C39T30Lfz" w:hAnsi="C39T30Lfz"/>
        <w:kern w:val="14"/>
        <w:sz w:val="56"/>
      </w:rPr>
      <w:t></w:t>
    </w:r>
    <w:r w:rsidRPr="001E6F45">
      <w:rPr>
        <w:rFonts w:ascii="C39T30Lfz" w:hAnsi="C39T30Lfz"/>
        <w:kern w:val="14"/>
        <w:sz w:val="56"/>
      </w:rPr>
      <w:t></w:t>
    </w:r>
    <w:r w:rsidRPr="001E6F45">
      <w:rPr>
        <w:rFonts w:ascii="C39T30Lfz" w:hAnsi="C39T30Lfz"/>
        <w:kern w:val="14"/>
        <w:sz w:val="56"/>
      </w:rPr>
      <w:t></w:t>
    </w:r>
    <w:r w:rsidRPr="001E6F45">
      <w:rPr>
        <w:rFonts w:ascii="C39T30Lfz" w:hAnsi="C39T30Lfz"/>
        <w:kern w:val="14"/>
        <w:sz w:val="56"/>
      </w:rPr>
      <w:t></w:t>
    </w:r>
    <w:r w:rsidRPr="001E6F45">
      <w:rPr>
        <w:rFonts w:ascii="C39T30Lfz" w:hAnsi="C39T30Lfz"/>
        <w:kern w:val="14"/>
        <w:sz w:val="56"/>
      </w:rPr>
      <w:t></w:t>
    </w:r>
    <w:r w:rsidRPr="001E6F45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154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154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22E" w:rsidRPr="001075E9" w:rsidRDefault="0062022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2022E" w:rsidRDefault="0062022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E6F45" w:rsidRPr="00EA19F1" w:rsidRDefault="001E6F45" w:rsidP="001E6F45">
      <w:pPr>
        <w:pStyle w:val="FootnoteText"/>
      </w:pPr>
      <w:r>
        <w:tab/>
      </w:r>
      <w:r w:rsidRPr="001E6F45">
        <w:rPr>
          <w:sz w:val="20"/>
        </w:rPr>
        <w:t>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OTIF/RID/RC/2019-А. Если не указано иное, другие документы, упоминаемые в настоящем докладе под условным обозначением ECE/TRANS/WP.15/AC.1/, после которого указаны год и порядковый номер, были распространены ОТИФ под условным обозначением OTIF/RID/RC/, после которого указаны год и тот же порядковый номер.</w:t>
      </w:r>
    </w:p>
  </w:footnote>
  <w:footnote w:id="2">
    <w:p w:rsidR="001E6F45" w:rsidRPr="00EA19F1" w:rsidRDefault="001E6F45" w:rsidP="001E6F45">
      <w:pPr>
        <w:pStyle w:val="FootnoteText"/>
      </w:pPr>
      <w:r>
        <w:tab/>
      </w:r>
      <w:r w:rsidRPr="001E6F45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OTIF/RID/RC/2019-A/Add.1.</w:t>
      </w:r>
    </w:p>
  </w:footnote>
  <w:footnote w:id="3">
    <w:p w:rsidR="001E6F45" w:rsidRPr="00627CCC" w:rsidRDefault="001E6F45" w:rsidP="001E6F45">
      <w:pPr>
        <w:pStyle w:val="FootnoteText"/>
      </w:pPr>
      <w:r>
        <w:tab/>
      </w:r>
      <w:r w:rsidRPr="0068483C">
        <w:rPr>
          <w:rStyle w:val="FootnoteReference"/>
          <w:sz w:val="20"/>
        </w:rPr>
        <w:footnoteRef/>
      </w:r>
      <w:r>
        <w:t xml:space="preserve"> </w:t>
      </w:r>
      <w:r>
        <w:tab/>
      </w:r>
      <w:hyperlink r:id="rId1" w:history="1">
        <w:r w:rsidRPr="001E6F45">
          <w:rPr>
            <w:rStyle w:val="Hyperlink"/>
            <w:color w:val="auto"/>
          </w:rPr>
          <w:t>https://eur-lex.europa.eu/legal-content/EN/TXT/?uri=CELEX:32010L0035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F45" w:rsidRPr="001E6F45" w:rsidRDefault="006E3BE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B4AE2">
      <w:t>ECE/TRANS/WP.15/AC.1/154/Add.1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F45" w:rsidRPr="001E6F45" w:rsidRDefault="006E3BED" w:rsidP="001E6F4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B4AE2">
      <w:t>ECE/TRANS/WP.15/AC.1/154/Add.1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00401"/>
    <w:multiLevelType w:val="hybridMultilevel"/>
    <w:tmpl w:val="B04AA754"/>
    <w:lvl w:ilvl="0" w:tplc="83A48D4C">
      <w:numFmt w:val="bullet"/>
      <w:lvlText w:val="-"/>
      <w:lvlJc w:val="left"/>
      <w:pPr>
        <w:ind w:left="242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1F3001B"/>
    <w:multiLevelType w:val="hybridMultilevel"/>
    <w:tmpl w:val="393E8D9E"/>
    <w:lvl w:ilvl="0" w:tplc="83A48D4C">
      <w:numFmt w:val="bullet"/>
      <w:lvlText w:val="-"/>
      <w:lvlJc w:val="left"/>
      <w:pPr>
        <w:ind w:left="242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7"/>
  </w:num>
  <w:num w:numId="20">
    <w:abstractNumId w:val="14"/>
  </w:num>
  <w:num w:numId="21">
    <w:abstractNumId w:val="16"/>
  </w:num>
  <w:num w:numId="22">
    <w:abstractNumId w:val="10"/>
  </w:num>
  <w:num w:numId="23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22E"/>
    <w:rsid w:val="000273AD"/>
    <w:rsid w:val="00033EE1"/>
    <w:rsid w:val="0004204F"/>
    <w:rsid w:val="00042B72"/>
    <w:rsid w:val="000558BD"/>
    <w:rsid w:val="000721D4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E6F45"/>
    <w:rsid w:val="001F01A1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3453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03135"/>
    <w:rsid w:val="00606E98"/>
    <w:rsid w:val="00617A43"/>
    <w:rsid w:val="0062022E"/>
    <w:rsid w:val="006345DB"/>
    <w:rsid w:val="00640F49"/>
    <w:rsid w:val="00661B25"/>
    <w:rsid w:val="00680D03"/>
    <w:rsid w:val="00681A10"/>
    <w:rsid w:val="006A1ED8"/>
    <w:rsid w:val="006C2031"/>
    <w:rsid w:val="006D461A"/>
    <w:rsid w:val="006E3BED"/>
    <w:rsid w:val="006F35EE"/>
    <w:rsid w:val="007021FF"/>
    <w:rsid w:val="00712895"/>
    <w:rsid w:val="00734ACB"/>
    <w:rsid w:val="00757357"/>
    <w:rsid w:val="007617AF"/>
    <w:rsid w:val="00792497"/>
    <w:rsid w:val="007A0D89"/>
    <w:rsid w:val="007A1E04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57C2D"/>
    <w:rsid w:val="00A84021"/>
    <w:rsid w:val="00A84D35"/>
    <w:rsid w:val="00A917B3"/>
    <w:rsid w:val="00AB4B51"/>
    <w:rsid w:val="00B10CC7"/>
    <w:rsid w:val="00B36DF7"/>
    <w:rsid w:val="00B539E7"/>
    <w:rsid w:val="00B62458"/>
    <w:rsid w:val="00B704B4"/>
    <w:rsid w:val="00B875E4"/>
    <w:rsid w:val="00BB4AE2"/>
    <w:rsid w:val="00BC18B2"/>
    <w:rsid w:val="00BD33EE"/>
    <w:rsid w:val="00BE1CC7"/>
    <w:rsid w:val="00C106D6"/>
    <w:rsid w:val="00C119AE"/>
    <w:rsid w:val="00C60F0C"/>
    <w:rsid w:val="00C700B0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6DC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31518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81D20E7-002F-4E71-AE3A-1DD2213C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qFormat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qFormat/>
    <w:rsid w:val="001E6F45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1E6F45"/>
    <w:rPr>
      <w:lang w:val="ru-RU" w:eastAsia="en-US"/>
    </w:rPr>
  </w:style>
  <w:style w:type="character" w:customStyle="1" w:styleId="H1GChar">
    <w:name w:val="_ H_1_G Char"/>
    <w:link w:val="H1G"/>
    <w:rsid w:val="001E6F45"/>
    <w:rPr>
      <w:b/>
      <w:sz w:val="24"/>
      <w:lang w:val="ru-RU" w:eastAsia="ru-RU"/>
    </w:rPr>
  </w:style>
  <w:style w:type="character" w:customStyle="1" w:styleId="H23GChar">
    <w:name w:val="_ H_2/3_G Char"/>
    <w:link w:val="H23G"/>
    <w:locked/>
    <w:rsid w:val="001E6F45"/>
    <w:rPr>
      <w:b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EN/TXT/?uri=CELEX:32010L003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4090</Words>
  <Characters>23316</Characters>
  <Application>Microsoft Office Word</Application>
  <DocSecurity>0</DocSecurity>
  <Lines>194</Lines>
  <Paragraphs>54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ECE/TRANS/WP.15/AC.1/154/Add.1</vt:lpstr>
      <vt:lpstr>ECE/TRANS/WP.15/AC.1/154/Add.1</vt:lpstr>
      <vt:lpstr>A/</vt:lpstr>
    </vt:vector>
  </TitlesOfParts>
  <Company>DCM</Company>
  <LinksUpToDate>false</LinksUpToDate>
  <CharactersWithSpaces>27352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ECE/TRANS/WP.15/AC.1/154/Add.1</dc:title>
  <dc:subject/>
  <dc:creator>Elena IZOTOVA</dc:creator>
  <cp:keywords/>
  <cp:lastModifiedBy>Christine Barrio-Champeau</cp:lastModifiedBy>
  <cp:revision>2</cp:revision>
  <cp:lastPrinted>2019-05-20T09:19:00Z</cp:lastPrinted>
  <dcterms:created xsi:type="dcterms:W3CDTF">2019-05-22T08:07:00Z</dcterms:created>
  <dcterms:modified xsi:type="dcterms:W3CDTF">2019-05-22T08:07:00Z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