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B6C69" w:rsidP="007B6C69">
            <w:pPr>
              <w:suppressAutoHyphens w:val="0"/>
              <w:spacing w:after="20"/>
              <w:jc w:val="right"/>
            </w:pPr>
            <w:r w:rsidRPr="007B6C69">
              <w:rPr>
                <w:sz w:val="40"/>
              </w:rPr>
              <w:t>ECE</w:t>
            </w:r>
            <w:r>
              <w:t>/TRANS/WP.15/2019/</w:t>
            </w:r>
            <w:r w:rsidR="00632903">
              <w:t>16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B6C69" w:rsidP="007B6C69">
            <w:pPr>
              <w:spacing w:before="240"/>
            </w:pPr>
            <w:r>
              <w:t>Distr.: General</w:t>
            </w:r>
          </w:p>
          <w:p w:rsidR="007B6C69" w:rsidRDefault="00442A45" w:rsidP="007B6C69">
            <w:pPr>
              <w:suppressAutoHyphens w:val="0"/>
            </w:pPr>
            <w:r>
              <w:t>16</w:t>
            </w:r>
            <w:r w:rsidR="007B6C69">
              <w:t xml:space="preserve"> </w:t>
            </w:r>
            <w:r w:rsidR="00EE6F97">
              <w:t>August</w:t>
            </w:r>
            <w:r w:rsidR="007B6C69">
              <w:t xml:space="preserve"> 2019</w:t>
            </w:r>
          </w:p>
          <w:p w:rsidR="007B6C69" w:rsidRDefault="007B6C69" w:rsidP="007B6C69">
            <w:pPr>
              <w:suppressAutoHyphens w:val="0"/>
            </w:pPr>
          </w:p>
          <w:p w:rsidR="007B6C69" w:rsidRDefault="007B6C69" w:rsidP="007B6C69">
            <w:pPr>
              <w:suppressAutoHyphens w:val="0"/>
            </w:pPr>
            <w:r>
              <w:t xml:space="preserve">Original: </w:t>
            </w:r>
            <w:r w:rsidR="00D76974">
              <w:t>English</w:t>
            </w:r>
          </w:p>
        </w:tc>
      </w:tr>
    </w:tbl>
    <w:p w:rsidR="00385CE7" w:rsidRDefault="00385CE7">
      <w:pPr>
        <w:spacing w:before="120"/>
        <w:rPr>
          <w:b/>
          <w:sz w:val="28"/>
          <w:szCs w:val="28"/>
        </w:rPr>
      </w:pPr>
      <w:r>
        <w:rPr>
          <w:b/>
          <w:sz w:val="28"/>
          <w:szCs w:val="28"/>
        </w:rPr>
        <w:t>Economic Commission for Europe</w:t>
      </w:r>
    </w:p>
    <w:p w:rsidR="00385CE7" w:rsidRDefault="00385CE7">
      <w:pPr>
        <w:spacing w:before="120"/>
        <w:rPr>
          <w:sz w:val="28"/>
          <w:szCs w:val="28"/>
        </w:rPr>
      </w:pPr>
      <w:r>
        <w:rPr>
          <w:sz w:val="28"/>
          <w:szCs w:val="28"/>
        </w:rPr>
        <w:t>Inland Transport Committee</w:t>
      </w:r>
    </w:p>
    <w:p w:rsidR="00385CE7" w:rsidRDefault="00385CE7" w:rsidP="00385CE7">
      <w:pPr>
        <w:spacing w:before="120" w:after="120"/>
        <w:rPr>
          <w:b/>
          <w:sz w:val="24"/>
          <w:szCs w:val="24"/>
        </w:rPr>
      </w:pPr>
      <w:r>
        <w:rPr>
          <w:b/>
          <w:sz w:val="24"/>
          <w:szCs w:val="24"/>
        </w:rPr>
        <w:t>Working Party on the Transport of Dangerous Goods</w:t>
      </w:r>
    </w:p>
    <w:p w:rsidR="00385CE7" w:rsidRPr="00385CE7" w:rsidRDefault="00385CE7" w:rsidP="00385CE7">
      <w:pPr>
        <w:rPr>
          <w:b/>
          <w:bCs/>
        </w:rPr>
      </w:pPr>
      <w:r w:rsidRPr="00385CE7">
        <w:rPr>
          <w:b/>
          <w:bCs/>
        </w:rPr>
        <w:t>10</w:t>
      </w:r>
      <w:r w:rsidR="00D76974">
        <w:rPr>
          <w:b/>
          <w:bCs/>
        </w:rPr>
        <w:t>7</w:t>
      </w:r>
      <w:r w:rsidRPr="00385CE7">
        <w:rPr>
          <w:b/>
          <w:bCs/>
        </w:rPr>
        <w:t xml:space="preserve">th session </w:t>
      </w:r>
    </w:p>
    <w:p w:rsidR="00385CE7" w:rsidRPr="00924D77" w:rsidRDefault="00385CE7" w:rsidP="00385CE7">
      <w:r w:rsidRPr="00924D77">
        <w:t>Geneva, 1</w:t>
      </w:r>
      <w:r w:rsidR="00D76974">
        <w:t>1</w:t>
      </w:r>
      <w:r w:rsidRPr="00924D77">
        <w:t>–1</w:t>
      </w:r>
      <w:r w:rsidR="00D76974">
        <w:t>5</w:t>
      </w:r>
      <w:r w:rsidRPr="00924D77">
        <w:t xml:space="preserve"> </w:t>
      </w:r>
      <w:r w:rsidR="00D76974">
        <w:t>November</w:t>
      </w:r>
      <w:r w:rsidRPr="00924D77">
        <w:t xml:space="preserve"> 2019 </w:t>
      </w:r>
    </w:p>
    <w:p w:rsidR="00385CE7" w:rsidRPr="00924D77" w:rsidRDefault="00385CE7" w:rsidP="00385CE7">
      <w:r w:rsidRPr="00924D77">
        <w:t xml:space="preserve">Item </w:t>
      </w:r>
      <w:r w:rsidR="004619EA">
        <w:t>5</w:t>
      </w:r>
      <w:r w:rsidRPr="00924D77">
        <w:t xml:space="preserve"> (b) of the provisional agenda</w:t>
      </w:r>
    </w:p>
    <w:p w:rsidR="00385CE7" w:rsidRPr="00A12FD2" w:rsidRDefault="00385CE7" w:rsidP="00385CE7">
      <w:pPr>
        <w:rPr>
          <w:b/>
          <w:bCs/>
        </w:rPr>
      </w:pPr>
      <w:r w:rsidRPr="00A12FD2">
        <w:rPr>
          <w:b/>
          <w:bCs/>
        </w:rPr>
        <w:t>Proposals for amendments to annexes A and B of ADR:</w:t>
      </w:r>
    </w:p>
    <w:p w:rsidR="00385CE7" w:rsidRPr="00A12FD2" w:rsidRDefault="00D76974" w:rsidP="00385CE7">
      <w:pPr>
        <w:rPr>
          <w:b/>
          <w:bCs/>
        </w:rPr>
      </w:pPr>
      <w:r>
        <w:rPr>
          <w:b/>
          <w:bCs/>
        </w:rPr>
        <w:t>m</w:t>
      </w:r>
      <w:r w:rsidR="00385CE7" w:rsidRPr="00A12FD2">
        <w:rPr>
          <w:b/>
          <w:bCs/>
        </w:rPr>
        <w:t>iscellaneous proposals</w:t>
      </w:r>
    </w:p>
    <w:p w:rsidR="00385CE7" w:rsidRPr="00924D77" w:rsidRDefault="00385CE7" w:rsidP="00A12FD2">
      <w:pPr>
        <w:pStyle w:val="HChG"/>
      </w:pPr>
      <w:r w:rsidRPr="00924D77">
        <w:tab/>
      </w:r>
      <w:r w:rsidRPr="00924D77">
        <w:tab/>
      </w:r>
      <w:r w:rsidR="00D76974">
        <w:t xml:space="preserve">Chapter 8.5 </w:t>
      </w:r>
      <w:r w:rsidR="00D76974">
        <w:tab/>
        <w:t>Additional requirements on supervision in S1(6), S16 and S21</w:t>
      </w:r>
    </w:p>
    <w:p w:rsidR="00385CE7" w:rsidRDefault="00385CE7" w:rsidP="00A12FD2">
      <w:pPr>
        <w:pStyle w:val="H1G"/>
        <w:rPr>
          <w:b w:val="0"/>
          <w:bCs/>
          <w:sz w:val="20"/>
        </w:rPr>
      </w:pPr>
      <w:r w:rsidRPr="00924D77">
        <w:tab/>
      </w:r>
      <w:r w:rsidRPr="00924D77">
        <w:tab/>
      </w:r>
      <w:r w:rsidR="00A973EA">
        <w:t>Sub</w:t>
      </w:r>
      <w:r w:rsidRPr="00924D77">
        <w:t xml:space="preserve">mitted by the Government of </w:t>
      </w:r>
      <w:r w:rsidR="00D76974">
        <w:t>Sweden</w:t>
      </w:r>
      <w:r w:rsidRPr="00A12FD2">
        <w:rPr>
          <w:b w:val="0"/>
          <w:bCs/>
          <w:sz w:val="20"/>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A12FD2" w:rsidTr="00D76974">
        <w:trPr>
          <w:jc w:val="center"/>
        </w:trPr>
        <w:tc>
          <w:tcPr>
            <w:tcW w:w="9629" w:type="dxa"/>
            <w:tcBorders>
              <w:bottom w:val="nil"/>
            </w:tcBorders>
          </w:tcPr>
          <w:p w:rsidR="00A12FD2" w:rsidRPr="00A12FD2" w:rsidRDefault="00A12FD2" w:rsidP="00A12FD2">
            <w:pPr>
              <w:tabs>
                <w:tab w:val="left" w:pos="255"/>
              </w:tabs>
              <w:suppressAutoHyphens w:val="0"/>
              <w:spacing w:before="240" w:after="120"/>
              <w:rPr>
                <w:sz w:val="24"/>
              </w:rPr>
            </w:pPr>
            <w:r>
              <w:tab/>
            </w:r>
            <w:r>
              <w:rPr>
                <w:i/>
                <w:sz w:val="24"/>
              </w:rPr>
              <w:t>Summary</w:t>
            </w:r>
          </w:p>
        </w:tc>
      </w:tr>
      <w:tr w:rsidR="00A12FD2" w:rsidTr="00D76974">
        <w:trPr>
          <w:jc w:val="center"/>
        </w:trPr>
        <w:tc>
          <w:tcPr>
            <w:tcW w:w="9629" w:type="dxa"/>
            <w:tcBorders>
              <w:top w:val="nil"/>
              <w:bottom w:val="nil"/>
            </w:tcBorders>
            <w:shd w:val="clear" w:color="auto" w:fill="auto"/>
          </w:tcPr>
          <w:p w:rsidR="00A12FD2" w:rsidRDefault="00ED4678" w:rsidP="00D76974">
            <w:pPr>
              <w:spacing w:after="120"/>
              <w:ind w:left="3402" w:right="1133" w:hanging="2268"/>
              <w:jc w:val="both"/>
            </w:pPr>
            <w:r w:rsidRPr="00ED4678">
              <w:rPr>
                <w:b/>
                <w:bCs/>
              </w:rPr>
              <w:t>Executive summary</w:t>
            </w:r>
            <w:r>
              <w:t>:</w:t>
            </w:r>
            <w:r>
              <w:tab/>
            </w:r>
            <w:r w:rsidR="00D76974" w:rsidRPr="0007191F">
              <w:t xml:space="preserve">Clarify </w:t>
            </w:r>
            <w:r w:rsidR="00D76974">
              <w:t>the provision</w:t>
            </w:r>
            <w:r w:rsidR="00A973EA">
              <w:t>s</w:t>
            </w:r>
            <w:r w:rsidR="00D76974">
              <w:t xml:space="preserve"> </w:t>
            </w:r>
            <w:r w:rsidR="00D76974" w:rsidRPr="0007191F">
              <w:t xml:space="preserve">on supervision in S1(6), S16 and S21 in </w:t>
            </w:r>
            <w:r w:rsidR="00D76974">
              <w:t>C</w:t>
            </w:r>
            <w:r w:rsidR="00D76974" w:rsidRPr="0007191F">
              <w:t>hapter 8.5</w:t>
            </w:r>
            <w:r w:rsidR="00D50476" w:rsidRPr="00924D77">
              <w:t>.</w:t>
            </w:r>
          </w:p>
        </w:tc>
      </w:tr>
      <w:tr w:rsidR="00A12FD2" w:rsidTr="00D76974">
        <w:trPr>
          <w:jc w:val="center"/>
        </w:trPr>
        <w:tc>
          <w:tcPr>
            <w:tcW w:w="9629" w:type="dxa"/>
            <w:tcBorders>
              <w:top w:val="nil"/>
              <w:bottom w:val="nil"/>
            </w:tcBorders>
            <w:shd w:val="clear" w:color="auto" w:fill="auto"/>
          </w:tcPr>
          <w:p w:rsidR="00A12FD2" w:rsidRDefault="00D50476" w:rsidP="00D76974">
            <w:pPr>
              <w:spacing w:after="120"/>
              <w:ind w:left="3402" w:right="1133" w:hanging="2268"/>
              <w:jc w:val="both"/>
            </w:pPr>
            <w:r w:rsidRPr="00D50476">
              <w:rPr>
                <w:b/>
                <w:bCs/>
              </w:rPr>
              <w:t>Action to be taken</w:t>
            </w:r>
            <w:r>
              <w:t>:</w:t>
            </w:r>
            <w:r w:rsidR="005E5FC5">
              <w:tab/>
            </w:r>
            <w:r w:rsidR="00D76974" w:rsidRPr="008B5282">
              <w:t>Consider and take a decision on the</w:t>
            </w:r>
            <w:r w:rsidR="00D76974" w:rsidRPr="0007191F">
              <w:t xml:space="preserve"> proposal</w:t>
            </w:r>
            <w:r w:rsidR="00D76974">
              <w:t>s</w:t>
            </w:r>
            <w:r w:rsidR="005E5FC5" w:rsidRPr="00924D77">
              <w:t>.</w:t>
            </w:r>
          </w:p>
        </w:tc>
      </w:tr>
      <w:tr w:rsidR="00A12FD2" w:rsidTr="00D76974">
        <w:trPr>
          <w:jc w:val="center"/>
        </w:trPr>
        <w:tc>
          <w:tcPr>
            <w:tcW w:w="9629" w:type="dxa"/>
            <w:tcBorders>
              <w:top w:val="nil"/>
              <w:bottom w:val="nil"/>
            </w:tcBorders>
            <w:shd w:val="clear" w:color="auto" w:fill="auto"/>
          </w:tcPr>
          <w:p w:rsidR="00A12FD2" w:rsidRDefault="005E5FC5" w:rsidP="00D76974">
            <w:pPr>
              <w:ind w:left="3402" w:right="1134" w:hanging="2268"/>
              <w:jc w:val="both"/>
            </w:pPr>
            <w:r w:rsidRPr="005E5FC5">
              <w:rPr>
                <w:b/>
                <w:bCs/>
              </w:rPr>
              <w:t>Related documents</w:t>
            </w:r>
            <w:r w:rsidRPr="00924D77">
              <w:t>:</w:t>
            </w:r>
            <w:r w:rsidRPr="00924D77">
              <w:tab/>
            </w:r>
            <w:r w:rsidR="004F7161">
              <w:t xml:space="preserve">Informal document </w:t>
            </w:r>
            <w:r w:rsidR="00D76974" w:rsidRPr="00DB3231">
              <w:rPr>
                <w:rFonts w:eastAsia="Arial"/>
              </w:rPr>
              <w:t>INF.7 from the 103</w:t>
            </w:r>
            <w:r w:rsidR="00D76974" w:rsidRPr="00DB3231">
              <w:rPr>
                <w:rFonts w:eastAsia="Arial"/>
                <w:vertAlign w:val="superscript"/>
              </w:rPr>
              <w:t>rd</w:t>
            </w:r>
            <w:r w:rsidR="00D76974" w:rsidRPr="00DB3231">
              <w:rPr>
                <w:rFonts w:eastAsia="Arial"/>
              </w:rPr>
              <w:t xml:space="preserve"> session of </w:t>
            </w:r>
            <w:r w:rsidR="00442A45">
              <w:rPr>
                <w:rFonts w:eastAsia="Arial"/>
              </w:rPr>
              <w:t>the Working Party (</w:t>
            </w:r>
            <w:r w:rsidR="00D76974" w:rsidRPr="00DB3231">
              <w:rPr>
                <w:rFonts w:eastAsia="Arial"/>
              </w:rPr>
              <w:t>WP.15</w:t>
            </w:r>
            <w:r w:rsidR="00442A45">
              <w:rPr>
                <w:rFonts w:eastAsia="Arial"/>
              </w:rPr>
              <w:t>)</w:t>
            </w:r>
            <w:r w:rsidR="00AF2C19">
              <w:rPr>
                <w:rFonts w:eastAsia="Arial"/>
              </w:rPr>
              <w:t>,</w:t>
            </w:r>
          </w:p>
        </w:tc>
      </w:tr>
      <w:tr w:rsidR="00A12FD2" w:rsidTr="00D76974">
        <w:trPr>
          <w:jc w:val="center"/>
        </w:trPr>
        <w:tc>
          <w:tcPr>
            <w:tcW w:w="9629" w:type="dxa"/>
            <w:tcBorders>
              <w:top w:val="nil"/>
              <w:bottom w:val="nil"/>
            </w:tcBorders>
          </w:tcPr>
          <w:p w:rsidR="00D76974" w:rsidRDefault="00D76974" w:rsidP="00D76974">
            <w:pPr>
              <w:suppressAutoHyphens w:val="0"/>
              <w:snapToGrid w:val="0"/>
              <w:ind w:left="3402" w:firstLine="6"/>
              <w:rPr>
                <w:rFonts w:eastAsia="Arial"/>
              </w:rPr>
            </w:pPr>
            <w:r>
              <w:rPr>
                <w:rFonts w:eastAsia="Arial"/>
              </w:rPr>
              <w:t>ECE/TRANS/WP.15/239 (report from the 103</w:t>
            </w:r>
            <w:r>
              <w:rPr>
                <w:rFonts w:eastAsia="Arial"/>
                <w:vertAlign w:val="superscript"/>
              </w:rPr>
              <w:t>rd</w:t>
            </w:r>
            <w:r>
              <w:rPr>
                <w:rFonts w:eastAsia="Arial"/>
              </w:rPr>
              <w:t xml:space="preserve"> session), paras. 61-65, </w:t>
            </w:r>
          </w:p>
          <w:p w:rsidR="00A12FD2" w:rsidRDefault="00D76974" w:rsidP="00D76974">
            <w:pPr>
              <w:suppressAutoHyphens w:val="0"/>
            </w:pPr>
            <w:r>
              <w:rPr>
                <w:rFonts w:eastAsia="Arial"/>
              </w:rPr>
              <w:tab/>
            </w:r>
            <w:r>
              <w:rPr>
                <w:rFonts w:eastAsia="Arial"/>
              </w:rPr>
              <w:tab/>
            </w:r>
            <w:r>
              <w:rPr>
                <w:rFonts w:eastAsia="Arial"/>
              </w:rPr>
              <w:tab/>
            </w:r>
            <w:r>
              <w:rPr>
                <w:rFonts w:eastAsia="Arial"/>
              </w:rPr>
              <w:tab/>
            </w:r>
            <w:r>
              <w:rPr>
                <w:rFonts w:eastAsia="Arial"/>
              </w:rPr>
              <w:tab/>
            </w:r>
            <w:r>
              <w:rPr>
                <w:rFonts w:eastAsia="Arial"/>
              </w:rPr>
              <w:tab/>
            </w:r>
            <w:r w:rsidR="004F7161">
              <w:t xml:space="preserve">Informal document </w:t>
            </w:r>
            <w:r>
              <w:rPr>
                <w:rFonts w:eastAsia="Arial"/>
              </w:rPr>
              <w:t>INF.16 from the 104</w:t>
            </w:r>
            <w:r>
              <w:rPr>
                <w:rFonts w:eastAsia="Arial"/>
                <w:vertAlign w:val="superscript"/>
              </w:rPr>
              <w:t>th</w:t>
            </w:r>
            <w:r>
              <w:rPr>
                <w:rFonts w:eastAsia="Arial"/>
              </w:rPr>
              <w:t xml:space="preserve"> session,</w:t>
            </w:r>
          </w:p>
        </w:tc>
      </w:tr>
      <w:tr w:rsidR="00D76974" w:rsidTr="00D76974">
        <w:trPr>
          <w:jc w:val="center"/>
        </w:trPr>
        <w:tc>
          <w:tcPr>
            <w:tcW w:w="9629" w:type="dxa"/>
            <w:tcBorders>
              <w:top w:val="nil"/>
              <w:bottom w:val="nil"/>
            </w:tcBorders>
          </w:tcPr>
          <w:p w:rsidR="00D76974" w:rsidRDefault="00D76974" w:rsidP="00D76974">
            <w:pPr>
              <w:suppressAutoHyphens w:val="0"/>
              <w:ind w:left="3402" w:firstLine="5"/>
              <w:rPr>
                <w:rFonts w:eastAsia="Arial"/>
              </w:rPr>
            </w:pPr>
            <w:r>
              <w:rPr>
                <w:rFonts w:eastAsia="Arial"/>
              </w:rPr>
              <w:t>ECE/TRANS/WP.15/242 (report from the 104</w:t>
            </w:r>
            <w:r>
              <w:rPr>
                <w:rFonts w:eastAsia="Arial"/>
                <w:vertAlign w:val="superscript"/>
              </w:rPr>
              <w:t>th</w:t>
            </w:r>
            <w:r>
              <w:rPr>
                <w:rFonts w:eastAsia="Arial"/>
              </w:rPr>
              <w:t xml:space="preserve"> session), paras. 55-57,</w:t>
            </w:r>
            <w:r>
              <w:tab/>
            </w:r>
            <w:r>
              <w:tab/>
            </w:r>
            <w:r w:rsidR="004F7161">
              <w:t xml:space="preserve">Informal document </w:t>
            </w:r>
            <w:r>
              <w:t>INF.14 from the 105</w:t>
            </w:r>
            <w:r w:rsidRPr="00247D56">
              <w:rPr>
                <w:vertAlign w:val="superscript"/>
              </w:rPr>
              <w:t>th</w:t>
            </w:r>
            <w:r>
              <w:t xml:space="preserve"> session of WP.15,</w:t>
            </w:r>
          </w:p>
        </w:tc>
      </w:tr>
      <w:tr w:rsidR="00D76974" w:rsidTr="00D76974">
        <w:trPr>
          <w:jc w:val="center"/>
        </w:trPr>
        <w:tc>
          <w:tcPr>
            <w:tcW w:w="9629" w:type="dxa"/>
            <w:tcBorders>
              <w:top w:val="nil"/>
              <w:bottom w:val="nil"/>
            </w:tcBorders>
          </w:tcPr>
          <w:p w:rsidR="00D76974" w:rsidRDefault="00D76974" w:rsidP="00D76974">
            <w:pPr>
              <w:suppressAutoHyphens w:val="0"/>
              <w:ind w:left="3402" w:firstLine="5"/>
              <w:rPr>
                <w:rFonts w:eastAsia="Arial"/>
              </w:rPr>
            </w:pPr>
            <w:r>
              <w:rPr>
                <w:rFonts w:eastAsia="Arial"/>
              </w:rPr>
              <w:t>ECE/TRANS/WP.15/244 (report from the 105</w:t>
            </w:r>
            <w:r w:rsidRPr="00E65C84">
              <w:rPr>
                <w:rFonts w:eastAsia="Arial"/>
                <w:vertAlign w:val="superscript"/>
              </w:rPr>
              <w:t>th</w:t>
            </w:r>
            <w:r>
              <w:rPr>
                <w:rFonts w:eastAsia="Arial"/>
              </w:rPr>
              <w:t xml:space="preserve"> session), paras. 65-68.</w:t>
            </w:r>
          </w:p>
        </w:tc>
      </w:tr>
      <w:tr w:rsidR="00D76974" w:rsidTr="00D76974">
        <w:trPr>
          <w:jc w:val="center"/>
        </w:trPr>
        <w:tc>
          <w:tcPr>
            <w:tcW w:w="9629" w:type="dxa"/>
            <w:tcBorders>
              <w:top w:val="nil"/>
              <w:bottom w:val="nil"/>
            </w:tcBorders>
          </w:tcPr>
          <w:p w:rsidR="00D76974" w:rsidRDefault="00A973EA" w:rsidP="00D76974">
            <w:pPr>
              <w:suppressAutoHyphens w:val="0"/>
              <w:ind w:left="3402" w:firstLine="5"/>
              <w:rPr>
                <w:rFonts w:eastAsia="Arial"/>
              </w:rPr>
            </w:pPr>
            <w:r>
              <w:t>ECE/TRANS/WP.15/</w:t>
            </w:r>
            <w:r w:rsidR="00D76974" w:rsidRPr="007754AC">
              <w:t xml:space="preserve">2019/12 and </w:t>
            </w:r>
            <w:r w:rsidR="004F7161">
              <w:t xml:space="preserve">informal document </w:t>
            </w:r>
            <w:r w:rsidR="00D76974" w:rsidRPr="007754AC">
              <w:t>INF.19 from the 106</w:t>
            </w:r>
            <w:r w:rsidR="00D76974" w:rsidRPr="007754AC">
              <w:rPr>
                <w:vertAlign w:val="superscript"/>
              </w:rPr>
              <w:t>th</w:t>
            </w:r>
            <w:r w:rsidR="00D76974" w:rsidRPr="007754AC">
              <w:t xml:space="preserve"> session of WP.15</w:t>
            </w:r>
            <w:r w:rsidR="00AF2C19">
              <w:t>,</w:t>
            </w:r>
          </w:p>
        </w:tc>
      </w:tr>
      <w:tr w:rsidR="00D76974" w:rsidTr="00D76974">
        <w:trPr>
          <w:jc w:val="center"/>
        </w:trPr>
        <w:tc>
          <w:tcPr>
            <w:tcW w:w="9629" w:type="dxa"/>
            <w:tcBorders>
              <w:top w:val="nil"/>
              <w:bottom w:val="nil"/>
            </w:tcBorders>
          </w:tcPr>
          <w:p w:rsidR="00D76974" w:rsidRDefault="00D76974" w:rsidP="00D76974">
            <w:pPr>
              <w:suppressAutoHyphens w:val="0"/>
              <w:ind w:left="3402" w:firstLine="5"/>
              <w:rPr>
                <w:rFonts w:eastAsia="Arial"/>
              </w:rPr>
            </w:pPr>
            <w:r w:rsidRPr="007754AC">
              <w:t>ECE/TRANS/WP.15/</w:t>
            </w:r>
            <w:r w:rsidR="00A973EA">
              <w:t>246</w:t>
            </w:r>
            <w:r w:rsidRPr="007754AC">
              <w:t xml:space="preserve"> (report </w:t>
            </w:r>
            <w:r w:rsidR="00A973EA">
              <w:t>of</w:t>
            </w:r>
            <w:r w:rsidRPr="007754AC">
              <w:t xml:space="preserve"> the 106</w:t>
            </w:r>
            <w:r w:rsidRPr="007754AC">
              <w:rPr>
                <w:vertAlign w:val="superscript"/>
              </w:rPr>
              <w:t>th</w:t>
            </w:r>
            <w:r w:rsidRPr="007754AC">
              <w:t xml:space="preserve"> session), para. 38</w:t>
            </w:r>
            <w:r w:rsidR="00AF2C19">
              <w:t>.</w:t>
            </w:r>
          </w:p>
        </w:tc>
      </w:tr>
      <w:tr w:rsidR="00D76974" w:rsidTr="00D76974">
        <w:trPr>
          <w:jc w:val="center"/>
        </w:trPr>
        <w:tc>
          <w:tcPr>
            <w:tcW w:w="9629" w:type="dxa"/>
            <w:tcBorders>
              <w:top w:val="nil"/>
            </w:tcBorders>
          </w:tcPr>
          <w:p w:rsidR="00D76974" w:rsidRDefault="00D76974" w:rsidP="00D76974">
            <w:pPr>
              <w:suppressAutoHyphens w:val="0"/>
              <w:ind w:left="3402" w:firstLine="5"/>
              <w:rPr>
                <w:rFonts w:eastAsia="Arial"/>
              </w:rPr>
            </w:pPr>
          </w:p>
        </w:tc>
      </w:tr>
    </w:tbl>
    <w:p w:rsidR="00D76974" w:rsidRDefault="00D76974" w:rsidP="00D76974">
      <w:pPr>
        <w:pStyle w:val="HChG"/>
      </w:pPr>
      <w:r>
        <w:tab/>
      </w:r>
      <w:r>
        <w:tab/>
      </w:r>
      <w:r w:rsidRPr="001B08A2">
        <w:t>Introduction</w:t>
      </w:r>
    </w:p>
    <w:p w:rsidR="00D76974" w:rsidRDefault="0053627F" w:rsidP="00D76974">
      <w:pPr>
        <w:pStyle w:val="SingleTxtG"/>
        <w:rPr>
          <w:rStyle w:val="SingleTxtGChar"/>
        </w:rPr>
      </w:pPr>
      <w:r>
        <w:rPr>
          <w:rStyle w:val="SingleTxtGChar"/>
        </w:rPr>
        <w:t>1.</w:t>
      </w:r>
      <w:r>
        <w:rPr>
          <w:rStyle w:val="SingleTxtGChar"/>
        </w:rPr>
        <w:tab/>
      </w:r>
      <w:r w:rsidR="00D76974" w:rsidRPr="008B7CAF">
        <w:rPr>
          <w:rStyle w:val="SingleTxtGChar"/>
        </w:rPr>
        <w:t xml:space="preserve">During </w:t>
      </w:r>
      <w:r w:rsidR="00D76974">
        <w:rPr>
          <w:rStyle w:val="SingleTxtGChar"/>
        </w:rPr>
        <w:t xml:space="preserve">the previous four sessions of WP.15, Sweden has raised concerns </w:t>
      </w:r>
      <w:r w:rsidR="00D76974" w:rsidRPr="005F1822">
        <w:rPr>
          <w:rStyle w:val="SingleTxtGChar"/>
        </w:rPr>
        <w:t xml:space="preserve">in relation to the </w:t>
      </w:r>
      <w:r w:rsidR="00D76974">
        <w:rPr>
          <w:rStyle w:val="SingleTxtGChar"/>
        </w:rPr>
        <w:t xml:space="preserve">supervision of vehicles according to </w:t>
      </w:r>
      <w:r w:rsidR="00442A45">
        <w:rPr>
          <w:rStyle w:val="SingleTxtGChar"/>
        </w:rPr>
        <w:t>C</w:t>
      </w:r>
      <w:r w:rsidR="00D76974">
        <w:rPr>
          <w:rStyle w:val="SingleTxtGChar"/>
        </w:rPr>
        <w:t xml:space="preserve">hapter 8.5. During this work, Sweden has also sent out a survey concerning the situation within the Contracting Parties of ADR to create a good basis for clarification of the provisions in S1(6), S16 and S21 in </w:t>
      </w:r>
      <w:r w:rsidR="00442A45">
        <w:rPr>
          <w:rStyle w:val="SingleTxtGChar"/>
        </w:rPr>
        <w:t>C</w:t>
      </w:r>
      <w:r w:rsidR="00D76974">
        <w:rPr>
          <w:rStyle w:val="SingleTxtGChar"/>
        </w:rPr>
        <w:t>hapter 8.5.</w:t>
      </w:r>
    </w:p>
    <w:p w:rsidR="00D76974" w:rsidRPr="005B367F" w:rsidRDefault="00D76974" w:rsidP="00D76974">
      <w:pPr>
        <w:pStyle w:val="HChG"/>
      </w:pPr>
      <w:r>
        <w:lastRenderedPageBreak/>
        <w:tab/>
      </w:r>
      <w:r>
        <w:tab/>
      </w:r>
      <w:r w:rsidRPr="005B367F">
        <w:t>Background</w:t>
      </w:r>
    </w:p>
    <w:p w:rsidR="00D76974" w:rsidRDefault="0053627F" w:rsidP="00D76974">
      <w:pPr>
        <w:pStyle w:val="SingleTxtG"/>
        <w:rPr>
          <w:rStyle w:val="SingleTxtGChar"/>
        </w:rPr>
      </w:pPr>
      <w:r>
        <w:rPr>
          <w:rStyle w:val="SingleTxtGChar"/>
        </w:rPr>
        <w:t>2.</w:t>
      </w:r>
      <w:r>
        <w:rPr>
          <w:rStyle w:val="SingleTxtGChar"/>
        </w:rPr>
        <w:tab/>
      </w:r>
      <w:r w:rsidR="00D76974">
        <w:rPr>
          <w:rStyle w:val="SingleTxtGChar"/>
        </w:rPr>
        <w:t xml:space="preserve">At the last session of the Working Party, Sweden presented a proposal which gained a lot of support. The report from that </w:t>
      </w:r>
      <w:r w:rsidR="00A973EA">
        <w:rPr>
          <w:rStyle w:val="SingleTxtGChar"/>
        </w:rPr>
        <w:t>session</w:t>
      </w:r>
      <w:r w:rsidR="00D76974">
        <w:rPr>
          <w:rStyle w:val="SingleTxtGChar"/>
        </w:rPr>
        <w:t xml:space="preserve"> states the following:</w:t>
      </w:r>
    </w:p>
    <w:p w:rsidR="00D76974" w:rsidRDefault="00D76974" w:rsidP="00D76974">
      <w:pPr>
        <w:pStyle w:val="SingleTxtG"/>
        <w:spacing w:after="240"/>
        <w:rPr>
          <w:rStyle w:val="SingleTxtGChar"/>
        </w:rPr>
      </w:pPr>
      <w:r w:rsidRPr="00E967A5">
        <w:rPr>
          <w:rStyle w:val="SingleTxtGChar"/>
          <w:i/>
        </w:rPr>
        <w:t>“Several delegations that took the floor considered it appropriate to refer to Chapter 1.10 in the provisions on supervision contained in the additional requirements in S1 (6), S16 and S21. However, given the differences in scope between the requirements in S1 (6), S16 and S21 and 1.10.3, the Working Party preferred to postpone discussion on the matter to a next session. That would enable the ongoing work in the Sub-Committee of Experts on the Transport of Dangerous Goods on the list of high consequence dangerous goods to be considered.”</w:t>
      </w:r>
      <w:r>
        <w:rPr>
          <w:rStyle w:val="SingleTxtGChar"/>
        </w:rPr>
        <w:t xml:space="preserve"> </w:t>
      </w:r>
    </w:p>
    <w:p w:rsidR="00D76974" w:rsidRDefault="0053627F" w:rsidP="00D76974">
      <w:pPr>
        <w:pStyle w:val="SingleTxtG"/>
        <w:spacing w:after="240"/>
        <w:rPr>
          <w:rStyle w:val="SingleTxtGChar"/>
        </w:rPr>
      </w:pPr>
      <w:r>
        <w:rPr>
          <w:rStyle w:val="SingleTxtGChar"/>
        </w:rPr>
        <w:t>3.</w:t>
      </w:r>
      <w:r>
        <w:rPr>
          <w:rStyle w:val="SingleTxtGChar"/>
        </w:rPr>
        <w:tab/>
      </w:r>
      <w:r w:rsidR="00D76974">
        <w:rPr>
          <w:rStyle w:val="SingleTxtGChar"/>
        </w:rPr>
        <w:t xml:space="preserve">During that session, the fact that divisions 1.3 and 1.4 is currently not high consequence dangerous goods according to section 1.10.3 caused some reluctance. </w:t>
      </w:r>
      <w:r w:rsidR="00A973EA">
        <w:rPr>
          <w:rStyle w:val="SingleTxtGChar"/>
        </w:rPr>
        <w:t>Sweden</w:t>
      </w:r>
      <w:r w:rsidR="00D76974">
        <w:rPr>
          <w:rStyle w:val="SingleTxtGChar"/>
        </w:rPr>
        <w:t xml:space="preserve"> would therefore like to explain </w:t>
      </w:r>
      <w:r w:rsidR="00A973EA">
        <w:rPr>
          <w:rStyle w:val="SingleTxtGChar"/>
        </w:rPr>
        <w:t xml:space="preserve">a bit further </w:t>
      </w:r>
      <w:r w:rsidR="00D76974">
        <w:rPr>
          <w:rStyle w:val="SingleTxtGChar"/>
        </w:rPr>
        <w:t xml:space="preserve">the reasoning behind </w:t>
      </w:r>
      <w:r w:rsidR="00D76974" w:rsidRPr="008B5282">
        <w:rPr>
          <w:rStyle w:val="SingleTxtGChar"/>
        </w:rPr>
        <w:t>this part</w:t>
      </w:r>
      <w:r w:rsidR="00D76974">
        <w:rPr>
          <w:rStyle w:val="SingleTxtGChar"/>
        </w:rPr>
        <w:t xml:space="preserve"> in our proposal</w:t>
      </w:r>
      <w:r w:rsidR="00D76974" w:rsidRPr="002D1DC0">
        <w:rPr>
          <w:rStyle w:val="SingleTxtGChar"/>
        </w:rPr>
        <w:t xml:space="preserve">. </w:t>
      </w:r>
      <w:r w:rsidR="00D76974" w:rsidRPr="008B5282">
        <w:rPr>
          <w:rStyle w:val="SingleTxtGChar"/>
        </w:rPr>
        <w:t xml:space="preserve">As for the rest of the proposal, </w:t>
      </w:r>
      <w:r w:rsidR="003374BC">
        <w:rPr>
          <w:rStyle w:val="SingleTxtGChar"/>
        </w:rPr>
        <w:t>the Working Party</w:t>
      </w:r>
      <w:r w:rsidR="00D76974" w:rsidRPr="008B5282">
        <w:rPr>
          <w:rStyle w:val="SingleTxtGChar"/>
        </w:rPr>
        <w:t xml:space="preserve"> has already dealt with during previous sessions and </w:t>
      </w:r>
      <w:r w:rsidR="003374BC">
        <w:rPr>
          <w:rStyle w:val="SingleTxtGChar"/>
        </w:rPr>
        <w:t>noted</w:t>
      </w:r>
      <w:r w:rsidR="00D76974" w:rsidRPr="008B5282">
        <w:rPr>
          <w:rStyle w:val="SingleTxtGChar"/>
        </w:rPr>
        <w:t xml:space="preserve"> general acceptance (see under “Related documents” </w:t>
      </w:r>
      <w:r w:rsidR="00D76974">
        <w:rPr>
          <w:rStyle w:val="SingleTxtGChar"/>
        </w:rPr>
        <w:t>in</w:t>
      </w:r>
      <w:r w:rsidR="00D76974" w:rsidRPr="008B5282">
        <w:rPr>
          <w:rStyle w:val="SingleTxtGChar"/>
        </w:rPr>
        <w:t xml:space="preserve"> the summary above)</w:t>
      </w:r>
      <w:r w:rsidR="00D76974" w:rsidRPr="002D1DC0">
        <w:rPr>
          <w:rStyle w:val="SingleTxtGChar"/>
        </w:rPr>
        <w:t>.</w:t>
      </w:r>
    </w:p>
    <w:p w:rsidR="00D76974" w:rsidRDefault="0053627F" w:rsidP="00D76974">
      <w:pPr>
        <w:pStyle w:val="SingleTxtG"/>
        <w:rPr>
          <w:rStyle w:val="SingleTxtGChar"/>
        </w:rPr>
      </w:pPr>
      <w:r>
        <w:rPr>
          <w:rStyle w:val="SingleTxtGChar"/>
        </w:rPr>
        <w:t>4.</w:t>
      </w:r>
      <w:r>
        <w:rPr>
          <w:rStyle w:val="SingleTxtGChar"/>
        </w:rPr>
        <w:tab/>
      </w:r>
      <w:r w:rsidR="00D76974">
        <w:rPr>
          <w:rStyle w:val="SingleTxtGChar"/>
        </w:rPr>
        <w:t xml:space="preserve">During some meetings with the </w:t>
      </w:r>
      <w:r w:rsidR="00442A45">
        <w:rPr>
          <w:rStyle w:val="SingleTxtGChar"/>
        </w:rPr>
        <w:t>Sub-Committee of Experts on the Transport of Dangerous Goods</w:t>
      </w:r>
      <w:r w:rsidR="00D76974">
        <w:rPr>
          <w:rStyle w:val="SingleTxtGChar"/>
        </w:rPr>
        <w:t xml:space="preserve">, the United Kingdom lead discussions concerning relevant limits for Class 1 as high consequence dangerous goods. However, in our dialogue with the United Kingdom </w:t>
      </w:r>
      <w:r w:rsidR="00D76974">
        <w:t xml:space="preserve">we have been informed that, even though it was their intention to return to the issue, this work will not be continued </w:t>
      </w:r>
      <w:proofErr w:type="gramStart"/>
      <w:r w:rsidR="00D76974">
        <w:t>in the near future</w:t>
      </w:r>
      <w:proofErr w:type="gramEnd"/>
      <w:r w:rsidR="00D76974">
        <w:t xml:space="preserve"> due to resource constraints</w:t>
      </w:r>
      <w:r w:rsidR="00D76974">
        <w:rPr>
          <w:rStyle w:val="SingleTxtGChar"/>
        </w:rPr>
        <w:t>.</w:t>
      </w:r>
    </w:p>
    <w:p w:rsidR="00D76974" w:rsidRDefault="0053627F" w:rsidP="00D76974">
      <w:pPr>
        <w:pStyle w:val="SingleTxtG"/>
        <w:rPr>
          <w:rStyle w:val="SingleTxtGChar"/>
        </w:rPr>
      </w:pPr>
      <w:r>
        <w:rPr>
          <w:rStyle w:val="SingleTxtGChar"/>
        </w:rPr>
        <w:t>5.</w:t>
      </w:r>
      <w:r>
        <w:rPr>
          <w:rStyle w:val="SingleTxtGChar"/>
        </w:rPr>
        <w:tab/>
      </w:r>
      <w:r w:rsidR="00D76974">
        <w:rPr>
          <w:rStyle w:val="SingleTxtGChar"/>
        </w:rPr>
        <w:t xml:space="preserve">Nevertheless, we cannot see that the solution proposed in this document is </w:t>
      </w:r>
      <w:r w:rsidR="00D76974" w:rsidRPr="00CD3581">
        <w:rPr>
          <w:rStyle w:val="SingleTxtGChar"/>
        </w:rPr>
        <w:t>dependent</w:t>
      </w:r>
      <w:r w:rsidR="00D76974">
        <w:rPr>
          <w:rStyle w:val="SingleTxtGChar"/>
        </w:rPr>
        <w:t xml:space="preserve"> on an amendment in section 1.10.3. The work with 1.10.3 (</w:t>
      </w:r>
      <w:r w:rsidR="00442A45">
        <w:rPr>
          <w:rStyle w:val="SingleTxtGChar"/>
        </w:rPr>
        <w:t>C</w:t>
      </w:r>
      <w:r w:rsidR="00D76974">
        <w:rPr>
          <w:rStyle w:val="SingleTxtGChar"/>
        </w:rPr>
        <w:t xml:space="preserve">hapter 1.4 in the UN </w:t>
      </w:r>
      <w:r w:rsidR="00442A45">
        <w:rPr>
          <w:rStyle w:val="SingleTxtGChar"/>
        </w:rPr>
        <w:t>Model Regulations</w:t>
      </w:r>
      <w:r w:rsidR="00D76974">
        <w:rPr>
          <w:rStyle w:val="SingleTxtGChar"/>
        </w:rPr>
        <w:t xml:space="preserve">) can move </w:t>
      </w:r>
      <w:r w:rsidR="00D76974" w:rsidRPr="00AB7D8E">
        <w:rPr>
          <w:rStyle w:val="SingleTxtGChar"/>
        </w:rPr>
        <w:t>forward in parallel, and if limit</w:t>
      </w:r>
      <w:r w:rsidR="00D76974">
        <w:rPr>
          <w:rStyle w:val="SingleTxtGChar"/>
        </w:rPr>
        <w:t>s</w:t>
      </w:r>
      <w:r w:rsidR="00D76974" w:rsidRPr="00AB7D8E">
        <w:rPr>
          <w:rStyle w:val="SingleTxtGChar"/>
        </w:rPr>
        <w:t xml:space="preserve"> </w:t>
      </w:r>
      <w:r w:rsidR="00D76974">
        <w:rPr>
          <w:rStyle w:val="SingleTxtGChar"/>
        </w:rPr>
        <w:t>are</w:t>
      </w:r>
      <w:r w:rsidR="00D76974" w:rsidRPr="00AB7D8E">
        <w:rPr>
          <w:rStyle w:val="SingleTxtGChar"/>
        </w:rPr>
        <w:t xml:space="preserve"> changed</w:t>
      </w:r>
      <w:r w:rsidR="00D76974">
        <w:rPr>
          <w:rStyle w:val="SingleTxtGChar"/>
        </w:rPr>
        <w:t xml:space="preserve"> </w:t>
      </w:r>
      <w:r w:rsidR="00D76974" w:rsidRPr="00AB7D8E">
        <w:rPr>
          <w:rStyle w:val="SingleTxtGChar"/>
        </w:rPr>
        <w:t>th</w:t>
      </w:r>
      <w:r w:rsidR="00D76974">
        <w:rPr>
          <w:rStyle w:val="SingleTxtGChar"/>
        </w:rPr>
        <w:t>ese would</w:t>
      </w:r>
      <w:r w:rsidR="00D76974" w:rsidRPr="00AB7D8E">
        <w:rPr>
          <w:rStyle w:val="SingleTxtGChar"/>
        </w:rPr>
        <w:t xml:space="preserve"> automatically also </w:t>
      </w:r>
      <w:r w:rsidR="00D76974">
        <w:rPr>
          <w:rStyle w:val="SingleTxtGChar"/>
        </w:rPr>
        <w:t xml:space="preserve">be </w:t>
      </w:r>
      <w:r w:rsidR="00D76974" w:rsidRPr="00AB7D8E">
        <w:rPr>
          <w:rStyle w:val="SingleTxtGChar"/>
        </w:rPr>
        <w:t>ap</w:t>
      </w:r>
      <w:r w:rsidR="00D76974">
        <w:rPr>
          <w:rStyle w:val="SingleTxtGChar"/>
        </w:rPr>
        <w:t xml:space="preserve">plicable to the S-provisions if these were to refer to the security plan in sub-section 1.10.3.2. </w:t>
      </w:r>
    </w:p>
    <w:p w:rsidR="00D76974" w:rsidRDefault="0053627F" w:rsidP="00D76974">
      <w:pPr>
        <w:pStyle w:val="SingleTxtG"/>
        <w:rPr>
          <w:rStyle w:val="SingleTxtGChar"/>
        </w:rPr>
      </w:pPr>
      <w:r>
        <w:rPr>
          <w:rStyle w:val="SingleTxtGChar"/>
        </w:rPr>
        <w:t>6.</w:t>
      </w:r>
      <w:r>
        <w:rPr>
          <w:rStyle w:val="SingleTxtGChar"/>
        </w:rPr>
        <w:tab/>
      </w:r>
      <w:r w:rsidR="00D76974" w:rsidRPr="00E937CD">
        <w:rPr>
          <w:rStyle w:val="SingleTxtGChar"/>
        </w:rPr>
        <w:t>I</w:t>
      </w:r>
      <w:r w:rsidR="00D76974">
        <w:rPr>
          <w:rStyle w:val="SingleTxtGChar"/>
        </w:rPr>
        <w:t xml:space="preserve">t should be kept in mind that all substances and articles in class 1, including divisions 1.3 and 1.4, have been allocated to S1 in </w:t>
      </w:r>
      <w:r w:rsidR="00442A45">
        <w:rPr>
          <w:rStyle w:val="SingleTxtGChar"/>
        </w:rPr>
        <w:t>C</w:t>
      </w:r>
      <w:r w:rsidR="00D76974">
        <w:rPr>
          <w:rStyle w:val="SingleTxtGChar"/>
        </w:rPr>
        <w:t xml:space="preserve">hapter 8.5. Consequently, </w:t>
      </w:r>
      <w:r w:rsidR="00D76974" w:rsidRPr="00741DC9">
        <w:rPr>
          <w:rStyle w:val="SingleTxtGChar"/>
          <w:u w:val="single"/>
        </w:rPr>
        <w:t>all</w:t>
      </w:r>
      <w:r w:rsidR="00D76974">
        <w:rPr>
          <w:rStyle w:val="SingleTxtGChar"/>
        </w:rPr>
        <w:t xml:space="preserve"> substances and articles listed in S1(6), </w:t>
      </w:r>
      <w:r w:rsidR="00442A45">
        <w:rPr>
          <w:rStyle w:val="SingleTxtGChar"/>
        </w:rPr>
        <w:t xml:space="preserve">are subject </w:t>
      </w:r>
      <w:r w:rsidR="00D76974">
        <w:rPr>
          <w:rStyle w:val="SingleTxtGChar"/>
        </w:rPr>
        <w:t xml:space="preserve">to the provisions on supervision in </w:t>
      </w:r>
      <w:r w:rsidR="00442A45">
        <w:rPr>
          <w:rStyle w:val="SingleTxtGChar"/>
        </w:rPr>
        <w:t>C</w:t>
      </w:r>
      <w:r w:rsidR="00D76974">
        <w:rPr>
          <w:rStyle w:val="SingleTxtGChar"/>
        </w:rPr>
        <w:t xml:space="preserve">hapter 8.4 according to the first paragraph in S1(6). This is a requirement that remains unchanged in our proposal. </w:t>
      </w:r>
    </w:p>
    <w:p w:rsidR="00D76974" w:rsidRDefault="0053627F" w:rsidP="00D76974">
      <w:pPr>
        <w:pStyle w:val="SingleTxtG"/>
        <w:rPr>
          <w:rStyle w:val="SingleTxtGChar"/>
        </w:rPr>
      </w:pPr>
      <w:r>
        <w:rPr>
          <w:rStyle w:val="SingleTxtGChar"/>
        </w:rPr>
        <w:t>7.</w:t>
      </w:r>
      <w:r>
        <w:rPr>
          <w:rStyle w:val="SingleTxtGChar"/>
        </w:rPr>
        <w:tab/>
      </w:r>
      <w:r w:rsidR="00D76974">
        <w:rPr>
          <w:rStyle w:val="SingleTxtGChar"/>
        </w:rPr>
        <w:t>We would also like to underline that S1(7), “Locking of vehicles” applies to all substances and articles in class 1 (including divisions 1.3 and 1.4):</w:t>
      </w:r>
    </w:p>
    <w:p w:rsidR="00D76974" w:rsidRPr="00BF51B2" w:rsidRDefault="00D76974" w:rsidP="00D76974">
      <w:pPr>
        <w:pStyle w:val="SingleTxtG"/>
        <w:spacing w:after="240"/>
        <w:rPr>
          <w:i/>
        </w:rPr>
      </w:pPr>
      <w:r w:rsidRPr="00BF51B2">
        <w:rPr>
          <w:rStyle w:val="SingleTxtGChar"/>
          <w:i/>
        </w:rPr>
        <w:t>“</w:t>
      </w:r>
      <w:r w:rsidRPr="00BF51B2">
        <w:rPr>
          <w:i/>
        </w:rPr>
        <w:t>Doors and rigid covers in the load compartments of EX/II vehicles and all openings in the load compartments of EX/III vehicles carrying substances and articles of Class 1 shall be locked during transport, except for the periods of loading and unloading.”</w:t>
      </w:r>
    </w:p>
    <w:p w:rsidR="00D76974" w:rsidRPr="00D10B39" w:rsidRDefault="0053627F" w:rsidP="00D76974">
      <w:pPr>
        <w:pStyle w:val="SingleTxtG"/>
        <w:rPr>
          <w:rStyle w:val="SingleTxtGChar"/>
        </w:rPr>
      </w:pPr>
      <w:r>
        <w:rPr>
          <w:rStyle w:val="SingleTxtGChar"/>
        </w:rPr>
        <w:t>8.</w:t>
      </w:r>
      <w:r>
        <w:rPr>
          <w:rStyle w:val="SingleTxtGChar"/>
        </w:rPr>
        <w:tab/>
      </w:r>
      <w:r w:rsidR="00D76974">
        <w:rPr>
          <w:rStyle w:val="SingleTxtGChar"/>
        </w:rPr>
        <w:t xml:space="preserve">The main reason with our proposal is to clarify, in all three provisions, what is required </w:t>
      </w:r>
      <w:r w:rsidR="00D76974" w:rsidRPr="00835247">
        <w:rPr>
          <w:rStyle w:val="SingleTxtGChar"/>
          <w:u w:val="single"/>
        </w:rPr>
        <w:t>in addition</w:t>
      </w:r>
      <w:r w:rsidR="00D76974">
        <w:rPr>
          <w:rStyle w:val="SingleTxtGChar"/>
        </w:rPr>
        <w:t xml:space="preserve"> to the requirement on supervision in chapter 8.4. Today, this additional requirement is not possible to comply with which means that it does not improve or contribute to a higher security level. For this reason, </w:t>
      </w:r>
      <w:r w:rsidR="003374BC">
        <w:rPr>
          <w:rStyle w:val="SingleTxtGChar"/>
        </w:rPr>
        <w:t>Sweden</w:t>
      </w:r>
      <w:r w:rsidR="00D76974">
        <w:rPr>
          <w:rStyle w:val="SingleTxtGChar"/>
        </w:rPr>
        <w:t xml:space="preserve"> cannot see any motive to keep this text – not for any substance or article. However, </w:t>
      </w:r>
      <w:r w:rsidR="003374BC">
        <w:rPr>
          <w:rStyle w:val="SingleTxtGChar"/>
        </w:rPr>
        <w:t>a reference</w:t>
      </w:r>
      <w:r w:rsidR="00D76974">
        <w:rPr>
          <w:rStyle w:val="SingleTxtGChar"/>
        </w:rPr>
        <w:t xml:space="preserve"> to the security plan would promote the security level considerably, since it would enable the actors to comply with the provisions.</w:t>
      </w:r>
    </w:p>
    <w:p w:rsidR="00D76974" w:rsidRPr="0053627F" w:rsidRDefault="00D76974" w:rsidP="0053627F">
      <w:pPr>
        <w:pStyle w:val="HChG"/>
        <w:rPr>
          <w:rStyle w:val="SingleTxtGChar"/>
          <w:sz w:val="28"/>
        </w:rPr>
      </w:pPr>
      <w:r>
        <w:tab/>
      </w:r>
      <w:r>
        <w:tab/>
      </w:r>
      <w:r w:rsidRPr="0053627F">
        <w:rPr>
          <w:rStyle w:val="SingleTxtGChar"/>
          <w:sz w:val="28"/>
        </w:rPr>
        <w:tab/>
        <w:t>Summary</w:t>
      </w:r>
    </w:p>
    <w:p w:rsidR="00D76974" w:rsidRDefault="00A72AFD" w:rsidP="0053627F">
      <w:pPr>
        <w:pStyle w:val="SingleTxtG"/>
        <w:rPr>
          <w:rStyle w:val="SingleTxtGChar"/>
        </w:rPr>
      </w:pPr>
      <w:r>
        <w:rPr>
          <w:rStyle w:val="SingleTxtGChar"/>
        </w:rPr>
        <w:t>9</w:t>
      </w:r>
      <w:r w:rsidR="001C58C6">
        <w:rPr>
          <w:rStyle w:val="SingleTxtGChar"/>
        </w:rPr>
        <w:t>.</w:t>
      </w:r>
      <w:r w:rsidR="001C58C6">
        <w:rPr>
          <w:rStyle w:val="SingleTxtGChar"/>
        </w:rPr>
        <w:tab/>
      </w:r>
      <w:r w:rsidR="00D76974">
        <w:rPr>
          <w:rStyle w:val="SingleTxtGChar"/>
        </w:rPr>
        <w:t xml:space="preserve">Previous discussions together with the result from the questionnaire, indicate that it would be problematic to define what is meant with the term “supervision” by specifying fixed measures in S1(6), S16 and S21. For this reason, we believe that a provision that could be adapted to the unique circumstances of a transport would be a more suitable solution. </w:t>
      </w:r>
    </w:p>
    <w:p w:rsidR="00D76974" w:rsidRPr="004660EA" w:rsidRDefault="001C58C6" w:rsidP="0053627F">
      <w:pPr>
        <w:pStyle w:val="SingleTxtG"/>
        <w:rPr>
          <w:rStyle w:val="SingleTxtGChar"/>
        </w:rPr>
      </w:pPr>
      <w:r>
        <w:t>1</w:t>
      </w:r>
      <w:r w:rsidR="00A72AFD">
        <w:t>0</w:t>
      </w:r>
      <w:r>
        <w:t>.</w:t>
      </w:r>
      <w:r>
        <w:tab/>
      </w:r>
      <w:r w:rsidR="00D76974">
        <w:t xml:space="preserve">Based on the discussions and the facts that have emerged during this work together with the </w:t>
      </w:r>
      <w:proofErr w:type="gramStart"/>
      <w:r w:rsidR="00D76974">
        <w:t>aforementioned reasoning</w:t>
      </w:r>
      <w:proofErr w:type="gramEnd"/>
      <w:r w:rsidR="00D76974">
        <w:t xml:space="preserve">, Sweden suggests that a reference to the security plan in sub-section 1.10.3.2 is inserted in relevant parts of the S-provisions in Chapter 8.5. </w:t>
      </w:r>
    </w:p>
    <w:p w:rsidR="00D76974" w:rsidRDefault="00D76974" w:rsidP="00D76974">
      <w:pPr>
        <w:pStyle w:val="HChG"/>
      </w:pPr>
      <w:r>
        <w:lastRenderedPageBreak/>
        <w:tab/>
      </w:r>
      <w:r>
        <w:tab/>
      </w:r>
      <w:r w:rsidRPr="004660EA">
        <w:t>Proposal</w:t>
      </w:r>
      <w:r>
        <w:t>s</w:t>
      </w:r>
    </w:p>
    <w:p w:rsidR="0053627F" w:rsidRDefault="0053627F" w:rsidP="0053627F">
      <w:pPr>
        <w:pStyle w:val="H1G"/>
      </w:pPr>
      <w:r>
        <w:tab/>
      </w:r>
      <w:r w:rsidR="00D76974">
        <w:tab/>
      </w:r>
      <w:r w:rsidR="00D76974" w:rsidRPr="0053627F">
        <w:t>Proposal 1</w:t>
      </w:r>
      <w:r w:rsidR="00D76974">
        <w:t xml:space="preserve"> </w:t>
      </w:r>
    </w:p>
    <w:p w:rsidR="00D76974" w:rsidRPr="0053627F" w:rsidRDefault="001C58C6" w:rsidP="0053627F">
      <w:pPr>
        <w:pStyle w:val="SingleTxtG"/>
        <w:rPr>
          <w:i/>
          <w:iCs/>
        </w:rPr>
      </w:pPr>
      <w:r>
        <w:t>1</w:t>
      </w:r>
      <w:r w:rsidR="00A72AFD">
        <w:t>1</w:t>
      </w:r>
      <w:r>
        <w:t>.</w:t>
      </w:r>
      <w:r>
        <w:tab/>
      </w:r>
      <w:r w:rsidR="00D76974" w:rsidRPr="0053627F">
        <w:rPr>
          <w:i/>
          <w:iCs/>
        </w:rPr>
        <w:t>Amend the text in the additional provision S1(6) in chapter 8.5 as follows (changes underlined):</w:t>
      </w:r>
    </w:p>
    <w:p w:rsidR="00D76974" w:rsidRDefault="00D76974" w:rsidP="00D76974">
      <w:pPr>
        <w:spacing w:before="120" w:after="120"/>
        <w:ind w:left="1134"/>
        <w:rPr>
          <w:b/>
          <w:i/>
        </w:rPr>
      </w:pPr>
      <w:r>
        <w:rPr>
          <w:b/>
        </w:rPr>
        <w:t>“S1(6)</w:t>
      </w:r>
      <w:r w:rsidR="0053627F">
        <w:rPr>
          <w:b/>
        </w:rPr>
        <w:tab/>
      </w:r>
      <w:r>
        <w:rPr>
          <w:b/>
        </w:rPr>
        <w:tab/>
      </w:r>
      <w:r w:rsidRPr="00316A1D">
        <w:rPr>
          <w:b/>
          <w:i/>
        </w:rPr>
        <w:t>Supervision of vehicles</w:t>
      </w:r>
    </w:p>
    <w:p w:rsidR="00D76974" w:rsidRPr="00381334" w:rsidRDefault="00D76974" w:rsidP="0053627F">
      <w:pPr>
        <w:pStyle w:val="SingleTxtG"/>
        <w:ind w:left="2268"/>
      </w:pPr>
      <w:r>
        <w:tab/>
      </w:r>
      <w:r w:rsidRPr="00381334">
        <w:t>The requirements of Chapter 8.4 shall be applicable only when substances and articles of Class 1 having a total net mass of explosive substance above the limits set below are carried in a vehicle:</w:t>
      </w:r>
    </w:p>
    <w:tbl>
      <w:tblPr>
        <w:tblW w:w="7654" w:type="dxa"/>
        <w:jc w:val="center"/>
        <w:tblLayout w:type="fixed"/>
        <w:tblCellMar>
          <w:left w:w="70" w:type="dxa"/>
          <w:right w:w="70" w:type="dxa"/>
        </w:tblCellMar>
        <w:tblLook w:val="0000" w:firstRow="0" w:lastRow="0" w:firstColumn="0" w:lastColumn="0" w:noHBand="0" w:noVBand="0"/>
      </w:tblPr>
      <w:tblGrid>
        <w:gridCol w:w="6309"/>
        <w:gridCol w:w="1345"/>
      </w:tblGrid>
      <w:tr w:rsidR="00D76974" w:rsidRPr="00041B7F" w:rsidTr="0053627F">
        <w:trPr>
          <w:cantSplit/>
          <w:jc w:val="center"/>
        </w:trPr>
        <w:tc>
          <w:tcPr>
            <w:tcW w:w="6309" w:type="dxa"/>
          </w:tcPr>
          <w:p w:rsidR="00D76974" w:rsidRPr="00041B7F" w:rsidRDefault="00D76974" w:rsidP="0053627F">
            <w:pPr>
              <w:keepNext/>
              <w:keepLines/>
              <w:tabs>
                <w:tab w:val="left" w:pos="1418"/>
              </w:tabs>
              <w:spacing w:before="60" w:after="60"/>
              <w:jc w:val="both"/>
            </w:pPr>
            <w:r w:rsidRPr="00041B7F">
              <w:t>Division 1.1:</w:t>
            </w:r>
          </w:p>
        </w:tc>
        <w:tc>
          <w:tcPr>
            <w:tcW w:w="1345" w:type="dxa"/>
          </w:tcPr>
          <w:p w:rsidR="00D76974" w:rsidRPr="00041B7F" w:rsidRDefault="00D76974" w:rsidP="0053627F">
            <w:pPr>
              <w:keepNext/>
              <w:keepLines/>
              <w:tabs>
                <w:tab w:val="left" w:pos="1418"/>
              </w:tabs>
              <w:spacing w:before="60" w:after="60"/>
              <w:jc w:val="center"/>
            </w:pPr>
            <w:r w:rsidRPr="00041B7F">
              <w:t>0 kg</w:t>
            </w:r>
          </w:p>
        </w:tc>
      </w:tr>
      <w:tr w:rsidR="00D76974" w:rsidRPr="00041B7F" w:rsidTr="0053627F">
        <w:trPr>
          <w:cantSplit/>
          <w:jc w:val="center"/>
        </w:trPr>
        <w:tc>
          <w:tcPr>
            <w:tcW w:w="6309" w:type="dxa"/>
          </w:tcPr>
          <w:p w:rsidR="00D76974" w:rsidRPr="00041B7F" w:rsidRDefault="00D76974" w:rsidP="0053627F">
            <w:pPr>
              <w:keepNext/>
              <w:keepLines/>
              <w:tabs>
                <w:tab w:val="left" w:pos="1418"/>
              </w:tabs>
              <w:spacing w:before="60" w:after="60"/>
              <w:jc w:val="both"/>
            </w:pPr>
            <w:r w:rsidRPr="00041B7F">
              <w:t>Division 1.2:</w:t>
            </w:r>
          </w:p>
        </w:tc>
        <w:tc>
          <w:tcPr>
            <w:tcW w:w="1345" w:type="dxa"/>
          </w:tcPr>
          <w:p w:rsidR="00D76974" w:rsidRPr="00041B7F" w:rsidRDefault="00D76974" w:rsidP="0053627F">
            <w:pPr>
              <w:keepNext/>
              <w:keepLines/>
              <w:tabs>
                <w:tab w:val="left" w:pos="1418"/>
              </w:tabs>
              <w:spacing w:before="60" w:after="60"/>
              <w:jc w:val="center"/>
            </w:pPr>
            <w:r w:rsidRPr="00041B7F">
              <w:t>0 kg</w:t>
            </w:r>
          </w:p>
        </w:tc>
      </w:tr>
      <w:tr w:rsidR="00D76974" w:rsidRPr="00041B7F" w:rsidTr="0053627F">
        <w:trPr>
          <w:cantSplit/>
          <w:jc w:val="center"/>
        </w:trPr>
        <w:tc>
          <w:tcPr>
            <w:tcW w:w="6309" w:type="dxa"/>
          </w:tcPr>
          <w:p w:rsidR="00D76974" w:rsidRPr="00041B7F" w:rsidRDefault="00D76974" w:rsidP="0053627F">
            <w:pPr>
              <w:keepNext/>
              <w:keepLines/>
              <w:tabs>
                <w:tab w:val="left" w:pos="1418"/>
              </w:tabs>
              <w:spacing w:before="60" w:after="60"/>
              <w:jc w:val="both"/>
            </w:pPr>
            <w:r w:rsidRPr="00041B7F">
              <w:t>Division 1.3, compatibility group C:</w:t>
            </w:r>
          </w:p>
        </w:tc>
        <w:tc>
          <w:tcPr>
            <w:tcW w:w="1345" w:type="dxa"/>
          </w:tcPr>
          <w:p w:rsidR="00D76974" w:rsidRPr="00041B7F" w:rsidRDefault="00D76974" w:rsidP="0053627F">
            <w:pPr>
              <w:keepNext/>
              <w:keepLines/>
              <w:tabs>
                <w:tab w:val="left" w:pos="1418"/>
              </w:tabs>
              <w:spacing w:before="60" w:after="60"/>
              <w:jc w:val="center"/>
              <w:rPr>
                <w:bCs/>
              </w:rPr>
            </w:pPr>
            <w:r w:rsidRPr="00041B7F">
              <w:rPr>
                <w:bCs/>
              </w:rPr>
              <w:t>0 kg</w:t>
            </w:r>
          </w:p>
        </w:tc>
      </w:tr>
      <w:tr w:rsidR="00D76974" w:rsidRPr="00981F8E" w:rsidTr="0053627F">
        <w:trPr>
          <w:cantSplit/>
          <w:jc w:val="center"/>
        </w:trPr>
        <w:tc>
          <w:tcPr>
            <w:tcW w:w="6309" w:type="dxa"/>
          </w:tcPr>
          <w:p w:rsidR="00D76974" w:rsidRPr="00981F8E" w:rsidRDefault="00D76974" w:rsidP="0053627F">
            <w:pPr>
              <w:keepNext/>
              <w:keepLines/>
              <w:tabs>
                <w:tab w:val="left" w:pos="1418"/>
              </w:tabs>
              <w:spacing w:before="60" w:after="60"/>
              <w:jc w:val="both"/>
            </w:pPr>
            <w:r w:rsidRPr="00981F8E">
              <w:t>Division 1.3, other than compatibility group C:</w:t>
            </w:r>
          </w:p>
        </w:tc>
        <w:tc>
          <w:tcPr>
            <w:tcW w:w="1345" w:type="dxa"/>
            <w:vAlign w:val="bottom"/>
          </w:tcPr>
          <w:p w:rsidR="00D76974" w:rsidRPr="00981F8E" w:rsidRDefault="00D76974" w:rsidP="0053627F">
            <w:pPr>
              <w:keepNext/>
              <w:keepLines/>
              <w:tabs>
                <w:tab w:val="left" w:pos="1418"/>
              </w:tabs>
              <w:spacing w:before="60" w:after="60"/>
              <w:jc w:val="center"/>
              <w:rPr>
                <w:bCs/>
              </w:rPr>
            </w:pPr>
            <w:r w:rsidRPr="00981F8E">
              <w:t>50 kg</w:t>
            </w:r>
          </w:p>
        </w:tc>
      </w:tr>
      <w:tr w:rsidR="00D76974" w:rsidRPr="00981F8E" w:rsidTr="0053627F">
        <w:trPr>
          <w:cantSplit/>
          <w:jc w:val="center"/>
        </w:trPr>
        <w:tc>
          <w:tcPr>
            <w:tcW w:w="6309" w:type="dxa"/>
          </w:tcPr>
          <w:p w:rsidR="00D76974" w:rsidRPr="00981F8E" w:rsidRDefault="00D76974" w:rsidP="0053627F">
            <w:pPr>
              <w:keepNext/>
              <w:keepLines/>
              <w:tabs>
                <w:tab w:val="left" w:pos="1418"/>
              </w:tabs>
              <w:spacing w:before="60" w:after="60"/>
              <w:jc w:val="both"/>
            </w:pPr>
            <w:r w:rsidRPr="00981F8E">
              <w:t>Division 1.4, other than those listed below:</w:t>
            </w:r>
          </w:p>
        </w:tc>
        <w:tc>
          <w:tcPr>
            <w:tcW w:w="1345" w:type="dxa"/>
          </w:tcPr>
          <w:p w:rsidR="00D76974" w:rsidRPr="00981F8E" w:rsidRDefault="00D76974" w:rsidP="0053627F">
            <w:pPr>
              <w:keepNext/>
              <w:keepLines/>
              <w:tabs>
                <w:tab w:val="left" w:pos="1418"/>
              </w:tabs>
              <w:spacing w:before="60" w:after="60"/>
              <w:jc w:val="center"/>
            </w:pPr>
            <w:r w:rsidRPr="00981F8E">
              <w:t>50 kg</w:t>
            </w:r>
          </w:p>
        </w:tc>
      </w:tr>
      <w:tr w:rsidR="00D76974" w:rsidRPr="00981F8E" w:rsidTr="0053627F">
        <w:trPr>
          <w:cantSplit/>
          <w:jc w:val="center"/>
        </w:trPr>
        <w:tc>
          <w:tcPr>
            <w:tcW w:w="6309" w:type="dxa"/>
          </w:tcPr>
          <w:p w:rsidR="00D76974" w:rsidRPr="00981F8E" w:rsidRDefault="00D76974" w:rsidP="0053627F">
            <w:pPr>
              <w:keepNext/>
              <w:keepLines/>
              <w:tabs>
                <w:tab w:val="left" w:pos="1418"/>
              </w:tabs>
              <w:spacing w:before="60" w:after="60"/>
              <w:jc w:val="both"/>
            </w:pPr>
            <w:r w:rsidRPr="00981F8E">
              <w:t>Division 1.5:</w:t>
            </w:r>
          </w:p>
        </w:tc>
        <w:tc>
          <w:tcPr>
            <w:tcW w:w="1345" w:type="dxa"/>
          </w:tcPr>
          <w:p w:rsidR="00D76974" w:rsidRPr="00981F8E" w:rsidRDefault="00D76974" w:rsidP="0053627F">
            <w:pPr>
              <w:keepNext/>
              <w:keepLines/>
              <w:tabs>
                <w:tab w:val="left" w:pos="1418"/>
              </w:tabs>
              <w:spacing w:before="60" w:after="60"/>
              <w:jc w:val="center"/>
            </w:pPr>
            <w:r w:rsidRPr="00981F8E">
              <w:t>0 kg</w:t>
            </w:r>
          </w:p>
        </w:tc>
      </w:tr>
      <w:tr w:rsidR="00D76974" w:rsidRPr="00041B7F" w:rsidTr="0053627F">
        <w:trPr>
          <w:cantSplit/>
          <w:jc w:val="center"/>
        </w:trPr>
        <w:tc>
          <w:tcPr>
            <w:tcW w:w="6309" w:type="dxa"/>
          </w:tcPr>
          <w:p w:rsidR="00D76974" w:rsidRPr="00981F8E" w:rsidRDefault="00D76974" w:rsidP="0053627F">
            <w:pPr>
              <w:keepNext/>
              <w:keepLines/>
              <w:tabs>
                <w:tab w:val="left" w:pos="1418"/>
              </w:tabs>
              <w:spacing w:before="60" w:after="60"/>
              <w:jc w:val="both"/>
            </w:pPr>
            <w:r w:rsidRPr="00981F8E">
              <w:t>Division 1.6:</w:t>
            </w:r>
          </w:p>
        </w:tc>
        <w:tc>
          <w:tcPr>
            <w:tcW w:w="1345" w:type="dxa"/>
          </w:tcPr>
          <w:p w:rsidR="00D76974" w:rsidRPr="00981F8E" w:rsidRDefault="00D76974" w:rsidP="0053627F">
            <w:pPr>
              <w:keepNext/>
              <w:keepLines/>
              <w:tabs>
                <w:tab w:val="left" w:pos="1418"/>
              </w:tabs>
              <w:spacing w:before="60" w:after="60"/>
              <w:jc w:val="center"/>
            </w:pPr>
            <w:r w:rsidRPr="00981F8E">
              <w:t>50 kg</w:t>
            </w:r>
          </w:p>
        </w:tc>
      </w:tr>
      <w:tr w:rsidR="00D76974" w:rsidRPr="00041B7F" w:rsidTr="0053627F">
        <w:trPr>
          <w:cantSplit/>
          <w:jc w:val="center"/>
        </w:trPr>
        <w:tc>
          <w:tcPr>
            <w:tcW w:w="6309" w:type="dxa"/>
          </w:tcPr>
          <w:p w:rsidR="00D76974" w:rsidRPr="00381334" w:rsidRDefault="00D76974" w:rsidP="0053627F">
            <w:pPr>
              <w:keepNext/>
              <w:keepLines/>
              <w:tabs>
                <w:tab w:val="left" w:pos="1418"/>
              </w:tabs>
              <w:spacing w:before="60" w:after="60"/>
              <w:jc w:val="both"/>
            </w:pPr>
            <w:r w:rsidRPr="00381334">
              <w:t>Substances and articles of Division 1.4 belonging to UN numbers 0104, 0237,0255, 0267, 0289, 0361, 0365, 0366, 0440, 0441, 0455, 0456 and 0500:</w:t>
            </w:r>
          </w:p>
        </w:tc>
        <w:tc>
          <w:tcPr>
            <w:tcW w:w="1345" w:type="dxa"/>
            <w:vAlign w:val="bottom"/>
          </w:tcPr>
          <w:p w:rsidR="00D76974" w:rsidRPr="00041B7F" w:rsidRDefault="00D76974" w:rsidP="0053627F">
            <w:pPr>
              <w:keepNext/>
              <w:keepLines/>
              <w:tabs>
                <w:tab w:val="left" w:pos="1418"/>
              </w:tabs>
              <w:spacing w:before="60" w:after="60"/>
              <w:jc w:val="center"/>
            </w:pPr>
            <w:r w:rsidRPr="00041B7F">
              <w:t>0 kg</w:t>
            </w:r>
          </w:p>
        </w:tc>
      </w:tr>
    </w:tbl>
    <w:p w:rsidR="00D76974" w:rsidRPr="00381334" w:rsidRDefault="00D76974" w:rsidP="0053627F">
      <w:pPr>
        <w:pStyle w:val="SingleTxtG"/>
        <w:ind w:left="2268"/>
      </w:pPr>
      <w:r w:rsidRPr="00381334">
        <w:tab/>
        <w:t xml:space="preserve">For mixed loads the lowest limit applicable to any of the substances or articles carried shall be used for the </w:t>
      </w:r>
      <w:proofErr w:type="gramStart"/>
      <w:r w:rsidRPr="00381334">
        <w:t>load as a whole</w:t>
      </w:r>
      <w:proofErr w:type="gramEnd"/>
      <w:r w:rsidRPr="00381334">
        <w:t>.</w:t>
      </w:r>
    </w:p>
    <w:p w:rsidR="0053627F" w:rsidRDefault="00D76974" w:rsidP="0053627F">
      <w:pPr>
        <w:pStyle w:val="SingleTxtG"/>
        <w:ind w:left="2268"/>
      </w:pPr>
      <w:r w:rsidRPr="00381334">
        <w:tab/>
        <w:t>In addition, these substances and articles</w:t>
      </w:r>
      <w:r w:rsidRPr="00316A1D">
        <w:rPr>
          <w:u w:val="single"/>
        </w:rPr>
        <w:t>, when subject to the provisions in Section 1.10.3,</w:t>
      </w:r>
      <w:r>
        <w:rPr>
          <w:u w:val="single"/>
        </w:rPr>
        <w:t xml:space="preserve"> </w:t>
      </w:r>
      <w:r w:rsidRPr="00381334">
        <w:t xml:space="preserve">shall be supervised </w:t>
      </w:r>
      <w:r w:rsidRPr="00316A1D">
        <w:rPr>
          <w:u w:val="single"/>
        </w:rPr>
        <w:t xml:space="preserve">in accordance with the security plan </w:t>
      </w:r>
      <w:r>
        <w:rPr>
          <w:u w:val="single"/>
        </w:rPr>
        <w:t xml:space="preserve">in </w:t>
      </w:r>
      <w:r w:rsidRPr="00316A1D">
        <w:rPr>
          <w:u w:val="single"/>
        </w:rPr>
        <w:t xml:space="preserve">1.10.3.2 </w:t>
      </w:r>
      <w:r w:rsidRPr="00381334">
        <w:t>at all times</w:t>
      </w:r>
      <w:r>
        <w:t xml:space="preserve"> </w:t>
      </w:r>
      <w:r w:rsidRPr="00381334">
        <w:t>in order to prevent any malicious act and to alert the driver and the competent authorities in the event of loss or fire.</w:t>
      </w:r>
      <w:r w:rsidR="0053627F">
        <w:t xml:space="preserve"> </w:t>
      </w:r>
    </w:p>
    <w:p w:rsidR="00D76974" w:rsidRDefault="00D76974" w:rsidP="0053627F">
      <w:pPr>
        <w:pStyle w:val="SingleTxtG"/>
        <w:ind w:left="2268"/>
      </w:pPr>
      <w:r w:rsidRPr="00381334">
        <w:t xml:space="preserve">Empty uncleaned </w:t>
      </w:r>
      <w:proofErr w:type="spellStart"/>
      <w:r w:rsidRPr="00381334">
        <w:t>packagings</w:t>
      </w:r>
      <w:proofErr w:type="spellEnd"/>
      <w:r w:rsidRPr="00381334">
        <w:t xml:space="preserve"> are exempted.</w:t>
      </w:r>
      <w:r>
        <w:t>”</w:t>
      </w:r>
    </w:p>
    <w:p w:rsidR="0053627F" w:rsidRDefault="0053627F" w:rsidP="0053627F">
      <w:pPr>
        <w:pStyle w:val="H1G"/>
      </w:pPr>
      <w:r w:rsidRPr="0053627F">
        <w:tab/>
      </w:r>
      <w:r w:rsidR="00D76974" w:rsidRPr="0053627F">
        <w:tab/>
        <w:t>Proposal 2</w:t>
      </w:r>
    </w:p>
    <w:p w:rsidR="00D76974" w:rsidRPr="0053627F" w:rsidRDefault="001C58C6" w:rsidP="0053627F">
      <w:pPr>
        <w:pStyle w:val="SingleTxtG"/>
        <w:rPr>
          <w:i/>
          <w:iCs/>
        </w:rPr>
      </w:pPr>
      <w:r>
        <w:t>1</w:t>
      </w:r>
      <w:r w:rsidR="00A72AFD">
        <w:t>2</w:t>
      </w:r>
      <w:r>
        <w:t>.</w:t>
      </w:r>
      <w:r>
        <w:tab/>
      </w:r>
      <w:r w:rsidR="00D76974" w:rsidRPr="0053627F">
        <w:rPr>
          <w:i/>
          <w:iCs/>
        </w:rPr>
        <w:t>Amend the text in the additional provision S16 in chapter 8.5 as follows (changes stricken through/underlined):</w:t>
      </w:r>
    </w:p>
    <w:p w:rsidR="00D76974" w:rsidRDefault="00D76974" w:rsidP="0053627F">
      <w:pPr>
        <w:pStyle w:val="SingleTxtG"/>
        <w:ind w:left="2268" w:hanging="1134"/>
      </w:pPr>
      <w:r>
        <w:rPr>
          <w:b/>
        </w:rPr>
        <w:t>“</w:t>
      </w:r>
      <w:r w:rsidRPr="00316A1D">
        <w:rPr>
          <w:b/>
        </w:rPr>
        <w:t>S16:</w:t>
      </w:r>
      <w:r w:rsidRPr="00316A1D">
        <w:rPr>
          <w:b/>
        </w:rPr>
        <w:tab/>
      </w:r>
      <w:r w:rsidR="0053627F">
        <w:rPr>
          <w:b/>
        </w:rPr>
        <w:tab/>
      </w:r>
      <w:r w:rsidRPr="00316A1D">
        <w:t>The provisions of Chapter 8.4 concerning the supervision of vehicles shall apply when the total mass of these substances in the vehicle exceeds 500 kg.</w:t>
      </w:r>
      <w:r>
        <w:t xml:space="preserve"> </w:t>
      </w:r>
    </w:p>
    <w:p w:rsidR="00D76974" w:rsidRDefault="00D76974" w:rsidP="0053627F">
      <w:pPr>
        <w:pStyle w:val="SingleTxtG"/>
        <w:ind w:left="2268"/>
      </w:pPr>
      <w:r w:rsidRPr="00316A1D">
        <w:t>In addition, vehicles carrying more than 500 kg of these substances shall</w:t>
      </w:r>
      <w:r w:rsidRPr="00316A1D">
        <w:rPr>
          <w:u w:val="single"/>
        </w:rPr>
        <w:t>, when subject</w:t>
      </w:r>
      <w:r>
        <w:rPr>
          <w:u w:val="single"/>
        </w:rPr>
        <w:t xml:space="preserve"> </w:t>
      </w:r>
      <w:r w:rsidRPr="00316A1D">
        <w:rPr>
          <w:u w:val="single"/>
        </w:rPr>
        <w:t>to the provisions in Section 1.10.3</w:t>
      </w:r>
      <w:proofErr w:type="gramStart"/>
      <w:r w:rsidRPr="00316A1D">
        <w:rPr>
          <w:u w:val="single"/>
        </w:rPr>
        <w:t>,</w:t>
      </w:r>
      <w:r>
        <w:rPr>
          <w:u w:val="single"/>
        </w:rPr>
        <w:t xml:space="preserve"> </w:t>
      </w:r>
      <w:r w:rsidRPr="00316A1D">
        <w:t xml:space="preserve"> be</w:t>
      </w:r>
      <w:proofErr w:type="gramEnd"/>
      <w:r w:rsidRPr="00316A1D">
        <w:t xml:space="preserve"> </w:t>
      </w:r>
      <w:r w:rsidRPr="00316A1D">
        <w:rPr>
          <w:strike/>
        </w:rPr>
        <w:t xml:space="preserve">subject </w:t>
      </w:r>
      <w:r w:rsidRPr="00316A1D">
        <w:rPr>
          <w:u w:val="single"/>
        </w:rPr>
        <w:t xml:space="preserve">supervised in accordance with the security plan 1.10.3.2 </w:t>
      </w:r>
      <w:r w:rsidRPr="00316A1D">
        <w:t xml:space="preserve">at all times </w:t>
      </w:r>
      <w:r w:rsidRPr="00316A1D">
        <w:rPr>
          <w:strike/>
        </w:rPr>
        <w:t>to supervision</w:t>
      </w:r>
      <w:r w:rsidRPr="00316A1D">
        <w:t xml:space="preserve"> to prevent any malicious act and to alert the driver and competent authorities in the event of loss or fire.</w:t>
      </w:r>
      <w:r>
        <w:t>”</w:t>
      </w:r>
    </w:p>
    <w:p w:rsidR="0053627F" w:rsidRDefault="0053627F" w:rsidP="0053627F">
      <w:pPr>
        <w:pStyle w:val="H1G"/>
      </w:pPr>
      <w:r w:rsidRPr="0053627F">
        <w:tab/>
      </w:r>
      <w:r w:rsidRPr="0053627F">
        <w:tab/>
      </w:r>
      <w:r w:rsidR="00D76974" w:rsidRPr="0053627F">
        <w:t>Proposal 3</w:t>
      </w:r>
    </w:p>
    <w:p w:rsidR="00D76974" w:rsidRPr="0053627F" w:rsidRDefault="001C58C6" w:rsidP="0053627F">
      <w:pPr>
        <w:pStyle w:val="SingleTxtG"/>
        <w:rPr>
          <w:i/>
          <w:iCs/>
        </w:rPr>
      </w:pPr>
      <w:r>
        <w:t>1</w:t>
      </w:r>
      <w:r w:rsidR="00A72AFD">
        <w:t>3</w:t>
      </w:r>
      <w:r>
        <w:t>.</w:t>
      </w:r>
      <w:r>
        <w:tab/>
      </w:r>
      <w:r w:rsidR="00D76974" w:rsidRPr="0053627F">
        <w:rPr>
          <w:i/>
          <w:iCs/>
        </w:rPr>
        <w:t>Amend the text in the additional provision S21 in chapter 8.5 as follows (changes stricken through/underlined):</w:t>
      </w:r>
    </w:p>
    <w:p w:rsidR="00D76974" w:rsidRDefault="00D76974" w:rsidP="0053627F">
      <w:pPr>
        <w:pStyle w:val="SingleTxtG"/>
        <w:ind w:left="2268" w:hanging="1134"/>
      </w:pPr>
      <w:r>
        <w:rPr>
          <w:b/>
        </w:rPr>
        <w:t>“</w:t>
      </w:r>
      <w:r w:rsidRPr="00316A1D">
        <w:rPr>
          <w:b/>
        </w:rPr>
        <w:t>S21:</w:t>
      </w:r>
      <w:r w:rsidRPr="00316A1D">
        <w:tab/>
        <w:t xml:space="preserve">The provisions of Chapter 8.4 concerning the supervision of vehicles shall apply to all material, in whatever mass. </w:t>
      </w:r>
      <w:r w:rsidRPr="00316A1D">
        <w:rPr>
          <w:strike/>
        </w:rPr>
        <w:t xml:space="preserve">In addition, these goods </w:t>
      </w:r>
      <w:proofErr w:type="gramStart"/>
      <w:r w:rsidRPr="00316A1D">
        <w:rPr>
          <w:strike/>
        </w:rPr>
        <w:t>shall be subject at all times</w:t>
      </w:r>
      <w:proofErr w:type="gramEnd"/>
      <w:r w:rsidRPr="00316A1D">
        <w:rPr>
          <w:strike/>
        </w:rPr>
        <w:t xml:space="preserve"> to supervision to prevent any malicious act and to alert the driver and the competent authorities in the event of loss or fire. </w:t>
      </w:r>
      <w:r w:rsidRPr="00316A1D">
        <w:t>However, the provisions of Chapter 8.4 need not be applied where:</w:t>
      </w:r>
    </w:p>
    <w:p w:rsidR="00D76974" w:rsidRDefault="00D76974" w:rsidP="0053627F">
      <w:pPr>
        <w:pStyle w:val="SingleTxtG"/>
        <w:ind w:left="2268"/>
      </w:pPr>
      <w:r>
        <w:lastRenderedPageBreak/>
        <w:tab/>
      </w:r>
      <w:r w:rsidRPr="00316A1D">
        <w:t>(a)</w:t>
      </w:r>
      <w:r w:rsidRPr="00316A1D">
        <w:tab/>
        <w:t xml:space="preserve">The loaded compartment is </w:t>
      </w:r>
      <w:proofErr w:type="gramStart"/>
      <w:r w:rsidRPr="00316A1D">
        <w:t>locked</w:t>
      </w:r>
      <w:proofErr w:type="gramEnd"/>
      <w:r w:rsidRPr="00316A1D">
        <w:t xml:space="preserve"> or the packages carried are otherwise protected against illicit unloading; and</w:t>
      </w:r>
    </w:p>
    <w:p w:rsidR="00D76974" w:rsidRDefault="00D76974" w:rsidP="0053627F">
      <w:pPr>
        <w:pStyle w:val="SingleTxtG"/>
        <w:ind w:left="2268"/>
      </w:pPr>
      <w:r w:rsidRPr="00316A1D">
        <w:tab/>
        <w:t>(b)</w:t>
      </w:r>
      <w:r w:rsidRPr="00316A1D">
        <w:tab/>
        <w:t>The dose rate does not exceed 5</w:t>
      </w:r>
      <w:r w:rsidR="003374BC">
        <w:t xml:space="preserve"> </w:t>
      </w:r>
      <w:r w:rsidRPr="00041B7F">
        <w:sym w:font="Symbol" w:char="F06D"/>
      </w:r>
      <w:proofErr w:type="spellStart"/>
      <w:r w:rsidRPr="00316A1D">
        <w:t>Sv</w:t>
      </w:r>
      <w:proofErr w:type="spellEnd"/>
      <w:r w:rsidRPr="00316A1D">
        <w:t>/h at any accessible point on the outer surface of the vehicle.</w:t>
      </w:r>
      <w:r>
        <w:t xml:space="preserve"> </w:t>
      </w:r>
    </w:p>
    <w:p w:rsidR="00D76974" w:rsidRDefault="00D76974" w:rsidP="00D76974">
      <w:pPr>
        <w:pStyle w:val="SingleTxtG"/>
        <w:rPr>
          <w:u w:val="single"/>
        </w:rPr>
      </w:pPr>
      <w:r>
        <w:tab/>
      </w:r>
      <w:r w:rsidRPr="00C90DAA">
        <w:rPr>
          <w:u w:val="single"/>
        </w:rPr>
        <w:t>In addition, these goods shall, when subject to the provisions in Section 1.10.3, be supervised</w:t>
      </w:r>
      <w:r w:rsidR="003374BC">
        <w:rPr>
          <w:u w:val="single"/>
        </w:rPr>
        <w:t xml:space="preserve"> </w:t>
      </w:r>
      <w:r w:rsidRPr="00C90DAA">
        <w:rPr>
          <w:u w:val="single"/>
        </w:rPr>
        <w:t>in accordance with the security plan in sub-section 1.10.3.2 at all times to prevent any malicious act and to alert the driver and the competent authorities in the event of loss or fire.</w:t>
      </w:r>
      <w:r>
        <w:rPr>
          <w:u w:val="single"/>
        </w:rPr>
        <w:t>”</w:t>
      </w:r>
    </w:p>
    <w:p w:rsidR="00D76974" w:rsidRPr="001A4E27" w:rsidRDefault="00D76974" w:rsidP="00D76974">
      <w:pPr>
        <w:pStyle w:val="HChG"/>
      </w:pPr>
      <w:r w:rsidRPr="007D3D84">
        <w:tab/>
      </w:r>
      <w:r w:rsidRPr="007D3D84">
        <w:tab/>
      </w:r>
      <w:r w:rsidRPr="001A4E27">
        <w:t xml:space="preserve">Justification </w:t>
      </w:r>
    </w:p>
    <w:p w:rsidR="00D76974" w:rsidRPr="0053627F" w:rsidRDefault="001C58C6" w:rsidP="0053627F">
      <w:pPr>
        <w:pStyle w:val="SingleTxtG"/>
      </w:pPr>
      <w:r>
        <w:rPr>
          <w:rStyle w:val="SingleTxtGChar"/>
        </w:rPr>
        <w:t>1</w:t>
      </w:r>
      <w:r w:rsidR="00A72AFD">
        <w:rPr>
          <w:rStyle w:val="SingleTxtGChar"/>
        </w:rPr>
        <w:t>4</w:t>
      </w:r>
      <w:r>
        <w:rPr>
          <w:rStyle w:val="SingleTxtGChar"/>
        </w:rPr>
        <w:t>.</w:t>
      </w:r>
      <w:r>
        <w:rPr>
          <w:rStyle w:val="SingleTxtGChar"/>
        </w:rPr>
        <w:tab/>
      </w:r>
      <w:r w:rsidR="00D76974" w:rsidRPr="0053627F">
        <w:rPr>
          <w:rStyle w:val="SingleTxtGChar"/>
        </w:rPr>
        <w:t>Chapter 1.10 deals with provisions concerning security. Work has been carried out, and is continuously ongoing, to evaluate which substances and articles that should be considered as high consequence dangerous goods and for which specific measures should be taken to minimise the risk of theft or misuse. Introducing a reference in chapter 8.5 to the security plan in chapter 1.10 would therefore make these provisions more consistent.</w:t>
      </w:r>
    </w:p>
    <w:p w:rsidR="00D76974" w:rsidRPr="0053627F" w:rsidRDefault="001C58C6" w:rsidP="0053627F">
      <w:pPr>
        <w:pStyle w:val="SingleTxtG"/>
      </w:pPr>
      <w:r>
        <w:t>1</w:t>
      </w:r>
      <w:r w:rsidR="00A72AFD">
        <w:t>5</w:t>
      </w:r>
      <w:r>
        <w:t>.</w:t>
      </w:r>
      <w:r>
        <w:tab/>
      </w:r>
      <w:r w:rsidR="00D76974" w:rsidRPr="0053627F">
        <w:t xml:space="preserve">During our work with this matter, </w:t>
      </w:r>
      <w:r w:rsidR="003374BC">
        <w:t>Sweden</w:t>
      </w:r>
      <w:r w:rsidR="00D76974" w:rsidRPr="0053627F">
        <w:t xml:space="preserve"> had </w:t>
      </w:r>
      <w:proofErr w:type="gramStart"/>
      <w:r w:rsidR="00D76974" w:rsidRPr="0053627F">
        <w:t>a number of</w:t>
      </w:r>
      <w:proofErr w:type="gramEnd"/>
      <w:r w:rsidR="00D76974" w:rsidRPr="0053627F">
        <w:t xml:space="preserve"> meetings with stakeholders within the explosives sector. This exchange of experiences clearly indicates that these companies generally have a very high awareness concerning both safety and security for several reasons – not only because of the characteristics of the goods and mandatory provisions, but also to protect high economic values and the company’s reputation. Consulting a professional and serious carrier is therefore of great importance.</w:t>
      </w:r>
    </w:p>
    <w:p w:rsidR="00D76974" w:rsidRDefault="001C58C6" w:rsidP="0053627F">
      <w:pPr>
        <w:pStyle w:val="SingleTxtG"/>
      </w:pPr>
      <w:r>
        <w:t>1</w:t>
      </w:r>
      <w:r w:rsidR="00A72AFD">
        <w:t>6</w:t>
      </w:r>
      <w:r>
        <w:t>.</w:t>
      </w:r>
      <w:r>
        <w:tab/>
      </w:r>
      <w:r w:rsidR="00D76974" w:rsidRPr="0053627F">
        <w:t>Lastly, it should be kept in mind that each country, in addition, always has the possibility to introduce (or maintain) national provisions on security</w:t>
      </w:r>
      <w:r w:rsidR="00D76974" w:rsidRPr="00BD24F4">
        <w:t>.</w:t>
      </w:r>
    </w:p>
    <w:p w:rsidR="00C00DF6" w:rsidRPr="0053627F" w:rsidRDefault="0053627F" w:rsidP="0053627F">
      <w:pPr>
        <w:spacing w:before="240"/>
        <w:jc w:val="center"/>
        <w:rPr>
          <w:u w:val="single"/>
        </w:rPr>
      </w:pPr>
      <w:r>
        <w:rPr>
          <w:u w:val="single"/>
        </w:rPr>
        <w:tab/>
      </w:r>
      <w:r>
        <w:rPr>
          <w:u w:val="single"/>
        </w:rPr>
        <w:tab/>
      </w:r>
      <w:r>
        <w:rPr>
          <w:u w:val="single"/>
        </w:rPr>
        <w:tab/>
      </w:r>
    </w:p>
    <w:sectPr w:rsidR="00C00DF6" w:rsidRPr="0053627F" w:rsidSect="00B55A30">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340" w:rsidRPr="00FB1744" w:rsidRDefault="00807340" w:rsidP="00FB1744">
      <w:pPr>
        <w:pStyle w:val="Footer"/>
      </w:pPr>
    </w:p>
  </w:endnote>
  <w:endnote w:type="continuationSeparator" w:id="0">
    <w:p w:rsidR="00807340" w:rsidRPr="00FB1744" w:rsidRDefault="0080734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69" w:rsidRDefault="007B6C69" w:rsidP="00D76974">
    <w:pPr>
      <w:pStyle w:val="Footer"/>
      <w:tabs>
        <w:tab w:val="right" w:pos="9638"/>
      </w:tabs>
    </w:pPr>
    <w:r w:rsidRPr="007B6C69">
      <w:rPr>
        <w:b/>
        <w:bCs/>
        <w:sz w:val="18"/>
      </w:rPr>
      <w:fldChar w:fldCharType="begin"/>
    </w:r>
    <w:r w:rsidRPr="007B6C69">
      <w:rPr>
        <w:b/>
        <w:bCs/>
        <w:sz w:val="18"/>
      </w:rPr>
      <w:instrText xml:space="preserve"> PAGE  \* MERGEFORMAT </w:instrText>
    </w:r>
    <w:r w:rsidRPr="007B6C69">
      <w:rPr>
        <w:b/>
        <w:bCs/>
        <w:sz w:val="18"/>
      </w:rPr>
      <w:fldChar w:fldCharType="separate"/>
    </w:r>
    <w:r w:rsidR="00E254E5">
      <w:rPr>
        <w:b/>
        <w:bCs/>
        <w:noProof/>
        <w:sz w:val="18"/>
      </w:rPr>
      <w:t>2</w:t>
    </w:r>
    <w:r w:rsidRPr="007B6C6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69" w:rsidRDefault="007B6C69" w:rsidP="007B6C69">
    <w:pPr>
      <w:pStyle w:val="Footer"/>
      <w:tabs>
        <w:tab w:val="right" w:pos="9638"/>
      </w:tabs>
    </w:pPr>
    <w:r>
      <w:tab/>
    </w:r>
    <w:r w:rsidRPr="007B6C69">
      <w:rPr>
        <w:b/>
        <w:bCs/>
        <w:sz w:val="18"/>
      </w:rPr>
      <w:fldChar w:fldCharType="begin"/>
    </w:r>
    <w:r w:rsidRPr="007B6C69">
      <w:rPr>
        <w:b/>
        <w:bCs/>
        <w:sz w:val="18"/>
      </w:rPr>
      <w:instrText xml:space="preserve"> PAGE  \* MERGEFORMAT </w:instrText>
    </w:r>
    <w:r w:rsidRPr="007B6C69">
      <w:rPr>
        <w:b/>
        <w:bCs/>
        <w:sz w:val="18"/>
      </w:rPr>
      <w:fldChar w:fldCharType="separate"/>
    </w:r>
    <w:r w:rsidR="00E254E5">
      <w:rPr>
        <w:b/>
        <w:bCs/>
        <w:noProof/>
        <w:sz w:val="18"/>
      </w:rPr>
      <w:t>3</w:t>
    </w:r>
    <w:r w:rsidRPr="007B6C6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340" w:rsidRPr="00FB1744" w:rsidRDefault="00807340" w:rsidP="00FB1744">
      <w:pPr>
        <w:tabs>
          <w:tab w:val="right" w:pos="2155"/>
        </w:tabs>
        <w:spacing w:after="80" w:line="240" w:lineRule="auto"/>
        <w:ind w:left="680"/>
      </w:pPr>
      <w:r>
        <w:rPr>
          <w:u w:val="single"/>
        </w:rPr>
        <w:tab/>
      </w:r>
    </w:p>
  </w:footnote>
  <w:footnote w:type="continuationSeparator" w:id="0">
    <w:p w:rsidR="00807340" w:rsidRPr="00FB1744" w:rsidRDefault="00807340" w:rsidP="00FB1744">
      <w:pPr>
        <w:tabs>
          <w:tab w:val="right" w:pos="2155"/>
        </w:tabs>
        <w:spacing w:after="80" w:line="240" w:lineRule="auto"/>
        <w:ind w:left="680"/>
      </w:pPr>
      <w:r>
        <w:rPr>
          <w:u w:val="single"/>
        </w:rPr>
        <w:tab/>
      </w:r>
    </w:p>
  </w:footnote>
  <w:footnote w:id="1">
    <w:p w:rsidR="00385CE7" w:rsidRPr="00986EAE" w:rsidRDefault="00385CE7" w:rsidP="00385CE7">
      <w:pPr>
        <w:pStyle w:val="FootnoteText"/>
        <w:tabs>
          <w:tab w:val="clear" w:pos="1021"/>
        </w:tabs>
        <w:ind w:left="1418" w:hanging="284"/>
        <w:jc w:val="both"/>
      </w:pPr>
      <w:r w:rsidRPr="005E5FC5">
        <w:rPr>
          <w:rStyle w:val="FootnoteReference"/>
          <w:sz w:val="20"/>
          <w:vertAlign w:val="baseline"/>
        </w:rPr>
        <w:sym w:font="Symbol" w:char="F02A"/>
      </w:r>
      <w:r w:rsidRPr="005E5FC5">
        <w:rPr>
          <w:sz w:val="20"/>
        </w:rPr>
        <w:tab/>
      </w:r>
      <w:r>
        <w:t>In accordance with the programme of work of the Inland Tran</w:t>
      </w:r>
      <w:bookmarkStart w:id="0" w:name="_GoBack"/>
      <w:bookmarkEnd w:id="0"/>
      <w:r>
        <w:t xml:space="preserve">sport Committee for 2018–2019 </w:t>
      </w:r>
      <w:r w:rsidR="00442A45">
        <w:rPr>
          <w:lang w:val="fr-FR"/>
        </w:rPr>
        <w:t xml:space="preserve">(ECE/TRANS/2018/21/Add.1, </w:t>
      </w:r>
      <w:r w:rsidR="00442A45">
        <w:rPr>
          <w:lang w:val="fr-FR"/>
        </w:rPr>
        <w:t>cluster</w:t>
      </w:r>
      <w:r w:rsidR="00442A45">
        <w:rPr>
          <w:lang w:val="fr-FR"/>
        </w:rPr>
        <w:t xml:space="preserve"> 9, 9.1)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69" w:rsidRDefault="007B6C69" w:rsidP="007B6C69">
    <w:pPr>
      <w:pStyle w:val="Header"/>
    </w:pPr>
    <w:r>
      <w:t>ECE/TRANS/WP.15/2019/</w:t>
    </w:r>
    <w:r w:rsidR="00D76974">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69" w:rsidRDefault="007B6C69" w:rsidP="007B6C69">
    <w:pPr>
      <w:pStyle w:val="Header"/>
      <w:jc w:val="right"/>
    </w:pPr>
    <w:r>
      <w:t>ECE/TRANS/WP.15/2019/</w:t>
    </w:r>
    <w:r w:rsidR="00D76974">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evenAndOddHeaders/>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40"/>
    <w:rsid w:val="00046E92"/>
    <w:rsid w:val="000D1B89"/>
    <w:rsid w:val="001170DC"/>
    <w:rsid w:val="001624C1"/>
    <w:rsid w:val="001C58C6"/>
    <w:rsid w:val="00247E2C"/>
    <w:rsid w:val="002D6C53"/>
    <w:rsid w:val="002F5595"/>
    <w:rsid w:val="00334F6A"/>
    <w:rsid w:val="003374BC"/>
    <w:rsid w:val="00342AC8"/>
    <w:rsid w:val="00385CE7"/>
    <w:rsid w:val="003B4550"/>
    <w:rsid w:val="0041056E"/>
    <w:rsid w:val="00411AFB"/>
    <w:rsid w:val="00442A45"/>
    <w:rsid w:val="00461253"/>
    <w:rsid w:val="004619EA"/>
    <w:rsid w:val="004F7161"/>
    <w:rsid w:val="005042C2"/>
    <w:rsid w:val="00506C12"/>
    <w:rsid w:val="0053627F"/>
    <w:rsid w:val="0056599A"/>
    <w:rsid w:val="00587690"/>
    <w:rsid w:val="005E5FC5"/>
    <w:rsid w:val="00632903"/>
    <w:rsid w:val="00671529"/>
    <w:rsid w:val="00717266"/>
    <w:rsid w:val="007268F9"/>
    <w:rsid w:val="007B6C69"/>
    <w:rsid w:val="007C52B0"/>
    <w:rsid w:val="00807340"/>
    <w:rsid w:val="009411B4"/>
    <w:rsid w:val="009D0139"/>
    <w:rsid w:val="009F5CDC"/>
    <w:rsid w:val="00A12FD2"/>
    <w:rsid w:val="00A27B5D"/>
    <w:rsid w:val="00A72AFD"/>
    <w:rsid w:val="00A775CF"/>
    <w:rsid w:val="00A973EA"/>
    <w:rsid w:val="00AB3C7E"/>
    <w:rsid w:val="00AF2C19"/>
    <w:rsid w:val="00B06045"/>
    <w:rsid w:val="00B55A30"/>
    <w:rsid w:val="00C00DF6"/>
    <w:rsid w:val="00C35A27"/>
    <w:rsid w:val="00D50476"/>
    <w:rsid w:val="00D76974"/>
    <w:rsid w:val="00DB35FC"/>
    <w:rsid w:val="00E02C2B"/>
    <w:rsid w:val="00E254E5"/>
    <w:rsid w:val="00E51880"/>
    <w:rsid w:val="00ED4678"/>
    <w:rsid w:val="00ED6C48"/>
    <w:rsid w:val="00EE6F97"/>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5A23BB"/>
  <w15:docId w15:val="{7F0E64EC-4235-48D8-B715-4D60F9F3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D76974"/>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BAC2-0F95-438E-9CAE-1FB6767D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1486</Words>
  <Characters>8030</Characters>
  <Application>Microsoft Office Word</Application>
  <DocSecurity>0</DocSecurity>
  <Lines>178</Lines>
  <Paragraphs>79</Paragraphs>
  <ScaleCrop>false</ScaleCrop>
  <HeadingPairs>
    <vt:vector size="2" baseType="variant">
      <vt:variant>
        <vt:lpstr>Title</vt:lpstr>
      </vt:variant>
      <vt:variant>
        <vt:i4>1</vt:i4>
      </vt:variant>
    </vt:vector>
  </HeadingPairs>
  <TitlesOfParts>
    <vt:vector size="1" baseType="lpstr">
      <vt:lpstr>ECE/TRANS/WP.15/2019/3</vt:lpstr>
    </vt:vector>
  </TitlesOfParts>
  <Company>DCM</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ECE/TRANS/WP.15/2019/3</dc:title>
  <dc:subject>1902286</dc:subject>
  <dc:creator>Giltsoff</dc:creator>
  <cp:keywords/>
  <dc:description/>
  <cp:lastModifiedBy>Christine Barrio-Champeau</cp:lastModifiedBy>
  <cp:revision>10</cp:revision>
  <dcterms:created xsi:type="dcterms:W3CDTF">2019-07-15T09:15:00Z</dcterms:created>
  <dcterms:modified xsi:type="dcterms:W3CDTF">2019-08-16T08:55:00Z</dcterms:modified>
</cp:coreProperties>
</file>