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25" w:rsidRPr="008268C5" w:rsidRDefault="00925C25" w:rsidP="00925C25">
      <w:pPr>
        <w:spacing w:before="120"/>
        <w:rPr>
          <w:b/>
          <w:sz w:val="28"/>
          <w:szCs w:val="28"/>
        </w:rPr>
      </w:pPr>
      <w:r w:rsidRPr="008268C5">
        <w:rPr>
          <w:b/>
          <w:sz w:val="28"/>
          <w:szCs w:val="28"/>
        </w:rPr>
        <w:t>Economic Commission for Europe</w:t>
      </w:r>
    </w:p>
    <w:p w:rsidR="00925C25" w:rsidRPr="008268C5" w:rsidRDefault="00925C25" w:rsidP="00925C25">
      <w:pPr>
        <w:spacing w:before="120"/>
        <w:rPr>
          <w:sz w:val="28"/>
          <w:szCs w:val="28"/>
        </w:rPr>
      </w:pPr>
      <w:r w:rsidRPr="008268C5">
        <w:rPr>
          <w:sz w:val="28"/>
          <w:szCs w:val="28"/>
        </w:rPr>
        <w:t>Inland Transport Committee</w:t>
      </w:r>
    </w:p>
    <w:p w:rsidR="00925C25" w:rsidRPr="008268C5" w:rsidRDefault="00925C25" w:rsidP="00925C25">
      <w:pPr>
        <w:spacing w:before="120"/>
        <w:rPr>
          <w:b/>
          <w:sz w:val="24"/>
          <w:szCs w:val="24"/>
        </w:rPr>
      </w:pPr>
      <w:r w:rsidRPr="008268C5">
        <w:rPr>
          <w:b/>
          <w:sz w:val="24"/>
          <w:szCs w:val="24"/>
        </w:rPr>
        <w:t>Working Party on the Transport of Dangerous Goods</w:t>
      </w:r>
    </w:p>
    <w:p w:rsidR="00925C25" w:rsidRPr="008268C5" w:rsidRDefault="00C952F0" w:rsidP="00925C25">
      <w:pPr>
        <w:spacing w:before="120"/>
        <w:rPr>
          <w:b/>
        </w:rPr>
      </w:pPr>
      <w:r>
        <w:rPr>
          <w:b/>
        </w:rPr>
        <w:t>107</w:t>
      </w:r>
      <w:r w:rsidR="00925C25" w:rsidRPr="00963ABB">
        <w:rPr>
          <w:b/>
          <w:vertAlign w:val="superscript"/>
        </w:rPr>
        <w:t>th</w:t>
      </w:r>
      <w:r w:rsidR="00925C25">
        <w:rPr>
          <w:b/>
        </w:rPr>
        <w:t xml:space="preserve"> </w:t>
      </w:r>
      <w:r w:rsidR="00925C25" w:rsidRPr="008268C5">
        <w:rPr>
          <w:b/>
        </w:rPr>
        <w:t>session</w:t>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565D13">
        <w:rPr>
          <w:b/>
        </w:rPr>
        <w:t>4 November</w:t>
      </w:r>
      <w:r w:rsidR="00326872">
        <w:rPr>
          <w:b/>
        </w:rPr>
        <w:t xml:space="preserve"> </w:t>
      </w:r>
      <w:r w:rsidR="00925C25">
        <w:rPr>
          <w:b/>
        </w:rPr>
        <w:t>2019</w:t>
      </w:r>
    </w:p>
    <w:p w:rsidR="00925C25" w:rsidRPr="00260DE5" w:rsidRDefault="00925C25" w:rsidP="00925C25">
      <w:r w:rsidRPr="00260DE5">
        <w:t>Geneva, 1</w:t>
      </w:r>
      <w:r w:rsidR="00C952F0">
        <w:t>1</w:t>
      </w:r>
      <w:r w:rsidRPr="00260DE5">
        <w:t>-1</w:t>
      </w:r>
      <w:r w:rsidR="00C952F0">
        <w:t>5</w:t>
      </w:r>
      <w:r w:rsidRPr="00260DE5">
        <w:t xml:space="preserve"> </w:t>
      </w:r>
      <w:r w:rsidR="00C952F0">
        <w:t>November</w:t>
      </w:r>
      <w:r w:rsidRPr="00260DE5">
        <w:t xml:space="preserve"> 2019</w:t>
      </w:r>
    </w:p>
    <w:p w:rsidR="004C39E8" w:rsidRPr="00BA64A8" w:rsidRDefault="004C39E8" w:rsidP="004C39E8">
      <w:r w:rsidRPr="00BA64A8">
        <w:rPr>
          <w:rFonts w:eastAsia="SimSun"/>
        </w:rPr>
        <w:t xml:space="preserve">Item </w:t>
      </w:r>
      <w:r w:rsidR="006D6716">
        <w:t>8</w:t>
      </w:r>
      <w:r>
        <w:t xml:space="preserve"> </w:t>
      </w:r>
      <w:r w:rsidRPr="00BA64A8">
        <w:t>of the provisional agenda</w:t>
      </w:r>
    </w:p>
    <w:p w:rsidR="004C39E8" w:rsidRPr="00AD5C88" w:rsidRDefault="006D6716" w:rsidP="004C39E8">
      <w:pPr>
        <w:rPr>
          <w:b/>
          <w:bCs/>
        </w:rPr>
      </w:pPr>
      <w:r w:rsidRPr="0089200C">
        <w:rPr>
          <w:b/>
          <w:bCs/>
        </w:rPr>
        <w:t>Any other business</w:t>
      </w:r>
    </w:p>
    <w:p w:rsidR="006D6716" w:rsidRPr="003252BE" w:rsidRDefault="004C39E8" w:rsidP="006D6716">
      <w:pPr>
        <w:pStyle w:val="HChG"/>
        <w:rPr>
          <w:szCs w:val="28"/>
        </w:rPr>
      </w:pPr>
      <w:r>
        <w:tab/>
      </w:r>
      <w:r>
        <w:tab/>
      </w:r>
      <w:r w:rsidR="006D6716">
        <w:t xml:space="preserve">Complementary information about </w:t>
      </w:r>
      <w:r w:rsidR="006D6716" w:rsidRPr="00B7352C">
        <w:t>Transport of battery powered vehicles</w:t>
      </w:r>
      <w:r w:rsidR="006D6716">
        <w:t xml:space="preserve"> in document </w:t>
      </w:r>
      <w:r w:rsidR="006D6716" w:rsidRPr="003252BE">
        <w:rPr>
          <w:szCs w:val="28"/>
        </w:rPr>
        <w:t>ECE/TRANS/WP.15/2019/21</w:t>
      </w:r>
    </w:p>
    <w:p w:rsidR="006D6716" w:rsidRPr="00B7352C" w:rsidRDefault="006D6716" w:rsidP="006D6716">
      <w:pPr>
        <w:pStyle w:val="H1G"/>
      </w:pPr>
      <w:r w:rsidRPr="00B7352C">
        <w:tab/>
      </w:r>
      <w:r w:rsidRPr="00B7352C">
        <w:tab/>
        <w:t>Transmitted by the Government of Switzerland</w:t>
      </w:r>
    </w:p>
    <w:p w:rsidR="006D6716" w:rsidRPr="006D6716" w:rsidRDefault="006D6716" w:rsidP="006D6716">
      <w:pPr>
        <w:pStyle w:val="HChG"/>
        <w:rPr>
          <w:rStyle w:val="BalloonTextChar"/>
          <w:rFonts w:ascii="Times New Roman" w:hAnsi="Times New Roman" w:cs="Times New Roman"/>
          <w:sz w:val="28"/>
          <w:szCs w:val="20"/>
        </w:rPr>
      </w:pPr>
      <w:r w:rsidRPr="006D6716">
        <w:rPr>
          <w:rStyle w:val="BalloonTextChar"/>
          <w:rFonts w:ascii="Times New Roman" w:hAnsi="Times New Roman" w:cs="Times New Roman"/>
          <w:sz w:val="28"/>
          <w:szCs w:val="20"/>
        </w:rPr>
        <w:tab/>
      </w:r>
      <w:r w:rsidRPr="006D6716">
        <w:rPr>
          <w:rStyle w:val="BalloonTextChar"/>
          <w:rFonts w:ascii="Times New Roman" w:hAnsi="Times New Roman" w:cs="Times New Roman"/>
          <w:sz w:val="28"/>
          <w:szCs w:val="20"/>
        </w:rPr>
        <w:tab/>
        <w:t>Introduction</w:t>
      </w:r>
    </w:p>
    <w:p w:rsidR="006D6716" w:rsidRDefault="006D6716" w:rsidP="006D6716">
      <w:pPr>
        <w:pStyle w:val="SingleTxtG"/>
        <w:rPr>
          <w:lang w:val="en-US"/>
        </w:rPr>
      </w:pPr>
      <w:r w:rsidRPr="003252BE">
        <w:rPr>
          <w:lang w:val="en-US"/>
        </w:rPr>
        <w:t>1.</w:t>
      </w:r>
      <w:r w:rsidRPr="003252BE">
        <w:rPr>
          <w:lang w:val="en-US"/>
        </w:rPr>
        <w:tab/>
        <w:t xml:space="preserve">In addition to the </w:t>
      </w:r>
      <w:r>
        <w:rPr>
          <w:lang w:val="en-US"/>
        </w:rPr>
        <w:t xml:space="preserve">document </w:t>
      </w:r>
      <w:r w:rsidRPr="003252BE">
        <w:rPr>
          <w:lang w:val="en-US"/>
        </w:rPr>
        <w:t xml:space="preserve">ECE/TRANS/WP.15/2019/21, </w:t>
      </w:r>
      <w:r>
        <w:rPr>
          <w:lang w:val="en-US"/>
        </w:rPr>
        <w:t xml:space="preserve">we have the following observation to share with the </w:t>
      </w:r>
      <w:r w:rsidR="00C915D3">
        <w:rPr>
          <w:lang w:val="en-US"/>
        </w:rPr>
        <w:t>participants in</w:t>
      </w:r>
      <w:r>
        <w:rPr>
          <w:lang w:val="en-US"/>
        </w:rPr>
        <w:t xml:space="preserve"> WP.15.</w:t>
      </w:r>
    </w:p>
    <w:p w:rsidR="006D6716" w:rsidRDefault="006D6716" w:rsidP="006D6716">
      <w:pPr>
        <w:pStyle w:val="SingleTxtG"/>
      </w:pPr>
      <w:r>
        <w:rPr>
          <w:lang w:val="en-US"/>
        </w:rPr>
        <w:t>2.</w:t>
      </w:r>
      <w:r>
        <w:rPr>
          <w:lang w:val="en-US"/>
        </w:rPr>
        <w:tab/>
        <w:t xml:space="preserve">Contrary to vehicles assigned to UN 3166, the vehicles assigned to UN 3171 containing defective or damages lithium batteries are not correctly covered in the regulations. The only provisions to them are laid down in SP667 (b) (ii) second paragraph, which refers again to paragraph (i) of the same SP 667 (b) </w:t>
      </w:r>
      <w:r w:rsidRPr="003945D0">
        <w:t>if it is not possible to safely remove the cell or battery or it is not possible to verify the status of the cell or battery</w:t>
      </w:r>
      <w:r>
        <w:t>.</w:t>
      </w:r>
    </w:p>
    <w:p w:rsidR="006D6716" w:rsidRDefault="006D6716" w:rsidP="006D6716">
      <w:pPr>
        <w:pStyle w:val="SingleTxtG"/>
        <w:rPr>
          <w:lang w:val="en-US"/>
        </w:rPr>
      </w:pPr>
      <w:r>
        <w:t>3</w:t>
      </w:r>
      <w:r>
        <w:tab/>
        <w:t xml:space="preserve">SP667 (b) (i) refers for vehicles to SP666. But SP666 does not foresee any provisions for vehicles of UN 3171, except the reference to SP 3888. In SP388 however there are no additional provisions for vehicles containing </w:t>
      </w:r>
      <w:r>
        <w:rPr>
          <w:lang w:val="en-US"/>
        </w:rPr>
        <w:t>defective or damages lithium batteries.</w:t>
      </w:r>
    </w:p>
    <w:p w:rsidR="006D6716" w:rsidRDefault="006D6716" w:rsidP="006D6716">
      <w:pPr>
        <w:pStyle w:val="SingleTxtG"/>
        <w:rPr>
          <w:lang w:val="en-US"/>
        </w:rPr>
      </w:pPr>
      <w:r>
        <w:rPr>
          <w:lang w:val="en-US"/>
        </w:rPr>
        <w:t>4.</w:t>
      </w:r>
      <w:r>
        <w:rPr>
          <w:lang w:val="en-US"/>
        </w:rPr>
        <w:tab/>
        <w:t xml:space="preserve">For this </w:t>
      </w:r>
      <w:r w:rsidR="00565D13">
        <w:rPr>
          <w:lang w:val="en-US"/>
        </w:rPr>
        <w:t>reason,</w:t>
      </w:r>
      <w:r>
        <w:rPr>
          <w:lang w:val="en-US"/>
        </w:rPr>
        <w:t xml:space="preserve"> we believe we should add in the regulations some provisions for the carriage of vehicles containing</w:t>
      </w:r>
      <w:r w:rsidRPr="00B53F84">
        <w:rPr>
          <w:lang w:val="en-US"/>
        </w:rPr>
        <w:t xml:space="preserve"> </w:t>
      </w:r>
      <w:r>
        <w:rPr>
          <w:lang w:val="en-US"/>
        </w:rPr>
        <w:t>defective or damages lithium.</w:t>
      </w:r>
    </w:p>
    <w:p w:rsidR="006D6716" w:rsidRDefault="006D6716" w:rsidP="006D6716">
      <w:pPr>
        <w:pStyle w:val="SingleTxtG"/>
        <w:rPr>
          <w:lang w:val="en-US"/>
        </w:rPr>
      </w:pPr>
      <w:r>
        <w:t>5.</w:t>
      </w:r>
      <w:r>
        <w:tab/>
        <w:t>W</w:t>
      </w:r>
      <w:r w:rsidRPr="003252BE">
        <w:rPr>
          <w:lang w:val="en-US"/>
        </w:rPr>
        <w:t xml:space="preserve">e present below a draft of provisions that could be introduced in the regulations to define containers for </w:t>
      </w:r>
      <w:r>
        <w:rPr>
          <w:lang w:val="en-US"/>
        </w:rPr>
        <w:t>use in electric vehicle repairs and in the annex an example of such equipment.</w:t>
      </w:r>
    </w:p>
    <w:p w:rsidR="006D6716" w:rsidRPr="006D6716" w:rsidRDefault="006D6716" w:rsidP="006D6716">
      <w:pPr>
        <w:pStyle w:val="HChG"/>
        <w:rPr>
          <w:rStyle w:val="BalloonTextChar"/>
          <w:rFonts w:ascii="Times New Roman" w:hAnsi="Times New Roman" w:cs="Times New Roman"/>
          <w:sz w:val="28"/>
          <w:szCs w:val="20"/>
        </w:rPr>
      </w:pPr>
      <w:r w:rsidRPr="006D6716">
        <w:rPr>
          <w:rStyle w:val="BalloonTextChar"/>
          <w:rFonts w:ascii="Times New Roman" w:hAnsi="Times New Roman" w:cs="Times New Roman"/>
          <w:sz w:val="28"/>
          <w:szCs w:val="20"/>
        </w:rPr>
        <w:tab/>
      </w:r>
      <w:r w:rsidRPr="006D6716">
        <w:rPr>
          <w:rStyle w:val="BalloonTextChar"/>
          <w:rFonts w:ascii="Times New Roman" w:hAnsi="Times New Roman" w:cs="Times New Roman"/>
          <w:sz w:val="28"/>
          <w:szCs w:val="20"/>
        </w:rPr>
        <w:tab/>
        <w:t>Proposal</w:t>
      </w:r>
    </w:p>
    <w:p w:rsidR="006D6716" w:rsidRDefault="006D6716" w:rsidP="006D6716">
      <w:pPr>
        <w:pStyle w:val="SingleTxtG"/>
        <w:rPr>
          <w:lang w:val="en-US"/>
        </w:rPr>
      </w:pPr>
      <w:r>
        <w:t>6.</w:t>
      </w:r>
      <w:r>
        <w:tab/>
        <w:t>F</w:t>
      </w:r>
      <w:r w:rsidRPr="00D17936">
        <w:t>or UN 3171, 3480 and 3481 Add “BK1 BK2” in column (10), AP11 in column (17) and CVXY in column (18) in column of Table A in chapter 3.2</w:t>
      </w:r>
      <w:r>
        <w:t>.</w:t>
      </w:r>
    </w:p>
    <w:p w:rsidR="006D6716" w:rsidRDefault="006D6716" w:rsidP="006D6716">
      <w:pPr>
        <w:pStyle w:val="SingleTxtG"/>
      </w:pPr>
      <w:r>
        <w:t>7.</w:t>
      </w:r>
      <w:r>
        <w:tab/>
        <w:t>Amend the second paragraph in SP667 (b) (ii) as follows:</w:t>
      </w:r>
    </w:p>
    <w:p w:rsidR="006D6716" w:rsidRDefault="006D6716" w:rsidP="006D6716">
      <w:pPr>
        <w:pStyle w:val="SingleTxtG"/>
        <w:rPr>
          <w:strike/>
        </w:rPr>
      </w:pPr>
      <w:r>
        <w:t>“</w:t>
      </w:r>
      <w:r w:rsidR="00565D13" w:rsidRPr="003945D0">
        <w:t>However,</w:t>
      </w:r>
      <w:r w:rsidRPr="003945D0">
        <w:t xml:space="preserve"> if it is not possible to safely remove the cell or battery or it is not possible to verify the status of the cell or battery, the vehicle, engine</w:t>
      </w:r>
      <w:r>
        <w:t>,</w:t>
      </w:r>
      <w:r w:rsidRPr="003945D0">
        <w:t xml:space="preserve"> machinery </w:t>
      </w:r>
      <w:r>
        <w:t xml:space="preserve">or article </w:t>
      </w:r>
      <w:r w:rsidRPr="003945D0">
        <w:t xml:space="preserve">may be towed or carried </w:t>
      </w:r>
      <w:r>
        <w:rPr>
          <w:lang w:val="en-US"/>
        </w:rPr>
        <w:t>in containers meeting the provisions in 6.11.6, 7.3.2.9, AP11 in 7.3.3.2.7 and CVXY in 7.5.11</w:t>
      </w:r>
      <w:r>
        <w:t xml:space="preserve"> </w:t>
      </w:r>
      <w:r w:rsidRPr="00B53F84">
        <w:rPr>
          <w:strike/>
        </w:rPr>
        <w:t>specified in (i)</w:t>
      </w:r>
      <w:r w:rsidRPr="00052B84">
        <w:t>;”</w:t>
      </w:r>
    </w:p>
    <w:p w:rsidR="006D6716" w:rsidRPr="00856585" w:rsidRDefault="006D6716" w:rsidP="006D6716">
      <w:pPr>
        <w:pStyle w:val="SingleTxtG"/>
      </w:pPr>
      <w:r>
        <w:t>8</w:t>
      </w:r>
      <w:r w:rsidRPr="00856585">
        <w:t>.</w:t>
      </w:r>
      <w:r>
        <w:tab/>
      </w:r>
      <w:r w:rsidRPr="00856585">
        <w:t xml:space="preserve"> Add then following new section in Chapter 6.11</w:t>
      </w:r>
      <w:r>
        <w:t>:</w:t>
      </w:r>
    </w:p>
    <w:p w:rsidR="006D6716" w:rsidRDefault="006D6716" w:rsidP="006D6716">
      <w:pPr>
        <w:pStyle w:val="SingleTxtG"/>
        <w:rPr>
          <w:lang w:val="en-US"/>
        </w:rPr>
      </w:pPr>
      <w:r>
        <w:rPr>
          <w:b/>
        </w:rPr>
        <w:t>“</w:t>
      </w:r>
      <w:r w:rsidRPr="00904E6D">
        <w:rPr>
          <w:b/>
        </w:rPr>
        <w:t>6.11.6</w:t>
      </w:r>
      <w:r w:rsidRPr="00904E6D">
        <w:rPr>
          <w:b/>
        </w:rPr>
        <w:tab/>
      </w:r>
      <w:r>
        <w:rPr>
          <w:b/>
        </w:rPr>
        <w:t xml:space="preserve">Container </w:t>
      </w:r>
      <w:r w:rsidRPr="00904E6D">
        <w:rPr>
          <w:b/>
        </w:rPr>
        <w:t>for batteries and for a single vehicle or item of equipment containing batteries</w:t>
      </w:r>
    </w:p>
    <w:p w:rsidR="006D6716" w:rsidRDefault="006D6716" w:rsidP="006D6716">
      <w:pPr>
        <w:pStyle w:val="SingleTxtG"/>
        <w:rPr>
          <w:lang w:val="en-US"/>
        </w:rPr>
      </w:pPr>
      <w:r w:rsidRPr="00904E6D">
        <w:t>6.11.6.1</w:t>
      </w:r>
      <w:r w:rsidRPr="00904E6D">
        <w:tab/>
        <w:t xml:space="preserve">To permit the safe handling and disposal of damaged or defective batteries in BATTERY POWERED VEHICLES and EQUIPMENT of UN No. 3171 and damaged or defective batteries of UN Nos. 3480 and 3481 liable to rapidly disassemble, dangerously react, produce a flame or a dangerous evolution of heat or a dangerous emission of toxic, corrosive or flammable gases or vapors under normal conditions of carriage within the </w:t>
      </w:r>
      <w:r w:rsidRPr="00904E6D">
        <w:lastRenderedPageBreak/>
        <w:t xml:space="preserve">salvage container, the design may include equipment not otherwise used for containers such as fire alarm and Aerosol extinguishing system. </w:t>
      </w:r>
    </w:p>
    <w:p w:rsidR="006D6716" w:rsidRDefault="006D6716" w:rsidP="006D6716">
      <w:pPr>
        <w:pStyle w:val="SingleTxtG"/>
        <w:rPr>
          <w:lang w:val="en-US"/>
        </w:rPr>
      </w:pPr>
      <w:r w:rsidRPr="00904E6D">
        <w:t>6.11.6.2</w:t>
      </w:r>
      <w:r w:rsidRPr="00904E6D">
        <w:tab/>
        <w:t>The general design and construction requirements are deemed to be met if the container is an ISO Container 20’conforming to the ISO</w:t>
      </w:r>
      <w:r w:rsidRPr="00904E6D">
        <w:rPr>
          <w:color w:val="222222"/>
          <w:shd w:val="clear" w:color="auto" w:fill="FFFFFF"/>
        </w:rPr>
        <w:t>-Norm 668.</w:t>
      </w:r>
      <w:r w:rsidRPr="00856585">
        <w:rPr>
          <w:lang w:val="en-US"/>
        </w:rPr>
        <w:t xml:space="preserve"> </w:t>
      </w:r>
    </w:p>
    <w:p w:rsidR="006D6716" w:rsidRDefault="006D6716" w:rsidP="006D6716">
      <w:pPr>
        <w:pStyle w:val="SingleTxtG"/>
        <w:rPr>
          <w:lang w:val="en-US"/>
        </w:rPr>
      </w:pPr>
      <w:r w:rsidRPr="00904E6D">
        <w:t>6.11.6.3</w:t>
      </w:r>
      <w:r w:rsidRPr="00904E6D">
        <w:tab/>
        <w:t xml:space="preserve">The container shall be capable of meeting the following additional performance requirements in case of rapid disassembly, dangerous reaction, production of a flame or a dangerous evolution of heat or a dangerous emission of toxic, corrosive or flammable gases or vapors of the battery: </w:t>
      </w:r>
    </w:p>
    <w:p w:rsidR="006D6716" w:rsidRPr="00904E6D" w:rsidRDefault="006D6716" w:rsidP="006D6716">
      <w:pPr>
        <w:pStyle w:val="SingleTxtG"/>
        <w:ind w:left="2268"/>
      </w:pPr>
      <w:r w:rsidRPr="00904E6D">
        <w:t>(a)</w:t>
      </w:r>
      <w:r>
        <w:tab/>
      </w:r>
      <w:r w:rsidR="00C915D3">
        <w:t>I</w:t>
      </w:r>
      <w:r w:rsidRPr="00904E6D">
        <w:t xml:space="preserve">t shall be equipped with a fire alarm and </w:t>
      </w:r>
      <w:r w:rsidR="00C915D3">
        <w:t>a</w:t>
      </w:r>
      <w:r w:rsidRPr="00904E6D">
        <w:t>erosol extinguishing system</w:t>
      </w:r>
      <w:r w:rsidR="00C915D3">
        <w:t>;</w:t>
      </w:r>
    </w:p>
    <w:p w:rsidR="006D6716" w:rsidRPr="00904E6D" w:rsidRDefault="006D6716" w:rsidP="006D6716">
      <w:pPr>
        <w:pStyle w:val="SingleTxtG"/>
        <w:ind w:left="2268"/>
      </w:pPr>
      <w:r w:rsidRPr="00904E6D">
        <w:t>(b)</w:t>
      </w:r>
      <w:r>
        <w:tab/>
      </w:r>
      <w:r w:rsidRPr="00904E6D">
        <w:t>The outside surface temperature of the completed package shall not have a temperature of more than 100 °C. A momentary spike in temperature up to 200 °C is acceptable;</w:t>
      </w:r>
    </w:p>
    <w:p w:rsidR="006D6716" w:rsidRPr="00904E6D" w:rsidRDefault="006D6716" w:rsidP="006D6716">
      <w:pPr>
        <w:pStyle w:val="SingleTxtG"/>
        <w:ind w:left="2268"/>
      </w:pPr>
      <w:r w:rsidRPr="00904E6D">
        <w:t>(c)</w:t>
      </w:r>
      <w:r>
        <w:tab/>
      </w:r>
      <w:r w:rsidRPr="00904E6D">
        <w:t>No flame shall occur outside the container;</w:t>
      </w:r>
    </w:p>
    <w:p w:rsidR="006D6716" w:rsidRPr="00904E6D" w:rsidRDefault="006D6716" w:rsidP="006D6716">
      <w:pPr>
        <w:pStyle w:val="SingleTxtG"/>
        <w:ind w:left="2268"/>
      </w:pPr>
      <w:r w:rsidRPr="00904E6D">
        <w:t>(d)</w:t>
      </w:r>
      <w:r>
        <w:tab/>
      </w:r>
      <w:r w:rsidRPr="00904E6D">
        <w:t>No projectiles shall exit the container;</w:t>
      </w:r>
    </w:p>
    <w:p w:rsidR="006D6716" w:rsidRPr="00904E6D" w:rsidRDefault="006D6716" w:rsidP="006D6716">
      <w:pPr>
        <w:pStyle w:val="SingleTxtG"/>
        <w:ind w:left="2268"/>
      </w:pPr>
      <w:r w:rsidRPr="00904E6D">
        <w:t>(e)</w:t>
      </w:r>
      <w:r>
        <w:tab/>
      </w:r>
      <w:r w:rsidRPr="00904E6D">
        <w:t>The structural integrity of the container shall be maintained.</w:t>
      </w:r>
    </w:p>
    <w:p w:rsidR="006D6716" w:rsidRDefault="006D6716" w:rsidP="006D6716">
      <w:pPr>
        <w:pStyle w:val="SingleTxtG"/>
        <w:rPr>
          <w:lang w:val="en-US"/>
        </w:rPr>
      </w:pPr>
      <w:r w:rsidRPr="00904E6D">
        <w:t>6.11.6.4</w:t>
      </w:r>
      <w:r w:rsidRPr="00904E6D">
        <w:tab/>
        <w:t>The batteries or vehicles carried in the large packaging shall be fixing according to the standard cargo security guidelines, to secure a safe transport.</w:t>
      </w:r>
      <w:r w:rsidRPr="00856585">
        <w:rPr>
          <w:lang w:val="en-US"/>
        </w:rPr>
        <w:t xml:space="preserve"> </w:t>
      </w:r>
    </w:p>
    <w:p w:rsidR="006D6716" w:rsidRDefault="006D6716" w:rsidP="006D6716">
      <w:pPr>
        <w:pStyle w:val="SingleTxtG"/>
        <w:rPr>
          <w:lang w:val="en-US"/>
        </w:rPr>
      </w:pPr>
      <w:r w:rsidRPr="00904E6D">
        <w:rPr>
          <w:b/>
        </w:rPr>
        <w:t>6.11.6.5</w:t>
      </w:r>
      <w:r w:rsidRPr="00904E6D">
        <w:rPr>
          <w:b/>
        </w:rPr>
        <w:tab/>
        <w:t>Marking</w:t>
      </w:r>
    </w:p>
    <w:p w:rsidR="006D6716" w:rsidRDefault="006D6716" w:rsidP="006D6716">
      <w:pPr>
        <w:pStyle w:val="SingleTxtG"/>
        <w:rPr>
          <w:lang w:val="en-US"/>
        </w:rPr>
      </w:pPr>
      <w:r w:rsidRPr="00C4376B">
        <w:t xml:space="preserve">The marking of </w:t>
      </w:r>
      <w:r>
        <w:t>container</w:t>
      </w:r>
      <w:r w:rsidRPr="00C4376B">
        <w:t xml:space="preserve"> according to 6.</w:t>
      </w:r>
      <w:r>
        <w:t>11.6</w:t>
      </w:r>
      <w:r w:rsidRPr="00C4376B">
        <w:t xml:space="preserve"> shall </w:t>
      </w:r>
      <w:r>
        <w:t>conform to the</w:t>
      </w:r>
      <w:r w:rsidRPr="00C4376B">
        <w:t xml:space="preserve"> marking provisions of 6.</w:t>
      </w:r>
      <w:r>
        <w:t>11.3.4.</w:t>
      </w:r>
      <w:r w:rsidRPr="00856585">
        <w:rPr>
          <w:lang w:val="en-US"/>
        </w:rPr>
        <w:t xml:space="preserve"> </w:t>
      </w:r>
      <w:r>
        <w:rPr>
          <w:lang w:val="en-US"/>
        </w:rPr>
        <w:t>“</w:t>
      </w:r>
    </w:p>
    <w:p w:rsidR="006D6716" w:rsidRDefault="006D6716" w:rsidP="006D6716">
      <w:pPr>
        <w:pStyle w:val="SingleTxtG"/>
        <w:rPr>
          <w:lang w:val="en-US"/>
        </w:rPr>
      </w:pPr>
      <w:r>
        <w:t>9.</w:t>
      </w:r>
      <w:r>
        <w:tab/>
        <w:t>Add in 7.3.2.9 the following new paragraph</w:t>
      </w:r>
      <w:r w:rsidR="00565D13">
        <w:t>:</w:t>
      </w:r>
    </w:p>
    <w:p w:rsidR="006D6716" w:rsidRDefault="006D6716" w:rsidP="006D6716">
      <w:pPr>
        <w:pStyle w:val="SingleTxtG"/>
        <w:rPr>
          <w:lang w:val="en-US"/>
        </w:rPr>
      </w:pPr>
      <w:r>
        <w:t>“7.3.2.9.2</w:t>
      </w:r>
      <w:r>
        <w:tab/>
        <w:t xml:space="preserve">For </w:t>
      </w:r>
      <w:r w:rsidRPr="00904E6D">
        <w:t>BATTERY POWERED VEHICLES and EQUIPMENT of UN No. 3171 and damaged or defective batteries of UN Nos. 3480 and 3481 liable to rapidly disassemble, dangerously react, produce a flame or a dangerous evolution of heat or a dangerous emission of toxic, corrosive or flammable gases or vapors under normal conditions of carriage within the container,</w:t>
      </w:r>
      <w:r>
        <w:t xml:space="preserve"> </w:t>
      </w:r>
      <w:r w:rsidRPr="00742BA5">
        <w:t>only closed bulk containers (code BK2) may be used</w:t>
      </w:r>
      <w:r>
        <w:t xml:space="preserve"> meeting the following additional requirements:</w:t>
      </w:r>
      <w:r w:rsidRPr="00856585">
        <w:rPr>
          <w:lang w:val="en-US"/>
        </w:rPr>
        <w:t xml:space="preserve"> </w:t>
      </w:r>
    </w:p>
    <w:p w:rsidR="006D6716" w:rsidRPr="00904E6D" w:rsidRDefault="006D6716" w:rsidP="006D6716">
      <w:pPr>
        <w:pStyle w:val="SingleTxtG"/>
        <w:ind w:left="2268"/>
      </w:pPr>
      <w:r w:rsidRPr="00904E6D">
        <w:t>(b)</w:t>
      </w:r>
      <w:r>
        <w:tab/>
      </w:r>
      <w:r w:rsidRPr="00904E6D">
        <w:t xml:space="preserve">The outside surface temperature of the </w:t>
      </w:r>
      <w:r>
        <w:t xml:space="preserve">container </w:t>
      </w:r>
      <w:r w:rsidRPr="00904E6D">
        <w:t>shall not have a temperature of more than 100 °C. A momentary spike in temperature up to 200 °C is acceptable;</w:t>
      </w:r>
    </w:p>
    <w:p w:rsidR="006D6716" w:rsidRPr="00904E6D" w:rsidRDefault="006D6716" w:rsidP="006D6716">
      <w:pPr>
        <w:pStyle w:val="SingleTxtG"/>
        <w:ind w:left="2268"/>
      </w:pPr>
      <w:r w:rsidRPr="00904E6D">
        <w:t>(c)</w:t>
      </w:r>
      <w:r>
        <w:tab/>
      </w:r>
      <w:r w:rsidRPr="00904E6D">
        <w:t>No flame shall occur outside the container;</w:t>
      </w:r>
    </w:p>
    <w:p w:rsidR="006D6716" w:rsidRPr="00904E6D" w:rsidRDefault="006D6716" w:rsidP="006D6716">
      <w:pPr>
        <w:pStyle w:val="SingleTxtG"/>
        <w:ind w:left="2268"/>
      </w:pPr>
      <w:r w:rsidRPr="00904E6D">
        <w:t>(d)</w:t>
      </w:r>
      <w:r>
        <w:tab/>
      </w:r>
      <w:r w:rsidRPr="00904E6D">
        <w:t>No projectiles shall exit the container;</w:t>
      </w:r>
    </w:p>
    <w:p w:rsidR="006D6716" w:rsidRPr="00904E6D" w:rsidRDefault="006D6716" w:rsidP="006D6716">
      <w:pPr>
        <w:pStyle w:val="SingleTxtG"/>
        <w:ind w:left="2268"/>
      </w:pPr>
      <w:r w:rsidRPr="00904E6D">
        <w:t>(e)</w:t>
      </w:r>
      <w:r>
        <w:tab/>
      </w:r>
      <w:r w:rsidRPr="00904E6D">
        <w:t>The structural integrity of the container shall be maintained.</w:t>
      </w:r>
      <w:r w:rsidR="00C915D3">
        <w:t>”.</w:t>
      </w:r>
    </w:p>
    <w:p w:rsidR="006D6716" w:rsidRDefault="006D6716" w:rsidP="006D6716">
      <w:pPr>
        <w:pStyle w:val="SingleTxtG"/>
        <w:rPr>
          <w:lang w:val="en-US"/>
        </w:rPr>
      </w:pPr>
      <w:r>
        <w:t>10.</w:t>
      </w:r>
      <w:r>
        <w:tab/>
        <w:t>Add in 7.3.3.2.7 the following AP11</w:t>
      </w:r>
    </w:p>
    <w:p w:rsidR="006D6716" w:rsidRDefault="00C915D3" w:rsidP="006D6716">
      <w:pPr>
        <w:pStyle w:val="SingleTxtG"/>
        <w:rPr>
          <w:lang w:val="en-US"/>
        </w:rPr>
      </w:pPr>
      <w:r>
        <w:t>“</w:t>
      </w:r>
      <w:r w:rsidR="006D6716">
        <w:t>AP11</w:t>
      </w:r>
      <w:r w:rsidR="006D6716">
        <w:tab/>
      </w:r>
      <w:r>
        <w:tab/>
        <w:t>T</w:t>
      </w:r>
      <w:r w:rsidR="006D6716">
        <w:t xml:space="preserve">he </w:t>
      </w:r>
      <w:r w:rsidR="006D6716" w:rsidRPr="00742BA5">
        <w:t>containers shall be made leak tight</w:t>
      </w:r>
      <w:r w:rsidR="006D6716">
        <w:t xml:space="preserve"> </w:t>
      </w:r>
      <w:r w:rsidR="006D6716" w:rsidRPr="00742BA5">
        <w:t>and shall have a means of retaining any free liquid that might escape during carriage</w:t>
      </w:r>
      <w:r w:rsidR="006D6716">
        <w:t>.</w:t>
      </w:r>
      <w:r>
        <w:rPr>
          <w:lang w:val="en-US"/>
        </w:rPr>
        <w:t>”.</w:t>
      </w:r>
      <w:bookmarkStart w:id="0" w:name="_GoBack"/>
      <w:bookmarkEnd w:id="0"/>
    </w:p>
    <w:p w:rsidR="006D6716" w:rsidRDefault="006D6716" w:rsidP="006D6716">
      <w:pPr>
        <w:pStyle w:val="SingleTxtG"/>
        <w:rPr>
          <w:lang w:val="en-US"/>
        </w:rPr>
      </w:pPr>
      <w:r>
        <w:t>11.</w:t>
      </w:r>
      <w:r>
        <w:tab/>
        <w:t>Add following CVXY in 7.5.11</w:t>
      </w:r>
    </w:p>
    <w:p w:rsidR="006D6716" w:rsidRDefault="006D6716" w:rsidP="006D6716">
      <w:pPr>
        <w:pStyle w:val="SingleTxtG"/>
      </w:pPr>
      <w:r>
        <w:t xml:space="preserve">“CVXY </w:t>
      </w:r>
      <w:r>
        <w:tab/>
      </w:r>
      <w:r w:rsidRPr="00904E6D">
        <w:t xml:space="preserve">The batteries or vehicles shall be </w:t>
      </w:r>
      <w:r>
        <w:t xml:space="preserve">so stowed in the container </w:t>
      </w:r>
      <w:r w:rsidRPr="00742BA5">
        <w:t>that they cannot overturn or fall</w:t>
      </w:r>
      <w:r>
        <w:t>”.</w:t>
      </w:r>
    </w:p>
    <w:p w:rsidR="006D6716" w:rsidRDefault="006D6716" w:rsidP="006D6716">
      <w:pPr>
        <w:pStyle w:val="SingleTxtG"/>
      </w:pPr>
    </w:p>
    <w:p w:rsidR="006D6716" w:rsidRDefault="006D6716" w:rsidP="006D6716">
      <w:pPr>
        <w:pStyle w:val="SingleTxtG"/>
      </w:pPr>
    </w:p>
    <w:p w:rsidR="006D6716" w:rsidRDefault="006D6716" w:rsidP="006D6716">
      <w:pPr>
        <w:pStyle w:val="SingleTxtG"/>
      </w:pPr>
    </w:p>
    <w:p w:rsidR="006D6716" w:rsidRDefault="006D6716" w:rsidP="006D6716">
      <w:pPr>
        <w:pStyle w:val="SingleTxtG"/>
      </w:pPr>
    </w:p>
    <w:p w:rsidR="006D6716" w:rsidRDefault="006D6716" w:rsidP="006D6716">
      <w:pPr>
        <w:pStyle w:val="SingleTxtG"/>
      </w:pPr>
    </w:p>
    <w:p w:rsidR="006D6716" w:rsidRDefault="006D6716" w:rsidP="006D6716">
      <w:pPr>
        <w:pStyle w:val="SingleTxtG"/>
      </w:pPr>
    </w:p>
    <w:p w:rsidR="006D6716" w:rsidRDefault="006D6716" w:rsidP="006D6716">
      <w:pPr>
        <w:pStyle w:val="SingleTxtG"/>
      </w:pPr>
    </w:p>
    <w:p w:rsidR="006D6716" w:rsidRDefault="006D6716" w:rsidP="006D6716">
      <w:pPr>
        <w:pStyle w:val="HChG"/>
      </w:pPr>
      <w:r>
        <w:lastRenderedPageBreak/>
        <w:tab/>
      </w:r>
      <w:r>
        <w:tab/>
        <w:t>Annex</w:t>
      </w:r>
    </w:p>
    <w:p w:rsidR="006D6716" w:rsidRDefault="006D6716" w:rsidP="006D6716">
      <w:pPr>
        <w:pStyle w:val="SingleTxtG"/>
        <w:rPr>
          <w:noProof/>
          <w:lang w:val="en-US"/>
        </w:rPr>
      </w:pPr>
      <w:r>
        <w:rPr>
          <w:noProof/>
          <w:lang w:val="en-US"/>
        </w:rPr>
        <w:drawing>
          <wp:inline distT="0" distB="0" distL="0" distR="0" wp14:anchorId="77D67A80" wp14:editId="7A267829">
            <wp:extent cx="5760720" cy="74174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417435"/>
                    </a:xfrm>
                    <a:prstGeom prst="rect">
                      <a:avLst/>
                    </a:prstGeom>
                  </pic:spPr>
                </pic:pic>
              </a:graphicData>
            </a:graphic>
          </wp:inline>
        </w:drawing>
      </w:r>
    </w:p>
    <w:p w:rsidR="006D6716" w:rsidRPr="006D6716" w:rsidRDefault="006D6716" w:rsidP="006D6716">
      <w:pPr>
        <w:spacing w:before="240"/>
        <w:jc w:val="center"/>
        <w:rPr>
          <w:u w:val="single"/>
        </w:rPr>
      </w:pPr>
      <w:r>
        <w:tab/>
      </w:r>
      <w:r>
        <w:rPr>
          <w:u w:val="single"/>
        </w:rPr>
        <w:tab/>
      </w:r>
      <w:r>
        <w:rPr>
          <w:u w:val="single"/>
        </w:rPr>
        <w:tab/>
      </w:r>
      <w:r>
        <w:rPr>
          <w:u w:val="single"/>
        </w:rPr>
        <w:tab/>
      </w:r>
    </w:p>
    <w:sectPr w:rsidR="006D6716" w:rsidRPr="006D6716" w:rsidSect="00F77467">
      <w:headerReference w:type="even" r:id="rId9"/>
      <w:headerReference w:type="default" r:id="rId10"/>
      <w:footerReference w:type="even" r:id="rId11"/>
      <w:footerReference w:type="default" r:id="rId12"/>
      <w:headerReference w:type="first" r:id="rId13"/>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096" w:rsidRDefault="001A7096"/>
  </w:endnote>
  <w:endnote w:type="continuationSeparator" w:id="0">
    <w:p w:rsidR="001A7096" w:rsidRDefault="001A7096"/>
  </w:endnote>
  <w:endnote w:type="continuationNotice" w:id="1">
    <w:p w:rsidR="001A7096" w:rsidRDefault="001A7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537B2">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537B2">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096" w:rsidRPr="000B175B" w:rsidRDefault="001A7096" w:rsidP="000B175B">
      <w:pPr>
        <w:tabs>
          <w:tab w:val="right" w:pos="2155"/>
        </w:tabs>
        <w:spacing w:after="80"/>
        <w:ind w:left="680"/>
        <w:rPr>
          <w:u w:val="single"/>
        </w:rPr>
      </w:pPr>
      <w:r>
        <w:rPr>
          <w:u w:val="single"/>
        </w:rPr>
        <w:tab/>
      </w:r>
    </w:p>
  </w:footnote>
  <w:footnote w:type="continuationSeparator" w:id="0">
    <w:p w:rsidR="001A7096" w:rsidRPr="00FC68B7" w:rsidRDefault="001A7096" w:rsidP="00FC68B7">
      <w:pPr>
        <w:tabs>
          <w:tab w:val="left" w:pos="2155"/>
        </w:tabs>
        <w:spacing w:after="80"/>
        <w:ind w:left="680"/>
        <w:rPr>
          <w:u w:val="single"/>
        </w:rPr>
      </w:pPr>
      <w:r>
        <w:rPr>
          <w:u w:val="single"/>
        </w:rPr>
        <w:tab/>
      </w:r>
    </w:p>
  </w:footnote>
  <w:footnote w:type="continuationNotice" w:id="1">
    <w:p w:rsidR="001A7096" w:rsidRDefault="001A7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D302C6">
    <w:pPr>
      <w:pStyle w:val="Header"/>
      <w:rPr>
        <w:sz w:val="28"/>
        <w:szCs w:val="28"/>
        <w:lang w:val="fr-CH"/>
      </w:rPr>
    </w:pPr>
    <w:r>
      <w:rPr>
        <w:sz w:val="28"/>
        <w:szCs w:val="28"/>
        <w:lang w:val="fr-CH"/>
      </w:rPr>
      <w:t>INF.</w:t>
    </w:r>
    <w:r w:rsidR="006D6716">
      <w:rPr>
        <w:sz w:val="28"/>
        <w:szCs w:val="28"/>
        <w:lang w:val="fr-CH"/>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A16F6A">
    <w:pPr>
      <w:pStyle w:val="Header"/>
      <w:jc w:val="right"/>
      <w:rPr>
        <w:sz w:val="28"/>
        <w:szCs w:val="28"/>
        <w:lang w:val="fr-CH"/>
      </w:rPr>
    </w:pPr>
    <w:r>
      <w:rPr>
        <w:sz w:val="28"/>
        <w:szCs w:val="28"/>
        <w:lang w:val="fr-CH"/>
      </w:rPr>
      <w:t>INF.</w:t>
    </w:r>
    <w:r w:rsidR="006D6716">
      <w:rPr>
        <w:sz w:val="28"/>
        <w:szCs w:val="28"/>
        <w:lang w:val="fr-CH"/>
      </w:rPr>
      <w:t>11</w:t>
    </w:r>
  </w:p>
  <w:p w:rsidR="001A7096" w:rsidRPr="00A16F6A" w:rsidRDefault="001A7096" w:rsidP="00A1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AB10FF" w:rsidRDefault="001A7096" w:rsidP="00AB10FF">
    <w:pPr>
      <w:pStyle w:val="Header"/>
      <w:jc w:val="right"/>
      <w:rPr>
        <w:sz w:val="28"/>
        <w:szCs w:val="28"/>
        <w:lang w:val="fr-CH"/>
      </w:rPr>
    </w:pPr>
    <w:r>
      <w:rPr>
        <w:sz w:val="28"/>
        <w:szCs w:val="28"/>
        <w:lang w:val="fr-CH"/>
      </w:rPr>
      <w:t>INF.</w:t>
    </w:r>
    <w:r w:rsidR="006D6716">
      <w:rPr>
        <w:sz w:val="28"/>
        <w:szCs w:val="28"/>
        <w:lang w:val="fr-CH"/>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7031D"/>
    <w:multiLevelType w:val="hybridMultilevel"/>
    <w:tmpl w:val="35461CA4"/>
    <w:lvl w:ilvl="0" w:tplc="48B26CA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68A15A8"/>
    <w:multiLevelType w:val="multilevel"/>
    <w:tmpl w:val="E9FC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65075F"/>
    <w:multiLevelType w:val="multilevel"/>
    <w:tmpl w:val="D8B6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954877"/>
    <w:multiLevelType w:val="hybridMultilevel"/>
    <w:tmpl w:val="80BE7FAC"/>
    <w:lvl w:ilvl="0" w:tplc="DBA01E02">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1"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2" w15:restartNumberingAfterBreak="0">
    <w:nsid w:val="2CE463D1"/>
    <w:multiLevelType w:val="multilevel"/>
    <w:tmpl w:val="107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D4725"/>
    <w:multiLevelType w:val="multilevel"/>
    <w:tmpl w:val="32B6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6" w15:restartNumberingAfterBreak="0">
    <w:nsid w:val="4A7526E4"/>
    <w:multiLevelType w:val="multilevel"/>
    <w:tmpl w:val="627C96D6"/>
    <w:lvl w:ilvl="0">
      <w:start w:val="1"/>
      <w:numFmt w:val="decimal"/>
      <w:lvlText w:val="%1"/>
      <w:lvlJc w:val="left"/>
      <w:pPr>
        <w:ind w:left="400" w:hanging="400"/>
      </w:pPr>
      <w:rPr>
        <w:rFonts w:hint="default"/>
      </w:rPr>
    </w:lvl>
    <w:lvl w:ilvl="1">
      <w:start w:val="4"/>
      <w:numFmt w:val="decimal"/>
      <w:lvlText w:val="%1.%2"/>
      <w:lvlJc w:val="left"/>
      <w:pPr>
        <w:ind w:left="1250" w:hanging="4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7"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8"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9"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15:restartNumberingAfterBreak="0">
    <w:nsid w:val="4FA93AC9"/>
    <w:multiLevelType w:val="hybridMultilevel"/>
    <w:tmpl w:val="F24AC38C"/>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1" w15:restartNumberingAfterBreak="0">
    <w:nsid w:val="4FF107D8"/>
    <w:multiLevelType w:val="hybridMultilevel"/>
    <w:tmpl w:val="A1360C3A"/>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2" w15:restartNumberingAfterBreak="0">
    <w:nsid w:val="521962D2"/>
    <w:multiLevelType w:val="multilevel"/>
    <w:tmpl w:val="C7D6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095732F"/>
    <w:multiLevelType w:val="hybridMultilevel"/>
    <w:tmpl w:val="2A101320"/>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5"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6"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73B817A4"/>
    <w:multiLevelType w:val="multilevel"/>
    <w:tmpl w:val="3E0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BE221B"/>
    <w:multiLevelType w:val="hybridMultilevel"/>
    <w:tmpl w:val="30F0C0C4"/>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9" w15:restartNumberingAfterBreak="0">
    <w:nsid w:val="7C0C3101"/>
    <w:multiLevelType w:val="hybridMultilevel"/>
    <w:tmpl w:val="B024F9B6"/>
    <w:lvl w:ilvl="0" w:tplc="789EB5E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7DB01C66"/>
    <w:multiLevelType w:val="hybridMultilevel"/>
    <w:tmpl w:val="F96C5214"/>
    <w:lvl w:ilvl="0" w:tplc="A47813C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0"/>
  </w:num>
  <w:num w:numId="14">
    <w:abstractNumId w:val="33"/>
  </w:num>
  <w:num w:numId="15">
    <w:abstractNumId w:val="16"/>
  </w:num>
  <w:num w:numId="16">
    <w:abstractNumId w:val="13"/>
  </w:num>
  <w:num w:numId="17">
    <w:abstractNumId w:val="27"/>
  </w:num>
  <w:num w:numId="18">
    <w:abstractNumId w:val="41"/>
  </w:num>
  <w:num w:numId="19">
    <w:abstractNumId w:val="35"/>
  </w:num>
  <w:num w:numId="20">
    <w:abstractNumId w:val="14"/>
  </w:num>
  <w:num w:numId="21">
    <w:abstractNumId w:val="17"/>
  </w:num>
  <w:num w:numId="22">
    <w:abstractNumId w:val="29"/>
  </w:num>
  <w:num w:numId="23">
    <w:abstractNumId w:val="15"/>
  </w:num>
  <w:num w:numId="24">
    <w:abstractNumId w:val="28"/>
  </w:num>
  <w:num w:numId="25">
    <w:abstractNumId w:val="21"/>
  </w:num>
  <w:num w:numId="26">
    <w:abstractNumId w:val="25"/>
  </w:num>
  <w:num w:numId="27">
    <w:abstractNumId w:val="36"/>
  </w:num>
  <w:num w:numId="28">
    <w:abstractNumId w:val="40"/>
  </w:num>
  <w:num w:numId="29">
    <w:abstractNumId w:val="11"/>
  </w:num>
  <w:num w:numId="30">
    <w:abstractNumId w:val="19"/>
  </w:num>
  <w:num w:numId="31">
    <w:abstractNumId w:val="32"/>
  </w:num>
  <w:num w:numId="32">
    <w:abstractNumId w:val="37"/>
  </w:num>
  <w:num w:numId="33">
    <w:abstractNumId w:val="12"/>
  </w:num>
  <w:num w:numId="34">
    <w:abstractNumId w:val="24"/>
  </w:num>
  <w:num w:numId="35">
    <w:abstractNumId w:val="22"/>
  </w:num>
  <w:num w:numId="36">
    <w:abstractNumId w:val="34"/>
  </w:num>
  <w:num w:numId="37">
    <w:abstractNumId w:val="38"/>
  </w:num>
  <w:num w:numId="38">
    <w:abstractNumId w:val="31"/>
  </w:num>
  <w:num w:numId="39">
    <w:abstractNumId w:val="30"/>
  </w:num>
  <w:num w:numId="40">
    <w:abstractNumId w:val="39"/>
  </w:num>
  <w:num w:numId="41">
    <w:abstractNumId w:val="26"/>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activeWritingStyle w:appName="MSWord" w:lang="fr-CH" w:vendorID="64" w:dllVersion="6" w:nlCheck="1" w:checkStyle="1"/>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113DE"/>
    <w:rsid w:val="000229B5"/>
    <w:rsid w:val="00034A36"/>
    <w:rsid w:val="00034F9D"/>
    <w:rsid w:val="00037F90"/>
    <w:rsid w:val="00046B1F"/>
    <w:rsid w:val="00046BE6"/>
    <w:rsid w:val="000509A7"/>
    <w:rsid w:val="00050F6B"/>
    <w:rsid w:val="00051A53"/>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77F"/>
    <w:rsid w:val="000B4EF7"/>
    <w:rsid w:val="000C2C03"/>
    <w:rsid w:val="000C2D2E"/>
    <w:rsid w:val="000C4D51"/>
    <w:rsid w:val="000D1A27"/>
    <w:rsid w:val="000D230B"/>
    <w:rsid w:val="000D34E0"/>
    <w:rsid w:val="000E0415"/>
    <w:rsid w:val="000F1C7D"/>
    <w:rsid w:val="001054BC"/>
    <w:rsid w:val="001103AA"/>
    <w:rsid w:val="0011284E"/>
    <w:rsid w:val="00115F70"/>
    <w:rsid w:val="0011666B"/>
    <w:rsid w:val="001208E2"/>
    <w:rsid w:val="00126112"/>
    <w:rsid w:val="00146570"/>
    <w:rsid w:val="00155068"/>
    <w:rsid w:val="001626E2"/>
    <w:rsid w:val="00165F3A"/>
    <w:rsid w:val="00174567"/>
    <w:rsid w:val="0017587F"/>
    <w:rsid w:val="001A1DCA"/>
    <w:rsid w:val="001A7096"/>
    <w:rsid w:val="001B13A5"/>
    <w:rsid w:val="001B4B04"/>
    <w:rsid w:val="001B51BE"/>
    <w:rsid w:val="001C6287"/>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1571C"/>
    <w:rsid w:val="002564BC"/>
    <w:rsid w:val="00256B1C"/>
    <w:rsid w:val="00260DE5"/>
    <w:rsid w:val="00260F3E"/>
    <w:rsid w:val="00267F5F"/>
    <w:rsid w:val="00277C12"/>
    <w:rsid w:val="002852E1"/>
    <w:rsid w:val="00286B4D"/>
    <w:rsid w:val="002A5964"/>
    <w:rsid w:val="002A603B"/>
    <w:rsid w:val="002B53FD"/>
    <w:rsid w:val="002C134A"/>
    <w:rsid w:val="002C34AF"/>
    <w:rsid w:val="002D2DC1"/>
    <w:rsid w:val="002D4643"/>
    <w:rsid w:val="002D4B6C"/>
    <w:rsid w:val="002E1FA5"/>
    <w:rsid w:val="002F175C"/>
    <w:rsid w:val="00300853"/>
    <w:rsid w:val="00302B8D"/>
    <w:rsid w:val="00302E18"/>
    <w:rsid w:val="00307FAA"/>
    <w:rsid w:val="00312506"/>
    <w:rsid w:val="003229D8"/>
    <w:rsid w:val="00326872"/>
    <w:rsid w:val="00352709"/>
    <w:rsid w:val="00352BD5"/>
    <w:rsid w:val="00371178"/>
    <w:rsid w:val="00371194"/>
    <w:rsid w:val="0038078E"/>
    <w:rsid w:val="00381475"/>
    <w:rsid w:val="003A021A"/>
    <w:rsid w:val="003A6810"/>
    <w:rsid w:val="003A68B8"/>
    <w:rsid w:val="003C2CC4"/>
    <w:rsid w:val="003D12F5"/>
    <w:rsid w:val="003D4B23"/>
    <w:rsid w:val="003D6B2A"/>
    <w:rsid w:val="004059B4"/>
    <w:rsid w:val="00410C89"/>
    <w:rsid w:val="00417834"/>
    <w:rsid w:val="00422E03"/>
    <w:rsid w:val="00426B9B"/>
    <w:rsid w:val="0043040E"/>
    <w:rsid w:val="00430EFE"/>
    <w:rsid w:val="004325CB"/>
    <w:rsid w:val="00441896"/>
    <w:rsid w:val="00442A83"/>
    <w:rsid w:val="00443AB5"/>
    <w:rsid w:val="00450F74"/>
    <w:rsid w:val="0045495B"/>
    <w:rsid w:val="0048397A"/>
    <w:rsid w:val="004877E2"/>
    <w:rsid w:val="00491EC8"/>
    <w:rsid w:val="00495D15"/>
    <w:rsid w:val="004A12F2"/>
    <w:rsid w:val="004C1C18"/>
    <w:rsid w:val="004C2461"/>
    <w:rsid w:val="004C39E8"/>
    <w:rsid w:val="004C7462"/>
    <w:rsid w:val="004D23B2"/>
    <w:rsid w:val="004D43E2"/>
    <w:rsid w:val="004D4E04"/>
    <w:rsid w:val="004D5426"/>
    <w:rsid w:val="004E0C05"/>
    <w:rsid w:val="004E77B2"/>
    <w:rsid w:val="004F7CA5"/>
    <w:rsid w:val="00503DEB"/>
    <w:rsid w:val="00504B2D"/>
    <w:rsid w:val="00511A9B"/>
    <w:rsid w:val="0052136D"/>
    <w:rsid w:val="00522B58"/>
    <w:rsid w:val="005275A6"/>
    <w:rsid w:val="0052775E"/>
    <w:rsid w:val="00531AFA"/>
    <w:rsid w:val="00535C90"/>
    <w:rsid w:val="005420F2"/>
    <w:rsid w:val="00543785"/>
    <w:rsid w:val="00545927"/>
    <w:rsid w:val="00546993"/>
    <w:rsid w:val="00546AD4"/>
    <w:rsid w:val="0055338D"/>
    <w:rsid w:val="005628B6"/>
    <w:rsid w:val="00565D13"/>
    <w:rsid w:val="0056720E"/>
    <w:rsid w:val="00583857"/>
    <w:rsid w:val="00583FC6"/>
    <w:rsid w:val="00586EB5"/>
    <w:rsid w:val="00597EDC"/>
    <w:rsid w:val="005A575C"/>
    <w:rsid w:val="005B3DB3"/>
    <w:rsid w:val="005B4E13"/>
    <w:rsid w:val="005E6A77"/>
    <w:rsid w:val="005F7B75"/>
    <w:rsid w:val="006001EE"/>
    <w:rsid w:val="00605042"/>
    <w:rsid w:val="00605A9A"/>
    <w:rsid w:val="00610F63"/>
    <w:rsid w:val="00611FC4"/>
    <w:rsid w:val="006176FB"/>
    <w:rsid w:val="00631C51"/>
    <w:rsid w:val="00635782"/>
    <w:rsid w:val="00640B26"/>
    <w:rsid w:val="00646D1B"/>
    <w:rsid w:val="00652D0A"/>
    <w:rsid w:val="00656B98"/>
    <w:rsid w:val="006623D5"/>
    <w:rsid w:val="00662BB6"/>
    <w:rsid w:val="00667F8F"/>
    <w:rsid w:val="00684C21"/>
    <w:rsid w:val="0069232B"/>
    <w:rsid w:val="006A2530"/>
    <w:rsid w:val="006B3ADE"/>
    <w:rsid w:val="006B7864"/>
    <w:rsid w:val="006C3589"/>
    <w:rsid w:val="006D37AF"/>
    <w:rsid w:val="006D51D0"/>
    <w:rsid w:val="006D6716"/>
    <w:rsid w:val="006E5117"/>
    <w:rsid w:val="006E564B"/>
    <w:rsid w:val="006E7191"/>
    <w:rsid w:val="00703577"/>
    <w:rsid w:val="00705894"/>
    <w:rsid w:val="00716E19"/>
    <w:rsid w:val="0072632A"/>
    <w:rsid w:val="00731FF0"/>
    <w:rsid w:val="007327D5"/>
    <w:rsid w:val="007335A9"/>
    <w:rsid w:val="00744E2A"/>
    <w:rsid w:val="007611CF"/>
    <w:rsid w:val="007629C8"/>
    <w:rsid w:val="00764081"/>
    <w:rsid w:val="007674FA"/>
    <w:rsid w:val="0077047D"/>
    <w:rsid w:val="00775E7A"/>
    <w:rsid w:val="007B00C8"/>
    <w:rsid w:val="007B6BA5"/>
    <w:rsid w:val="007B7349"/>
    <w:rsid w:val="007C3390"/>
    <w:rsid w:val="007C4F4B"/>
    <w:rsid w:val="007D46D5"/>
    <w:rsid w:val="007E01E9"/>
    <w:rsid w:val="007E47EC"/>
    <w:rsid w:val="007E63F3"/>
    <w:rsid w:val="007F2A80"/>
    <w:rsid w:val="007F6611"/>
    <w:rsid w:val="007F6AB8"/>
    <w:rsid w:val="007F7106"/>
    <w:rsid w:val="0080114F"/>
    <w:rsid w:val="00801A58"/>
    <w:rsid w:val="00811920"/>
    <w:rsid w:val="00815AD0"/>
    <w:rsid w:val="008242D7"/>
    <w:rsid w:val="008257B1"/>
    <w:rsid w:val="00843767"/>
    <w:rsid w:val="008521A5"/>
    <w:rsid w:val="00860D0C"/>
    <w:rsid w:val="008679D9"/>
    <w:rsid w:val="00871389"/>
    <w:rsid w:val="00874CB6"/>
    <w:rsid w:val="00881C0C"/>
    <w:rsid w:val="00883999"/>
    <w:rsid w:val="008878DE"/>
    <w:rsid w:val="008979B1"/>
    <w:rsid w:val="008A2607"/>
    <w:rsid w:val="008A6B25"/>
    <w:rsid w:val="008A6C4F"/>
    <w:rsid w:val="008B2335"/>
    <w:rsid w:val="008B717B"/>
    <w:rsid w:val="008D6256"/>
    <w:rsid w:val="008E0678"/>
    <w:rsid w:val="008E7526"/>
    <w:rsid w:val="00901B81"/>
    <w:rsid w:val="009147C7"/>
    <w:rsid w:val="0092212D"/>
    <w:rsid w:val="009223CA"/>
    <w:rsid w:val="00925C25"/>
    <w:rsid w:val="00940F93"/>
    <w:rsid w:val="0094558F"/>
    <w:rsid w:val="0094670D"/>
    <w:rsid w:val="0094766B"/>
    <w:rsid w:val="009537B2"/>
    <w:rsid w:val="00961690"/>
    <w:rsid w:val="0097051A"/>
    <w:rsid w:val="009760F3"/>
    <w:rsid w:val="009950AD"/>
    <w:rsid w:val="009A0E8D"/>
    <w:rsid w:val="009B1518"/>
    <w:rsid w:val="009B192C"/>
    <w:rsid w:val="009B26E7"/>
    <w:rsid w:val="009B6669"/>
    <w:rsid w:val="009C3EED"/>
    <w:rsid w:val="009C454F"/>
    <w:rsid w:val="009C5684"/>
    <w:rsid w:val="009D2A5B"/>
    <w:rsid w:val="009D6965"/>
    <w:rsid w:val="00A00A3F"/>
    <w:rsid w:val="00A01489"/>
    <w:rsid w:val="00A01563"/>
    <w:rsid w:val="00A0594B"/>
    <w:rsid w:val="00A13A8B"/>
    <w:rsid w:val="00A14382"/>
    <w:rsid w:val="00A16F6A"/>
    <w:rsid w:val="00A2358C"/>
    <w:rsid w:val="00A3009E"/>
    <w:rsid w:val="00A3026E"/>
    <w:rsid w:val="00A338F1"/>
    <w:rsid w:val="00A40BEB"/>
    <w:rsid w:val="00A43545"/>
    <w:rsid w:val="00A44EAC"/>
    <w:rsid w:val="00A60127"/>
    <w:rsid w:val="00A72F22"/>
    <w:rsid w:val="00A7360F"/>
    <w:rsid w:val="00A748A6"/>
    <w:rsid w:val="00A769F4"/>
    <w:rsid w:val="00A776B4"/>
    <w:rsid w:val="00A81407"/>
    <w:rsid w:val="00A8207E"/>
    <w:rsid w:val="00A9093D"/>
    <w:rsid w:val="00A9142D"/>
    <w:rsid w:val="00A92AFA"/>
    <w:rsid w:val="00A94361"/>
    <w:rsid w:val="00AA293C"/>
    <w:rsid w:val="00AB10FF"/>
    <w:rsid w:val="00AB25C8"/>
    <w:rsid w:val="00AD13BA"/>
    <w:rsid w:val="00AE08DA"/>
    <w:rsid w:val="00AE1E36"/>
    <w:rsid w:val="00AE6935"/>
    <w:rsid w:val="00AE6B63"/>
    <w:rsid w:val="00AF3993"/>
    <w:rsid w:val="00B012FA"/>
    <w:rsid w:val="00B11A73"/>
    <w:rsid w:val="00B11BB4"/>
    <w:rsid w:val="00B141B9"/>
    <w:rsid w:val="00B1568E"/>
    <w:rsid w:val="00B175D8"/>
    <w:rsid w:val="00B22295"/>
    <w:rsid w:val="00B22BC2"/>
    <w:rsid w:val="00B30179"/>
    <w:rsid w:val="00B36283"/>
    <w:rsid w:val="00B36628"/>
    <w:rsid w:val="00B421C1"/>
    <w:rsid w:val="00B42658"/>
    <w:rsid w:val="00B4288A"/>
    <w:rsid w:val="00B441FE"/>
    <w:rsid w:val="00B55C71"/>
    <w:rsid w:val="00B56E4A"/>
    <w:rsid w:val="00B56E9C"/>
    <w:rsid w:val="00B61320"/>
    <w:rsid w:val="00B64B1F"/>
    <w:rsid w:val="00B6553F"/>
    <w:rsid w:val="00B70F1E"/>
    <w:rsid w:val="00B734ED"/>
    <w:rsid w:val="00B77D05"/>
    <w:rsid w:val="00B81206"/>
    <w:rsid w:val="00B81E12"/>
    <w:rsid w:val="00B857E8"/>
    <w:rsid w:val="00BA1092"/>
    <w:rsid w:val="00BB7CD1"/>
    <w:rsid w:val="00BC3FA0"/>
    <w:rsid w:val="00BC74E9"/>
    <w:rsid w:val="00BD4443"/>
    <w:rsid w:val="00BF68A8"/>
    <w:rsid w:val="00C10FE6"/>
    <w:rsid w:val="00C11A03"/>
    <w:rsid w:val="00C22C0C"/>
    <w:rsid w:val="00C22F9A"/>
    <w:rsid w:val="00C255AF"/>
    <w:rsid w:val="00C26D47"/>
    <w:rsid w:val="00C30C61"/>
    <w:rsid w:val="00C3172E"/>
    <w:rsid w:val="00C35502"/>
    <w:rsid w:val="00C37928"/>
    <w:rsid w:val="00C40B11"/>
    <w:rsid w:val="00C4527F"/>
    <w:rsid w:val="00C463DD"/>
    <w:rsid w:val="00C4724C"/>
    <w:rsid w:val="00C51175"/>
    <w:rsid w:val="00C517D2"/>
    <w:rsid w:val="00C563BF"/>
    <w:rsid w:val="00C629A0"/>
    <w:rsid w:val="00C64629"/>
    <w:rsid w:val="00C745C3"/>
    <w:rsid w:val="00C76F8B"/>
    <w:rsid w:val="00C81EB8"/>
    <w:rsid w:val="00C915D3"/>
    <w:rsid w:val="00C92461"/>
    <w:rsid w:val="00C952F0"/>
    <w:rsid w:val="00CB3E03"/>
    <w:rsid w:val="00CD53AE"/>
    <w:rsid w:val="00CE4A8F"/>
    <w:rsid w:val="00CF0197"/>
    <w:rsid w:val="00CF1BAD"/>
    <w:rsid w:val="00D0508B"/>
    <w:rsid w:val="00D2031B"/>
    <w:rsid w:val="00D21758"/>
    <w:rsid w:val="00D24F58"/>
    <w:rsid w:val="00D25FE2"/>
    <w:rsid w:val="00D26430"/>
    <w:rsid w:val="00D302C6"/>
    <w:rsid w:val="00D406A9"/>
    <w:rsid w:val="00D43252"/>
    <w:rsid w:val="00D445B4"/>
    <w:rsid w:val="00D47EEA"/>
    <w:rsid w:val="00D550D4"/>
    <w:rsid w:val="00D571B0"/>
    <w:rsid w:val="00D773DF"/>
    <w:rsid w:val="00D872AC"/>
    <w:rsid w:val="00D9255F"/>
    <w:rsid w:val="00D95303"/>
    <w:rsid w:val="00D978C6"/>
    <w:rsid w:val="00DA3145"/>
    <w:rsid w:val="00DA3C1C"/>
    <w:rsid w:val="00DB1444"/>
    <w:rsid w:val="00DB2A91"/>
    <w:rsid w:val="00DD29BD"/>
    <w:rsid w:val="00DE1D53"/>
    <w:rsid w:val="00DE4750"/>
    <w:rsid w:val="00DF0F1A"/>
    <w:rsid w:val="00E046DF"/>
    <w:rsid w:val="00E06C45"/>
    <w:rsid w:val="00E15557"/>
    <w:rsid w:val="00E17C63"/>
    <w:rsid w:val="00E240D2"/>
    <w:rsid w:val="00E27346"/>
    <w:rsid w:val="00E51DA4"/>
    <w:rsid w:val="00E53BC3"/>
    <w:rsid w:val="00E71610"/>
    <w:rsid w:val="00E71BC8"/>
    <w:rsid w:val="00E72409"/>
    <w:rsid w:val="00E7260F"/>
    <w:rsid w:val="00E73F5D"/>
    <w:rsid w:val="00E74859"/>
    <w:rsid w:val="00E76186"/>
    <w:rsid w:val="00E77E4E"/>
    <w:rsid w:val="00E8771C"/>
    <w:rsid w:val="00E96630"/>
    <w:rsid w:val="00E973AE"/>
    <w:rsid w:val="00EA3763"/>
    <w:rsid w:val="00EC106A"/>
    <w:rsid w:val="00EC1E8A"/>
    <w:rsid w:val="00ED1389"/>
    <w:rsid w:val="00ED7A2A"/>
    <w:rsid w:val="00EE1FD0"/>
    <w:rsid w:val="00EE6B3A"/>
    <w:rsid w:val="00EF1D7F"/>
    <w:rsid w:val="00EF4E86"/>
    <w:rsid w:val="00F1711C"/>
    <w:rsid w:val="00F31E5F"/>
    <w:rsid w:val="00F32BB7"/>
    <w:rsid w:val="00F47EDC"/>
    <w:rsid w:val="00F502C6"/>
    <w:rsid w:val="00F57FF4"/>
    <w:rsid w:val="00F6100A"/>
    <w:rsid w:val="00F63C9D"/>
    <w:rsid w:val="00F64DBF"/>
    <w:rsid w:val="00F658D5"/>
    <w:rsid w:val="00F66565"/>
    <w:rsid w:val="00F75A16"/>
    <w:rsid w:val="00F77467"/>
    <w:rsid w:val="00F77976"/>
    <w:rsid w:val="00F852F4"/>
    <w:rsid w:val="00F913E2"/>
    <w:rsid w:val="00F92A22"/>
    <w:rsid w:val="00F93781"/>
    <w:rsid w:val="00FA1531"/>
    <w:rsid w:val="00FA16BB"/>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27484D"/>
  <w15:docId w15:val="{CEBDF466-1B57-4D5F-95ED-21794521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cs="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 w:type="character" w:customStyle="1" w:styleId="Heading3Char">
    <w:name w:val="Heading 3 Char"/>
    <w:basedOn w:val="DefaultParagraphFont"/>
    <w:link w:val="Heading3"/>
    <w:rsid w:val="006D67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853">
      <w:bodyDiv w:val="1"/>
      <w:marLeft w:val="0"/>
      <w:marRight w:val="0"/>
      <w:marTop w:val="0"/>
      <w:marBottom w:val="0"/>
      <w:divBdr>
        <w:top w:val="none" w:sz="0" w:space="0" w:color="auto"/>
        <w:left w:val="none" w:sz="0" w:space="0" w:color="auto"/>
        <w:bottom w:val="none" w:sz="0" w:space="0" w:color="auto"/>
        <w:right w:val="none" w:sz="0" w:space="0" w:color="auto"/>
      </w:divBdr>
    </w:div>
    <w:div w:id="143934256">
      <w:bodyDiv w:val="1"/>
      <w:marLeft w:val="0"/>
      <w:marRight w:val="0"/>
      <w:marTop w:val="0"/>
      <w:marBottom w:val="0"/>
      <w:divBdr>
        <w:top w:val="none" w:sz="0" w:space="0" w:color="auto"/>
        <w:left w:val="none" w:sz="0" w:space="0" w:color="auto"/>
        <w:bottom w:val="none" w:sz="0" w:space="0" w:color="auto"/>
        <w:right w:val="none" w:sz="0" w:space="0" w:color="auto"/>
      </w:divBdr>
    </w:div>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C23D-E5E6-4866-A21E-BCBE6D06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815</Words>
  <Characters>4296</Characters>
  <Application>Microsoft Office Word</Application>
  <DocSecurity>0</DocSecurity>
  <Lines>81</Lines>
  <Paragraphs>41</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
      <vt:lpstr>1126259</vt:lpstr>
      <vt:lpstr>1126259</vt:lpstr>
      <vt:lpstr>1126259</vt:lpstr>
    </vt:vector>
  </TitlesOfParts>
  <Company>CSD</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 Silvia</dc:creator>
  <cp:keywords/>
  <dc:description>Final</dc:description>
  <cp:lastModifiedBy>Christine Barrio-Champeau</cp:lastModifiedBy>
  <cp:revision>5</cp:revision>
  <cp:lastPrinted>2019-11-04T13:27:00Z</cp:lastPrinted>
  <dcterms:created xsi:type="dcterms:W3CDTF">2019-11-04T13:17:00Z</dcterms:created>
  <dcterms:modified xsi:type="dcterms:W3CDTF">2019-11-04T15:26:00Z</dcterms:modified>
</cp:coreProperties>
</file>