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25C25" w:rsidRPr="008268C5" w:rsidTr="00E51DA4">
        <w:trPr>
          <w:cantSplit/>
          <w:trHeight w:hRule="exact" w:val="563"/>
        </w:trPr>
        <w:tc>
          <w:tcPr>
            <w:tcW w:w="1276" w:type="dxa"/>
            <w:tcBorders>
              <w:bottom w:val="single" w:sz="4" w:space="0" w:color="auto"/>
            </w:tcBorders>
            <w:shd w:val="clear" w:color="auto" w:fill="auto"/>
            <w:vAlign w:val="bottom"/>
          </w:tcPr>
          <w:p w:rsidR="00925C25" w:rsidRPr="008268C5" w:rsidRDefault="00925C25" w:rsidP="006E0538">
            <w:pPr>
              <w:spacing w:after="80"/>
            </w:pPr>
          </w:p>
        </w:tc>
        <w:tc>
          <w:tcPr>
            <w:tcW w:w="2268" w:type="dxa"/>
            <w:tcBorders>
              <w:bottom w:val="single" w:sz="4" w:space="0" w:color="auto"/>
            </w:tcBorders>
            <w:shd w:val="clear" w:color="auto" w:fill="auto"/>
            <w:vAlign w:val="bottom"/>
          </w:tcPr>
          <w:p w:rsidR="00925C25" w:rsidRPr="008268C5" w:rsidRDefault="00925C25" w:rsidP="006E0538">
            <w:pPr>
              <w:spacing w:after="80" w:line="300" w:lineRule="exact"/>
              <w:rPr>
                <w:b/>
                <w:sz w:val="24"/>
                <w:szCs w:val="24"/>
              </w:rPr>
            </w:pPr>
          </w:p>
        </w:tc>
        <w:tc>
          <w:tcPr>
            <w:tcW w:w="6095" w:type="dxa"/>
            <w:tcBorders>
              <w:bottom w:val="single" w:sz="4" w:space="0" w:color="auto"/>
            </w:tcBorders>
            <w:shd w:val="clear" w:color="auto" w:fill="auto"/>
            <w:vAlign w:val="bottom"/>
          </w:tcPr>
          <w:p w:rsidR="00925C25" w:rsidRPr="008268C5" w:rsidRDefault="00925C25" w:rsidP="006E0538">
            <w:pPr>
              <w:suppressAutoHyphens w:val="0"/>
              <w:spacing w:after="20"/>
              <w:jc w:val="right"/>
              <w:rPr>
                <w:b/>
                <w:sz w:val="28"/>
                <w:szCs w:val="28"/>
              </w:rPr>
            </w:pPr>
            <w:r w:rsidRPr="008268C5">
              <w:rPr>
                <w:b/>
                <w:sz w:val="28"/>
                <w:szCs w:val="28"/>
              </w:rPr>
              <w:t>INF.</w:t>
            </w:r>
            <w:r w:rsidR="00A60127">
              <w:rPr>
                <w:b/>
                <w:sz w:val="28"/>
                <w:szCs w:val="28"/>
              </w:rPr>
              <w:t>7</w:t>
            </w:r>
          </w:p>
        </w:tc>
      </w:tr>
    </w:tbl>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925C25" w:rsidP="00925C25">
      <w:pPr>
        <w:spacing w:before="120"/>
        <w:rPr>
          <w:b/>
        </w:rPr>
      </w:pPr>
      <w:r>
        <w:rPr>
          <w:b/>
        </w:rPr>
        <w:t>106</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586EB5">
        <w:rPr>
          <w:b/>
        </w:rPr>
        <w:t>30</w:t>
      </w:r>
      <w:r>
        <w:rPr>
          <w:b/>
        </w:rPr>
        <w:t xml:space="preserve"> April 2019</w:t>
      </w:r>
    </w:p>
    <w:p w:rsidR="00925C25" w:rsidRPr="008268C5" w:rsidRDefault="00925C25" w:rsidP="00925C25">
      <w:r w:rsidRPr="008268C5">
        <w:t xml:space="preserve">Geneva, </w:t>
      </w:r>
      <w:r>
        <w:t>13-17 May</w:t>
      </w:r>
      <w:r w:rsidRPr="008268C5">
        <w:t xml:space="preserve"> 201</w:t>
      </w:r>
      <w:r>
        <w:t>9</w:t>
      </w:r>
    </w:p>
    <w:p w:rsidR="00925C25" w:rsidRDefault="00925C25" w:rsidP="00925C25">
      <w:r w:rsidRPr="00BC41E8">
        <w:t xml:space="preserve">Item </w:t>
      </w:r>
      <w:r>
        <w:t xml:space="preserve">6 </w:t>
      </w:r>
      <w:r w:rsidRPr="00BC41E8">
        <w:t>(</w:t>
      </w:r>
      <w:r w:rsidR="00583FC6">
        <w:t>b</w:t>
      </w:r>
      <w:r w:rsidRPr="00BC41E8">
        <w:t>)</w:t>
      </w:r>
      <w:r w:rsidRPr="00566B2D">
        <w:t xml:space="preserve"> of the provisional agenda</w:t>
      </w:r>
      <w:r>
        <w:t>:</w:t>
      </w:r>
    </w:p>
    <w:p w:rsidR="00925C25" w:rsidRPr="007D52F1" w:rsidRDefault="00925C25" w:rsidP="00925C25">
      <w:pPr>
        <w:rPr>
          <w:b/>
        </w:rPr>
      </w:pPr>
      <w:r w:rsidRPr="007D52F1">
        <w:rPr>
          <w:b/>
        </w:rPr>
        <w:t>Proposals for amendments to annexes A and B of ADR:</w:t>
      </w:r>
    </w:p>
    <w:p w:rsidR="00925C25" w:rsidRPr="007D52F1" w:rsidRDefault="00A60127" w:rsidP="00925C25">
      <w:pPr>
        <w:rPr>
          <w:b/>
        </w:rPr>
      </w:pPr>
      <w:r>
        <w:rPr>
          <w:b/>
        </w:rPr>
        <w:t>m</w:t>
      </w:r>
      <w:r w:rsidR="00583FC6">
        <w:rPr>
          <w:b/>
        </w:rPr>
        <w:t>iscellaneous proposals</w:t>
      </w:r>
    </w:p>
    <w:p w:rsidR="00925C25" w:rsidRPr="004A301A" w:rsidRDefault="00925C25" w:rsidP="00925C25">
      <w:pPr>
        <w:pStyle w:val="HChG"/>
        <w:rPr>
          <w:sz w:val="27"/>
          <w:szCs w:val="27"/>
        </w:rPr>
      </w:pPr>
      <w:r>
        <w:tab/>
      </w:r>
      <w:r>
        <w:tab/>
        <w:t>Comments on 2019/7: Marking of transport units and containers loaded with limited quantities</w:t>
      </w:r>
    </w:p>
    <w:p w:rsidR="00925C25" w:rsidRPr="00890ED4" w:rsidRDefault="00925C25" w:rsidP="00925C25">
      <w:pPr>
        <w:pStyle w:val="H1G"/>
      </w:pPr>
      <w:r>
        <w:tab/>
      </w:r>
      <w:r>
        <w:tab/>
      </w:r>
      <w:r w:rsidRPr="00890ED4">
        <w:t>Transmitted by the Government</w:t>
      </w:r>
      <w:r>
        <w:t xml:space="preserve"> of Sweden</w:t>
      </w:r>
    </w:p>
    <w:p w:rsidR="001C6287" w:rsidRDefault="00B11A73" w:rsidP="00352BD5">
      <w:pPr>
        <w:pStyle w:val="SingleTxtG"/>
      </w:pPr>
      <w:r>
        <w:t>1.</w:t>
      </w:r>
      <w:r>
        <w:tab/>
      </w:r>
      <w:r w:rsidR="0021571C">
        <w:t xml:space="preserve">Sweden </w:t>
      </w:r>
      <w:r w:rsidR="00716E19">
        <w:t>agrees with</w:t>
      </w:r>
      <w:r w:rsidR="0021571C">
        <w:t xml:space="preserve"> the problem </w:t>
      </w:r>
      <w:r w:rsidR="00034F9D">
        <w:t>raised</w:t>
      </w:r>
      <w:r w:rsidR="0021571C">
        <w:t xml:space="preserve"> in Switzerland</w:t>
      </w:r>
      <w:r w:rsidR="005275A6">
        <w:t>’</w:t>
      </w:r>
      <w:r w:rsidR="0021571C">
        <w:t xml:space="preserve">s document </w:t>
      </w:r>
      <w:proofErr w:type="gramStart"/>
      <w:r w:rsidR="0021571C">
        <w:t>2019/7, and</w:t>
      </w:r>
      <w:proofErr w:type="gramEnd"/>
      <w:r w:rsidR="0021571C">
        <w:t xml:space="preserve"> supports the principle to always require the LQ ma</w:t>
      </w:r>
      <w:r w:rsidR="0094670D">
        <w:t xml:space="preserve">rk for carriage in containers above the limits </w:t>
      </w:r>
      <w:r w:rsidR="00352BD5">
        <w:t>stated</w:t>
      </w:r>
      <w:r w:rsidR="0094670D">
        <w:t xml:space="preserve"> in section 3.4.13.</w:t>
      </w:r>
      <w:r w:rsidR="001C6287">
        <w:t xml:space="preserve"> </w:t>
      </w:r>
      <w:r w:rsidR="00716E19">
        <w:t xml:space="preserve">However, </w:t>
      </w:r>
      <w:r w:rsidR="00DB1444">
        <w:t xml:space="preserve">we cannot see that </w:t>
      </w:r>
      <w:r w:rsidR="00C26D47">
        <w:t>amending the second paragraph in 3.4.13 (b) solve</w:t>
      </w:r>
      <w:r w:rsidR="00DB1444">
        <w:t>s</w:t>
      </w:r>
      <w:r w:rsidR="00C26D47">
        <w:t xml:space="preserve"> the problem. </w:t>
      </w:r>
    </w:p>
    <w:p w:rsidR="0021571C" w:rsidRPr="0021571C" w:rsidRDefault="00B11A73" w:rsidP="00352BD5">
      <w:pPr>
        <w:pStyle w:val="SingleTxtG"/>
      </w:pPr>
      <w:r>
        <w:t>2.</w:t>
      </w:r>
      <w:r>
        <w:tab/>
      </w:r>
      <w:r w:rsidR="00E53BC3">
        <w:t>Section 3.4.13 (b) refers to marking in accordance with 3.4.15, which is the LQ marking. Subsequently, the exemption allowed in the second paragraph in 3.4.13 (b) refers to the LQ marking and not the placarding</w:t>
      </w:r>
      <w:r w:rsidR="001054BC">
        <w:t>. What further supports this</w:t>
      </w:r>
      <w:r w:rsidR="00E17C63">
        <w:t xml:space="preserve"> interpretation</w:t>
      </w:r>
      <w:r w:rsidR="001054BC">
        <w:t xml:space="preserve"> is that a placard is never </w:t>
      </w:r>
      <w:r w:rsidR="00491EC8">
        <w:t xml:space="preserve">referred to as a </w:t>
      </w:r>
      <w:proofErr w:type="gramStart"/>
      <w:r w:rsidR="00491EC8">
        <w:t>mark</w:t>
      </w:r>
      <w:r w:rsidR="00CD53AE">
        <w:t>,</w:t>
      </w:r>
      <w:r w:rsidR="00491EC8">
        <w:t xml:space="preserve"> or</w:t>
      </w:r>
      <w:proofErr w:type="gramEnd"/>
      <w:r w:rsidR="00491EC8">
        <w:t xml:space="preserve"> </w:t>
      </w:r>
      <w:r w:rsidR="001054BC">
        <w:t>affixed at the front of a transport unit</w:t>
      </w:r>
      <w:r w:rsidR="00925C25">
        <w:t xml:space="preserve"> – and </w:t>
      </w:r>
      <w:r w:rsidR="001054BC">
        <w:t xml:space="preserve">the second paragraph states that </w:t>
      </w:r>
      <w:r w:rsidR="005275A6">
        <w:t>“</w:t>
      </w:r>
      <w:r w:rsidR="001054BC">
        <w:t>the same marks shall be affixed at the front and at the rear of the transport unit</w:t>
      </w:r>
      <w:r w:rsidR="005275A6">
        <w:t>”</w:t>
      </w:r>
      <w:r w:rsidR="00DB1444">
        <w:t xml:space="preserve">. </w:t>
      </w:r>
      <w:r w:rsidR="005275A6">
        <w:t>We also believe that</w:t>
      </w:r>
      <w:r w:rsidR="00DB1444">
        <w:t xml:space="preserve"> sub-section 5.3.1.3 already </w:t>
      </w:r>
      <w:r w:rsidR="005275A6">
        <w:t>exempts the carrying vehicle from having placards if the placards affixed to the containers, bulk containers, MEGCs, tank-containers or portable tanks are not visible from the outside.</w:t>
      </w:r>
    </w:p>
    <w:p w:rsidR="004F7CA5" w:rsidRDefault="00B11A73" w:rsidP="00260F3E">
      <w:pPr>
        <w:pStyle w:val="SingleTxtG"/>
      </w:pPr>
      <w:r>
        <w:t>3.</w:t>
      </w:r>
      <w:r>
        <w:tab/>
      </w:r>
      <w:r w:rsidR="009950AD">
        <w:t xml:space="preserve">As shown in </w:t>
      </w:r>
      <w:r w:rsidR="0094670D">
        <w:t xml:space="preserve">example 2 in </w:t>
      </w:r>
      <w:r w:rsidR="009950AD">
        <w:t>the table</w:t>
      </w:r>
      <w:r w:rsidR="0094670D">
        <w:t xml:space="preserve"> in Switzerland’s document (2019/7)</w:t>
      </w:r>
      <w:r w:rsidR="009950AD">
        <w:t xml:space="preserve">, it is the provisions for the fully regulated goods that take precedence and determines what kind of information that should be displayed on the </w:t>
      </w:r>
      <w:r w:rsidR="0094670D">
        <w:t>container</w:t>
      </w:r>
      <w:r w:rsidR="009950AD">
        <w:t>, and not necessarily the</w:t>
      </w:r>
      <w:r w:rsidR="00F913E2">
        <w:t xml:space="preserve"> </w:t>
      </w:r>
      <w:r w:rsidR="0094670D">
        <w:t>actual</w:t>
      </w:r>
      <w:r w:rsidR="009950AD">
        <w:t xml:space="preserve"> and more relevant hazard. This poses a problem. </w:t>
      </w:r>
      <w:r w:rsidR="009950AD" w:rsidRPr="00BD58AD">
        <w:t>The risk for people and the en</w:t>
      </w:r>
      <w:r w:rsidR="009950AD">
        <w:t xml:space="preserve">vironment of e.g. a </w:t>
      </w:r>
      <w:r w:rsidR="009950AD" w:rsidRPr="002D2DC1">
        <w:t xml:space="preserve">drum </w:t>
      </w:r>
      <w:r w:rsidR="00E17C63">
        <w:t>containing</w:t>
      </w:r>
      <w:r w:rsidR="00E17C63" w:rsidRPr="002D2DC1">
        <w:t xml:space="preserve"> </w:t>
      </w:r>
      <w:r w:rsidR="009950AD" w:rsidRPr="002D2DC1">
        <w:t xml:space="preserve">60 kg of </w:t>
      </w:r>
      <w:r w:rsidR="00E17C63">
        <w:t xml:space="preserve">an environmentally hazardous substance of </w:t>
      </w:r>
      <w:r w:rsidR="009950AD" w:rsidRPr="002D2DC1">
        <w:t>class 9</w:t>
      </w:r>
      <w:r w:rsidR="000B477F">
        <w:t xml:space="preserve"> (carried as fully regulated dg and not LQ)</w:t>
      </w:r>
      <w:r w:rsidR="009950AD" w:rsidRPr="002D2DC1">
        <w:t xml:space="preserve">, </w:t>
      </w:r>
      <w:r w:rsidR="00E17C63">
        <w:t>should not</w:t>
      </w:r>
      <w:r w:rsidR="00E17C63" w:rsidRPr="00BD58AD">
        <w:t xml:space="preserve"> </w:t>
      </w:r>
      <w:r w:rsidR="009950AD" w:rsidRPr="00BD58AD">
        <w:t xml:space="preserve">be so crucial that </w:t>
      </w:r>
      <w:r w:rsidR="009950AD">
        <w:t xml:space="preserve">it </w:t>
      </w:r>
      <w:r w:rsidR="009950AD" w:rsidRPr="00BD58AD">
        <w:t>take</w:t>
      </w:r>
      <w:r w:rsidR="009950AD">
        <w:t>s</w:t>
      </w:r>
      <w:r w:rsidR="009950AD" w:rsidRPr="00BD58AD">
        <w:t xml:space="preserve"> precedence in terms of how to display the hazard on a </w:t>
      </w:r>
      <w:r w:rsidR="009950AD">
        <w:t>container</w:t>
      </w:r>
      <w:r w:rsidR="00E17C63">
        <w:t xml:space="preserve"> </w:t>
      </w:r>
      <w:r w:rsidR="0080114F">
        <w:t>also containing</w:t>
      </w:r>
      <w:r w:rsidR="00E17C63">
        <w:t xml:space="preserve"> </w:t>
      </w:r>
      <w:r w:rsidR="0080114F">
        <w:t xml:space="preserve">8 tonnes of </w:t>
      </w:r>
      <w:r w:rsidR="00E17C63">
        <w:t>e.g. acetone packed in limited</w:t>
      </w:r>
      <w:r w:rsidR="0080114F">
        <w:t xml:space="preserve"> quantities</w:t>
      </w:r>
      <w:r w:rsidR="00C517D2">
        <w:t>.</w:t>
      </w:r>
    </w:p>
    <w:p w:rsidR="00A60127" w:rsidRDefault="00B11A73" w:rsidP="007B7349">
      <w:pPr>
        <w:pStyle w:val="SingleTxtG"/>
      </w:pPr>
      <w:r>
        <w:t>4.</w:t>
      </w:r>
      <w:r>
        <w:tab/>
      </w:r>
      <w:r w:rsidR="00E17C63">
        <w:t>For</w:t>
      </w:r>
      <w:r w:rsidR="00352BD5">
        <w:t xml:space="preserve"> transport units </w:t>
      </w:r>
      <w:r w:rsidR="0080114F">
        <w:t>containing</w:t>
      </w:r>
      <w:r w:rsidR="00352BD5">
        <w:t xml:space="preserve"> </w:t>
      </w:r>
      <w:r w:rsidR="0080114F">
        <w:t xml:space="preserve">dangerous goods packed in </w:t>
      </w:r>
      <w:r w:rsidR="00352BD5">
        <w:t>limited quantities, the situation is slightly different. In this case</w:t>
      </w:r>
      <w:r w:rsidR="00352BD5" w:rsidRPr="00352BD5">
        <w:t xml:space="preserve"> </w:t>
      </w:r>
      <w:r w:rsidR="00352BD5">
        <w:t>the LQ</w:t>
      </w:r>
      <w:r w:rsidR="0080114F">
        <w:t xml:space="preserve"> </w:t>
      </w:r>
      <w:r w:rsidR="00352BD5">
        <w:t>mark</w:t>
      </w:r>
      <w:r w:rsidR="0080114F">
        <w:t>s</w:t>
      </w:r>
      <w:r w:rsidR="00352BD5">
        <w:t xml:space="preserve"> may be </w:t>
      </w:r>
      <w:r w:rsidR="0080114F">
        <w:t xml:space="preserve">dispensed with </w:t>
      </w:r>
      <w:r w:rsidR="00352BD5" w:rsidRPr="00DF7508">
        <w:t xml:space="preserve">when the transport unit </w:t>
      </w:r>
      <w:r w:rsidR="00352BD5">
        <w:t xml:space="preserve">also </w:t>
      </w:r>
      <w:r w:rsidR="00352BD5" w:rsidRPr="00DF7508">
        <w:t xml:space="preserve">contains dangerous goods for which </w:t>
      </w:r>
      <w:r w:rsidR="0080114F">
        <w:t xml:space="preserve">the marking with </w:t>
      </w:r>
      <w:r w:rsidR="00352BD5" w:rsidRPr="00DF7508">
        <w:t>orange-coloured plate</w:t>
      </w:r>
      <w:r w:rsidR="0080114F">
        <w:t>s</w:t>
      </w:r>
      <w:r w:rsidR="00352BD5" w:rsidRPr="00DF7508">
        <w:t xml:space="preserve"> in accordance with 5.3.2 is required. </w:t>
      </w:r>
      <w:r w:rsidR="00925C25">
        <w:t>However, s</w:t>
      </w:r>
      <w:r w:rsidR="00352BD5">
        <w:t>ince the orange-coloured plate</w:t>
      </w:r>
      <w:r w:rsidR="0080114F">
        <w:t>s</w:t>
      </w:r>
      <w:r w:rsidR="00352BD5">
        <w:t xml:space="preserve"> already reflect that the load might consist of different types of dangerous goods, the need to also affix the LQ</w:t>
      </w:r>
      <w:r w:rsidR="0080114F">
        <w:t xml:space="preserve"> </w:t>
      </w:r>
      <w:r w:rsidR="00352BD5">
        <w:t>mark</w:t>
      </w:r>
      <w:r w:rsidR="0080114F">
        <w:t>s</w:t>
      </w:r>
      <w:r w:rsidR="00352BD5">
        <w:t xml:space="preserve"> would be redundant.</w:t>
      </w:r>
    </w:p>
    <w:p w:rsidR="00DE4750" w:rsidRPr="00576C71" w:rsidRDefault="00A60127" w:rsidP="00A60127">
      <w:pPr>
        <w:pStyle w:val="HChG"/>
        <w:rPr>
          <w:rFonts w:eastAsiaTheme="minorEastAsia"/>
          <w:lang w:val="en-US" w:eastAsia="zh-CN"/>
        </w:rPr>
      </w:pPr>
      <w:r>
        <w:rPr>
          <w:rFonts w:eastAsiaTheme="minorEastAsia"/>
          <w:lang w:eastAsia="zh-CN"/>
        </w:rPr>
        <w:tab/>
      </w:r>
      <w:r w:rsidR="00DE4750" w:rsidRPr="00E72409">
        <w:rPr>
          <w:rFonts w:eastAsiaTheme="minorEastAsia"/>
          <w:lang w:eastAsia="zh-CN"/>
        </w:rPr>
        <w:tab/>
      </w:r>
      <w:r w:rsidR="00DE4750" w:rsidRPr="001C6287">
        <w:rPr>
          <w:rFonts w:eastAsiaTheme="minorEastAsia"/>
          <w:lang w:val="en-US" w:eastAsia="zh-CN"/>
        </w:rPr>
        <w:t>Proposal</w:t>
      </w:r>
    </w:p>
    <w:p w:rsidR="00DB1444" w:rsidRPr="004C1C18" w:rsidRDefault="00B11A73" w:rsidP="0094670D">
      <w:pPr>
        <w:pStyle w:val="SingleTxtG"/>
        <w:jc w:val="left"/>
        <w:rPr>
          <w:b/>
        </w:rPr>
      </w:pPr>
      <w:r>
        <w:t>5.</w:t>
      </w:r>
      <w:r>
        <w:tab/>
      </w:r>
      <w:r w:rsidR="00C517D2" w:rsidRPr="002C134A">
        <w:t xml:space="preserve">Amend 3.4.13 </w:t>
      </w:r>
      <w:r w:rsidR="004C1C18">
        <w:t xml:space="preserve">(b) </w:t>
      </w:r>
      <w:r w:rsidR="00C517D2" w:rsidRPr="002C134A">
        <w:t>as follows</w:t>
      </w:r>
      <w:r w:rsidR="00FB3838" w:rsidRPr="002C134A">
        <w:t xml:space="preserve"> (changes </w:t>
      </w:r>
      <w:r w:rsidR="00FB3838" w:rsidRPr="002C134A">
        <w:rPr>
          <w:u w:val="single"/>
        </w:rPr>
        <w:t>underlined</w:t>
      </w:r>
      <w:r w:rsidR="00FB3838" w:rsidRPr="002C134A">
        <w:t xml:space="preserve"> or </w:t>
      </w:r>
      <w:r w:rsidR="00FB3838" w:rsidRPr="002C134A">
        <w:rPr>
          <w:strike/>
        </w:rPr>
        <w:t>stricken through</w:t>
      </w:r>
      <w:r w:rsidR="00FB3838" w:rsidRPr="002C134A">
        <w:t>)</w:t>
      </w:r>
      <w:r w:rsidR="00C517D2" w:rsidRPr="002C134A">
        <w:t>:</w:t>
      </w:r>
      <w:r w:rsidR="00DE4750">
        <w:rPr>
          <w:rFonts w:eastAsiaTheme="minorEastAsia"/>
          <w:lang w:val="en-US" w:eastAsia="zh-CN"/>
        </w:rPr>
        <w:tab/>
      </w:r>
    </w:p>
    <w:p w:rsidR="00DB1444" w:rsidRDefault="00925C25" w:rsidP="007B7349">
      <w:pPr>
        <w:pStyle w:val="SingleTxtG"/>
        <w:ind w:left="1701" w:hanging="567"/>
      </w:pPr>
      <w:r>
        <w:rPr>
          <w:rFonts w:eastAsia="SimSun"/>
        </w:rPr>
        <w:t>“</w:t>
      </w:r>
      <w:r w:rsidR="00DB1444" w:rsidRPr="004C1C18">
        <w:rPr>
          <w:rFonts w:eastAsia="SimSun"/>
        </w:rPr>
        <w:t>(b)</w:t>
      </w:r>
      <w:r w:rsidR="00DB1444" w:rsidRPr="004C1C18">
        <w:rPr>
          <w:rFonts w:eastAsia="SimSun"/>
        </w:rPr>
        <w:tab/>
      </w:r>
      <w:r w:rsidR="00DB1444" w:rsidRPr="004C1C18">
        <w:t xml:space="preserve">Containers carrying dangerous goods packed in limited quantities, on </w:t>
      </w:r>
      <w:r w:rsidR="00DB1444" w:rsidRPr="007B7349">
        <w:t>transport</w:t>
      </w:r>
      <w:r w:rsidR="00DB1444" w:rsidRPr="004C1C18">
        <w:t xml:space="preserve"> units </w:t>
      </w:r>
      <w:r>
        <w:tab/>
      </w:r>
      <w:r w:rsidR="00DB1444" w:rsidRPr="004C1C18">
        <w:t>with a maximum</w:t>
      </w:r>
      <w:r w:rsidR="00DB1444" w:rsidRPr="00FB3838">
        <w:t xml:space="preserve"> mass exceeding 12 tonnes, shall be marked in accordance with 3.4.15 on all four sides</w:t>
      </w:r>
      <w:r w:rsidR="00DB1444" w:rsidRPr="00FB3838">
        <w:rPr>
          <w:u w:val="single"/>
        </w:rPr>
        <w:t>.</w:t>
      </w:r>
      <w:r w:rsidR="00DB1444" w:rsidRPr="00FB3838">
        <w:t xml:space="preserve"> </w:t>
      </w:r>
      <w:r w:rsidR="00DB1444" w:rsidRPr="00FB3838">
        <w:rPr>
          <w:strike/>
        </w:rPr>
        <w:t xml:space="preserve">except </w:t>
      </w:r>
      <w:proofErr w:type="spellStart"/>
      <w:r w:rsidR="00DB1444" w:rsidRPr="00FB3838">
        <w:rPr>
          <w:strike/>
        </w:rPr>
        <w:t>w</w:t>
      </w:r>
      <w:r w:rsidR="00DB1444" w:rsidRPr="00FB3838">
        <w:rPr>
          <w:u w:val="single"/>
        </w:rPr>
        <w:t>W</w:t>
      </w:r>
      <w:r w:rsidR="00DB1444" w:rsidRPr="00FB3838">
        <w:t>hen</w:t>
      </w:r>
      <w:proofErr w:type="spellEnd"/>
      <w:r w:rsidR="00DB1444" w:rsidRPr="00FB3838">
        <w:t xml:space="preserve"> the container contains other dangerous goods for which placarding in accordance with 5.3.1 is required</w:t>
      </w:r>
      <w:r w:rsidR="00DB1444" w:rsidRPr="00FB3838">
        <w:rPr>
          <w:strike/>
        </w:rPr>
        <w:t>. In this latter case</w:t>
      </w:r>
      <w:r w:rsidR="00DB1444" w:rsidRPr="00FB3838">
        <w:t>, the container</w:t>
      </w:r>
      <w:r w:rsidR="00DB1444">
        <w:t xml:space="preserve"> </w:t>
      </w:r>
      <w:r w:rsidR="00DB1444" w:rsidRPr="00FB3838">
        <w:rPr>
          <w:strike/>
        </w:rPr>
        <w:t>may</w:t>
      </w:r>
      <w:r w:rsidR="00DB1444" w:rsidRPr="00FB3838">
        <w:t xml:space="preserve"> </w:t>
      </w:r>
      <w:r w:rsidR="00DB1444" w:rsidRPr="00FB3838">
        <w:rPr>
          <w:u w:val="single"/>
        </w:rPr>
        <w:t>shall</w:t>
      </w:r>
      <w:r w:rsidR="00DB1444" w:rsidRPr="00FB3838">
        <w:t xml:space="preserve"> display the required placards</w:t>
      </w:r>
      <w:r w:rsidR="00DB1444" w:rsidRPr="00925C25">
        <w:rPr>
          <w:strike/>
        </w:rPr>
        <w:t xml:space="preserve"> </w:t>
      </w:r>
      <w:r w:rsidR="00DB1444" w:rsidRPr="00FB3838">
        <w:rPr>
          <w:strike/>
        </w:rPr>
        <w:t>only, or both the placards</w:t>
      </w:r>
      <w:r w:rsidR="00DB1444" w:rsidRPr="00FB3838">
        <w:t xml:space="preserve"> in accordance with 5.3.1 and the marks in accordance with 3.4.15.</w:t>
      </w:r>
    </w:p>
    <w:p w:rsidR="001C6287" w:rsidRDefault="00DB1444" w:rsidP="007B7349">
      <w:pPr>
        <w:spacing w:after="120"/>
        <w:ind w:left="1701" w:right="1134"/>
        <w:jc w:val="both"/>
      </w:pPr>
      <w:r w:rsidRPr="00FB3838">
        <w:t xml:space="preserve">The carrying transport unit need not be marked, except when the marks affixed to the containers are not visible from outside this carrying transport unit. In this latter case, </w:t>
      </w:r>
      <w:bookmarkStart w:id="0" w:name="_GoBack"/>
      <w:bookmarkEnd w:id="0"/>
      <w:r w:rsidRPr="00FB3838">
        <w:t>the same marks shall be affixed at the front and at the rear of the transport unit.</w:t>
      </w:r>
      <w:r w:rsidR="00925C25">
        <w:t>”</w:t>
      </w:r>
    </w:p>
    <w:p w:rsidR="00FA16BB" w:rsidRPr="00FA16BB" w:rsidRDefault="00081202" w:rsidP="00A60127">
      <w:pPr>
        <w:tabs>
          <w:tab w:val="left" w:pos="1134"/>
        </w:tabs>
        <w:spacing w:after="120"/>
        <w:jc w:val="center"/>
        <w:rPr>
          <w:u w:val="single"/>
          <w:lang w:val="en-US"/>
        </w:rPr>
      </w:pPr>
      <w:r>
        <w:t>__________________</w:t>
      </w:r>
    </w:p>
    <w:sectPr w:rsidR="00FA16BB" w:rsidRPr="00FA16BB" w:rsidSect="00E51DA4">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418" w:right="1134" w:bottom="426"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F70" w:rsidRDefault="00115F70"/>
  </w:endnote>
  <w:endnote w:type="continuationSeparator" w:id="0">
    <w:p w:rsidR="00115F70" w:rsidRDefault="00115F70"/>
  </w:endnote>
  <w:endnote w:type="continuationNotice" w:id="1">
    <w:p w:rsidR="00115F70" w:rsidRDefault="0011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51DA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B1444">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F70" w:rsidRPr="000B175B" w:rsidRDefault="00115F70" w:rsidP="000B175B">
      <w:pPr>
        <w:tabs>
          <w:tab w:val="right" w:pos="2155"/>
        </w:tabs>
        <w:spacing w:after="80"/>
        <w:ind w:left="680"/>
        <w:rPr>
          <w:u w:val="single"/>
        </w:rPr>
      </w:pPr>
      <w:r>
        <w:rPr>
          <w:u w:val="single"/>
        </w:rPr>
        <w:tab/>
      </w:r>
    </w:p>
  </w:footnote>
  <w:footnote w:type="continuationSeparator" w:id="0">
    <w:p w:rsidR="00115F70" w:rsidRPr="00FC68B7" w:rsidRDefault="00115F70" w:rsidP="00FC68B7">
      <w:pPr>
        <w:tabs>
          <w:tab w:val="left" w:pos="2155"/>
        </w:tabs>
        <w:spacing w:after="80"/>
        <w:ind w:left="680"/>
        <w:rPr>
          <w:u w:val="single"/>
        </w:rPr>
      </w:pPr>
      <w:r>
        <w:rPr>
          <w:u w:val="single"/>
        </w:rPr>
        <w:tab/>
      </w:r>
    </w:p>
  </w:footnote>
  <w:footnote w:type="continuationNotice" w:id="1">
    <w:p w:rsidR="00115F70" w:rsidRDefault="00115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1A1DCA">
      <w:t>8</w:t>
    </w:r>
    <w:r w:rsidRPr="009D2A5B">
      <w:t>/</w:t>
    </w:r>
    <w:r w:rsidR="001A1DCA">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2564BC">
      <w:t>8</w:t>
    </w:r>
    <w:r w:rsidRPr="009D2A5B">
      <w:t>/</w:t>
    </w:r>
    <w:r w:rsidR="002564BC">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3"/>
  </w:num>
  <w:num w:numId="15">
    <w:abstractNumId w:val="14"/>
  </w:num>
  <w:num w:numId="16">
    <w:abstractNumId w:val="11"/>
  </w:num>
  <w:num w:numId="17">
    <w:abstractNumId w:val="20"/>
  </w:num>
  <w:num w:numId="18">
    <w:abstractNumId w:val="26"/>
  </w:num>
  <w:num w:numId="19">
    <w:abstractNumId w:val="24"/>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3DE"/>
    <w:rsid w:val="000229B5"/>
    <w:rsid w:val="00034A36"/>
    <w:rsid w:val="00034F9D"/>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230B"/>
    <w:rsid w:val="000E0415"/>
    <w:rsid w:val="000F1C7D"/>
    <w:rsid w:val="001054BC"/>
    <w:rsid w:val="001103AA"/>
    <w:rsid w:val="00115F70"/>
    <w:rsid w:val="0011666B"/>
    <w:rsid w:val="001208E2"/>
    <w:rsid w:val="00126112"/>
    <w:rsid w:val="00155068"/>
    <w:rsid w:val="00165F3A"/>
    <w:rsid w:val="0017587F"/>
    <w:rsid w:val="001A1DCA"/>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60F3E"/>
    <w:rsid w:val="00267F5F"/>
    <w:rsid w:val="00277C12"/>
    <w:rsid w:val="00286B4D"/>
    <w:rsid w:val="002A5964"/>
    <w:rsid w:val="002A603B"/>
    <w:rsid w:val="002C134A"/>
    <w:rsid w:val="002D2DC1"/>
    <w:rsid w:val="002D4643"/>
    <w:rsid w:val="002D4B6C"/>
    <w:rsid w:val="002F175C"/>
    <w:rsid w:val="00300853"/>
    <w:rsid w:val="00302B8D"/>
    <w:rsid w:val="00302E18"/>
    <w:rsid w:val="00307FAA"/>
    <w:rsid w:val="00312506"/>
    <w:rsid w:val="003229D8"/>
    <w:rsid w:val="00352709"/>
    <w:rsid w:val="00352BD5"/>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91EC8"/>
    <w:rsid w:val="00495D15"/>
    <w:rsid w:val="004A12F2"/>
    <w:rsid w:val="004C1C18"/>
    <w:rsid w:val="004C2461"/>
    <w:rsid w:val="004C746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628B6"/>
    <w:rsid w:val="00583FC6"/>
    <w:rsid w:val="00586EB5"/>
    <w:rsid w:val="00597EDC"/>
    <w:rsid w:val="005A575C"/>
    <w:rsid w:val="005B3DB3"/>
    <w:rsid w:val="005B4E13"/>
    <w:rsid w:val="005E6A77"/>
    <w:rsid w:val="005F7B75"/>
    <w:rsid w:val="006001EE"/>
    <w:rsid w:val="00605042"/>
    <w:rsid w:val="00605A9A"/>
    <w:rsid w:val="00611FC4"/>
    <w:rsid w:val="006176FB"/>
    <w:rsid w:val="00640B26"/>
    <w:rsid w:val="00646D1B"/>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16E19"/>
    <w:rsid w:val="0072632A"/>
    <w:rsid w:val="00731FF0"/>
    <w:rsid w:val="007327D5"/>
    <w:rsid w:val="00744E2A"/>
    <w:rsid w:val="007611CF"/>
    <w:rsid w:val="007629C8"/>
    <w:rsid w:val="00764081"/>
    <w:rsid w:val="007674FA"/>
    <w:rsid w:val="0077047D"/>
    <w:rsid w:val="007B6BA5"/>
    <w:rsid w:val="007B7349"/>
    <w:rsid w:val="007C3390"/>
    <w:rsid w:val="007C4F4B"/>
    <w:rsid w:val="007D46D5"/>
    <w:rsid w:val="007E01E9"/>
    <w:rsid w:val="007E63F3"/>
    <w:rsid w:val="007F2A80"/>
    <w:rsid w:val="007F6611"/>
    <w:rsid w:val="007F7106"/>
    <w:rsid w:val="0080114F"/>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25C25"/>
    <w:rsid w:val="00940F93"/>
    <w:rsid w:val="0094558F"/>
    <w:rsid w:val="0094670D"/>
    <w:rsid w:val="0094766B"/>
    <w:rsid w:val="00961690"/>
    <w:rsid w:val="009760F3"/>
    <w:rsid w:val="009950AD"/>
    <w:rsid w:val="009A0E8D"/>
    <w:rsid w:val="009B1518"/>
    <w:rsid w:val="009B192C"/>
    <w:rsid w:val="009B26E7"/>
    <w:rsid w:val="009B6669"/>
    <w:rsid w:val="009C3EED"/>
    <w:rsid w:val="009C454F"/>
    <w:rsid w:val="009D2A5B"/>
    <w:rsid w:val="009D6965"/>
    <w:rsid w:val="00A00A3F"/>
    <w:rsid w:val="00A01489"/>
    <w:rsid w:val="00A2358C"/>
    <w:rsid w:val="00A3009E"/>
    <w:rsid w:val="00A3026E"/>
    <w:rsid w:val="00A338F1"/>
    <w:rsid w:val="00A43545"/>
    <w:rsid w:val="00A60127"/>
    <w:rsid w:val="00A72F22"/>
    <w:rsid w:val="00A7360F"/>
    <w:rsid w:val="00A748A6"/>
    <w:rsid w:val="00A769F4"/>
    <w:rsid w:val="00A776B4"/>
    <w:rsid w:val="00A81407"/>
    <w:rsid w:val="00A8207E"/>
    <w:rsid w:val="00A9093D"/>
    <w:rsid w:val="00A9142D"/>
    <w:rsid w:val="00A94361"/>
    <w:rsid w:val="00AA293C"/>
    <w:rsid w:val="00AB25C8"/>
    <w:rsid w:val="00AD13BA"/>
    <w:rsid w:val="00AE08DA"/>
    <w:rsid w:val="00AE1E36"/>
    <w:rsid w:val="00AE6935"/>
    <w:rsid w:val="00AF3993"/>
    <w:rsid w:val="00B012FA"/>
    <w:rsid w:val="00B11A7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D53AE"/>
    <w:rsid w:val="00CE4A8F"/>
    <w:rsid w:val="00CF0197"/>
    <w:rsid w:val="00CF1BAD"/>
    <w:rsid w:val="00D2031B"/>
    <w:rsid w:val="00D25FE2"/>
    <w:rsid w:val="00D43252"/>
    <w:rsid w:val="00D47EEA"/>
    <w:rsid w:val="00D550D4"/>
    <w:rsid w:val="00D773DF"/>
    <w:rsid w:val="00D872AC"/>
    <w:rsid w:val="00D9255F"/>
    <w:rsid w:val="00D95303"/>
    <w:rsid w:val="00D978C6"/>
    <w:rsid w:val="00DA3C1C"/>
    <w:rsid w:val="00DB1444"/>
    <w:rsid w:val="00DD29BD"/>
    <w:rsid w:val="00DE1D53"/>
    <w:rsid w:val="00DE4750"/>
    <w:rsid w:val="00DF0F1A"/>
    <w:rsid w:val="00E046DF"/>
    <w:rsid w:val="00E15557"/>
    <w:rsid w:val="00E17C63"/>
    <w:rsid w:val="00E240D2"/>
    <w:rsid w:val="00E27346"/>
    <w:rsid w:val="00E51DA4"/>
    <w:rsid w:val="00E53BC3"/>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31E5F"/>
    <w:rsid w:val="00F32BB7"/>
    <w:rsid w:val="00F47EDC"/>
    <w:rsid w:val="00F57FF4"/>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414FC"/>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2235-2F0A-4F2F-A9AD-E5145734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509</Words>
  <Characters>2907</Characters>
  <Application>Microsoft Office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2019-05-01T06:46:00Z</cp:lastPrinted>
  <dcterms:created xsi:type="dcterms:W3CDTF">2019-04-30T11:21:00Z</dcterms:created>
  <dcterms:modified xsi:type="dcterms:W3CDTF">2019-05-01T12:29:00Z</dcterms:modified>
</cp:coreProperties>
</file>