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5A1400" w:rsidTr="00691F20">
        <w:trPr>
          <w:cantSplit/>
          <w:trHeight w:hRule="exact" w:val="851"/>
        </w:trPr>
        <w:tc>
          <w:tcPr>
            <w:tcW w:w="9639" w:type="dxa"/>
            <w:tcBorders>
              <w:bottom w:val="single" w:sz="4" w:space="0" w:color="auto"/>
            </w:tcBorders>
            <w:vAlign w:val="bottom"/>
          </w:tcPr>
          <w:p w:rsidR="0099001C" w:rsidRPr="005A1400" w:rsidRDefault="0099001C" w:rsidP="005A1400">
            <w:pPr>
              <w:jc w:val="right"/>
              <w:rPr>
                <w:b/>
                <w:sz w:val="40"/>
                <w:szCs w:val="40"/>
              </w:rPr>
            </w:pPr>
            <w:r w:rsidRPr="005A1400">
              <w:rPr>
                <w:b/>
                <w:sz w:val="40"/>
                <w:szCs w:val="40"/>
              </w:rPr>
              <w:t>UN/SCEGHS/</w:t>
            </w:r>
            <w:r w:rsidR="00664234" w:rsidRPr="005A1400">
              <w:rPr>
                <w:b/>
                <w:sz w:val="40"/>
                <w:szCs w:val="40"/>
              </w:rPr>
              <w:t>3</w:t>
            </w:r>
            <w:r w:rsidR="001C187F">
              <w:rPr>
                <w:b/>
                <w:sz w:val="40"/>
                <w:szCs w:val="40"/>
              </w:rPr>
              <w:t>6</w:t>
            </w:r>
            <w:r w:rsidRPr="005A1400">
              <w:rPr>
                <w:b/>
                <w:sz w:val="40"/>
                <w:szCs w:val="40"/>
              </w:rPr>
              <w:t>/INF.</w:t>
            </w:r>
            <w:r w:rsidR="00F90DA3">
              <w:rPr>
                <w:b/>
                <w:sz w:val="40"/>
                <w:szCs w:val="40"/>
              </w:rPr>
              <w:t>2</w:t>
            </w:r>
            <w:r w:rsidR="00FB092C">
              <w:rPr>
                <w:b/>
                <w:sz w:val="40"/>
                <w:szCs w:val="40"/>
              </w:rPr>
              <w:t>5</w:t>
            </w:r>
          </w:p>
        </w:tc>
      </w:tr>
      <w:tr w:rsidR="0099001C" w:rsidRPr="005A1400" w:rsidTr="008B6E26">
        <w:trPr>
          <w:cantSplit/>
          <w:trHeight w:hRule="exact" w:val="3114"/>
        </w:trPr>
        <w:tc>
          <w:tcPr>
            <w:tcW w:w="9639" w:type="dxa"/>
            <w:tcBorders>
              <w:top w:val="single" w:sz="4" w:space="0" w:color="auto"/>
            </w:tcBorders>
          </w:tcPr>
          <w:p w:rsidR="00965932" w:rsidRPr="005A1400" w:rsidRDefault="00965932" w:rsidP="00965932">
            <w:pPr>
              <w:spacing w:before="120"/>
              <w:rPr>
                <w:b/>
                <w:sz w:val="24"/>
                <w:szCs w:val="24"/>
                <w:lang w:val="en-US"/>
              </w:rPr>
            </w:pPr>
            <w:r w:rsidRPr="005A1400">
              <w:rPr>
                <w:b/>
                <w:sz w:val="24"/>
                <w:szCs w:val="24"/>
                <w:lang w:val="en-US"/>
              </w:rPr>
              <w:t>Committee of Experts on the Transport of Dangerous Goods</w:t>
            </w:r>
            <w:r w:rsidRPr="005A1400">
              <w:rPr>
                <w:b/>
                <w:sz w:val="24"/>
                <w:szCs w:val="24"/>
                <w:lang w:val="en-US"/>
              </w:rPr>
              <w:br/>
              <w:t>and on the Globally Harmonized System of Classification</w:t>
            </w:r>
            <w:r w:rsidRPr="005A1400">
              <w:rPr>
                <w:b/>
                <w:sz w:val="24"/>
                <w:szCs w:val="24"/>
                <w:lang w:val="en-US"/>
              </w:rPr>
              <w:br/>
              <w:t>and Labelling of Chemicals</w:t>
            </w:r>
          </w:p>
          <w:p w:rsidR="00965932" w:rsidRPr="005A1400" w:rsidRDefault="00965932" w:rsidP="00965932">
            <w:pPr>
              <w:tabs>
                <w:tab w:val="left" w:pos="7230"/>
                <w:tab w:val="right" w:pos="9300"/>
              </w:tabs>
              <w:spacing w:before="120"/>
              <w:rPr>
                <w:rFonts w:ascii="Helv" w:hAnsi="Helv" w:cs="Helv"/>
                <w:b/>
                <w:color w:val="000000"/>
                <w:lang w:val="en-US"/>
              </w:rPr>
            </w:pPr>
            <w:r w:rsidRPr="005A1400">
              <w:rPr>
                <w:b/>
                <w:lang w:val="en-US"/>
              </w:rPr>
              <w:t>Sub-Committee of Experts on the Globally Harmonized</w:t>
            </w:r>
            <w:r w:rsidRPr="005A1400">
              <w:rPr>
                <w:b/>
                <w:lang w:val="en-US"/>
              </w:rPr>
              <w:br/>
              <w:t>System of Classification and Labelling of Chemicals</w:t>
            </w:r>
            <w:r w:rsidRPr="005A1400">
              <w:rPr>
                <w:b/>
                <w:lang w:val="en-US"/>
              </w:rPr>
              <w:tab/>
            </w:r>
            <w:r w:rsidR="001B06A5" w:rsidRPr="005A1400">
              <w:rPr>
                <w:b/>
                <w:lang w:val="en-US"/>
              </w:rPr>
              <w:tab/>
            </w:r>
            <w:r w:rsidR="00F90DA3">
              <w:rPr>
                <w:b/>
                <w:lang w:val="en-US"/>
              </w:rPr>
              <w:t>6</w:t>
            </w:r>
            <w:r w:rsidR="001C187F">
              <w:rPr>
                <w:b/>
                <w:lang w:val="en-US"/>
              </w:rPr>
              <w:t xml:space="preserve"> </w:t>
            </w:r>
            <w:r w:rsidR="00F90DA3">
              <w:rPr>
                <w:b/>
                <w:lang w:val="en-US"/>
              </w:rPr>
              <w:t>July</w:t>
            </w:r>
            <w:r w:rsidR="009738B3">
              <w:rPr>
                <w:b/>
                <w:lang w:val="en-US"/>
              </w:rPr>
              <w:t xml:space="preserve"> 201</w:t>
            </w:r>
            <w:r w:rsidR="00F90DA3">
              <w:rPr>
                <w:b/>
                <w:lang w:val="en-US"/>
              </w:rPr>
              <w:t>9</w:t>
            </w:r>
          </w:p>
          <w:p w:rsidR="00965932" w:rsidRPr="005A1400" w:rsidRDefault="00965932" w:rsidP="00965932">
            <w:pPr>
              <w:jc w:val="both"/>
              <w:rPr>
                <w:b/>
                <w:lang w:val="en-US"/>
              </w:rPr>
            </w:pPr>
          </w:p>
          <w:p w:rsidR="00F90DA3" w:rsidRPr="00283442" w:rsidRDefault="00F90DA3" w:rsidP="00F90DA3">
            <w:pPr>
              <w:spacing w:before="120"/>
              <w:rPr>
                <w:b/>
              </w:rPr>
            </w:pPr>
            <w:r>
              <w:rPr>
                <w:b/>
                <w:bCs/>
              </w:rPr>
              <w:t>Thirty-seventh</w:t>
            </w:r>
            <w:r w:rsidRPr="00283442">
              <w:rPr>
                <w:b/>
                <w:bCs/>
              </w:rPr>
              <w:t xml:space="preserve"> session</w:t>
            </w:r>
          </w:p>
          <w:p w:rsidR="00F90DA3" w:rsidRDefault="00F90DA3" w:rsidP="00F90DA3">
            <w:pPr>
              <w:jc w:val="both"/>
            </w:pPr>
            <w:r w:rsidRPr="000C5D6F">
              <w:t xml:space="preserve">Geneva, </w:t>
            </w:r>
            <w:r>
              <w:t>8-10 July 2019</w:t>
            </w:r>
          </w:p>
          <w:p w:rsidR="00F90DA3" w:rsidRPr="005A1400" w:rsidRDefault="001B06A5" w:rsidP="00F90DA3">
            <w:pPr>
              <w:spacing w:before="40"/>
            </w:pPr>
            <w:r w:rsidRPr="005A1400">
              <w:t xml:space="preserve">Item </w:t>
            </w:r>
            <w:r w:rsidR="00F90DA3">
              <w:t>2</w:t>
            </w:r>
            <w:r w:rsidR="00265243" w:rsidRPr="005A1400">
              <w:t xml:space="preserve"> </w:t>
            </w:r>
            <w:r w:rsidR="005A1400" w:rsidRPr="005A1400">
              <w:t xml:space="preserve">(a) </w:t>
            </w:r>
            <w:r w:rsidRPr="005A1400">
              <w:t>of the provisional agenda</w:t>
            </w:r>
          </w:p>
        </w:tc>
      </w:tr>
    </w:tbl>
    <w:p w:rsidR="00C00ACE" w:rsidRPr="00C00ACE" w:rsidRDefault="00965932" w:rsidP="00126F98">
      <w:pPr>
        <w:pStyle w:val="HChG"/>
        <w:spacing w:before="0"/>
      </w:pPr>
      <w:r w:rsidRPr="009E7ABD">
        <w:rPr>
          <w:rFonts w:eastAsia="MS Mincho"/>
          <w:lang w:val="en-US" w:eastAsia="ja-JP"/>
        </w:rPr>
        <w:tab/>
      </w:r>
      <w:r w:rsidR="00C00ACE">
        <w:rPr>
          <w:rFonts w:eastAsia="MS Mincho"/>
          <w:lang w:val="en-US" w:eastAsia="ja-JP"/>
        </w:rPr>
        <w:tab/>
      </w:r>
      <w:r w:rsidR="00C00ACE" w:rsidRPr="005A1400">
        <w:t>Work of the Sub-Committee of Experts on the Transport of</w:t>
      </w:r>
      <w:r w:rsidR="00C00ACE" w:rsidRPr="00C00ACE">
        <w:t xml:space="preserve"> Dangerous Goods on its fifty-</w:t>
      </w:r>
      <w:r w:rsidR="001C187F">
        <w:t>fourth</w:t>
      </w:r>
      <w:r w:rsidR="00C00ACE" w:rsidRPr="00C00ACE">
        <w:t xml:space="preserve"> session on matters of interest to the GHS Sub-Committee</w:t>
      </w:r>
    </w:p>
    <w:p w:rsidR="00C00ACE" w:rsidRDefault="00C00ACE" w:rsidP="00C00ACE">
      <w:pPr>
        <w:pStyle w:val="H1G"/>
      </w:pPr>
      <w:r>
        <w:tab/>
      </w:r>
      <w:r>
        <w:tab/>
        <w:t>Note by the secretariat</w:t>
      </w:r>
    </w:p>
    <w:p w:rsidR="00E27CDD" w:rsidRDefault="00C00ACE" w:rsidP="00C00ACE">
      <w:pPr>
        <w:pStyle w:val="SingleTxtG"/>
      </w:pPr>
      <w:r w:rsidRPr="001A5EFA">
        <w:t xml:space="preserve">1. </w:t>
      </w:r>
      <w:r w:rsidRPr="001A5EFA">
        <w:tab/>
        <w:t>At its fifty-</w:t>
      </w:r>
      <w:r w:rsidR="009F1D15">
        <w:t>fifth</w:t>
      </w:r>
      <w:r w:rsidRPr="001A5EFA">
        <w:t xml:space="preserve"> session, the Sub-Committee of Experts on the Transport of Dangerous Goods (TDG Sub-Committee) considered matters o</w:t>
      </w:r>
      <w:r w:rsidR="007229DF">
        <w:t>f</w:t>
      </w:r>
      <w:r w:rsidRPr="001A5EFA">
        <w:t xml:space="preserve"> interest to the GHS Sub-</w:t>
      </w:r>
      <w:r w:rsidRPr="00125265">
        <w:t xml:space="preserve">Committee under items </w:t>
      </w:r>
      <w:r w:rsidR="00DB33C1">
        <w:t>2</w:t>
      </w:r>
      <w:r w:rsidRPr="00125265">
        <w:t xml:space="preserve"> and </w:t>
      </w:r>
      <w:r w:rsidR="009F1D15">
        <w:t>10</w:t>
      </w:r>
      <w:r w:rsidRPr="00125265">
        <w:t xml:space="preserve"> of its agenda</w:t>
      </w:r>
      <w:r w:rsidR="00E30EE8" w:rsidRPr="00125265">
        <w:rPr>
          <w:rStyle w:val="FootnoteReference"/>
        </w:rPr>
        <w:footnoteReference w:id="2"/>
      </w:r>
      <w:r w:rsidRPr="00125265">
        <w:t>.</w:t>
      </w:r>
      <w:r w:rsidR="00E27CDD" w:rsidRPr="00125265">
        <w:t xml:space="preserve"> These included:</w:t>
      </w:r>
    </w:p>
    <w:p w:rsidR="00E27CDD" w:rsidRDefault="00E27CDD" w:rsidP="00126F98">
      <w:pPr>
        <w:pStyle w:val="SingleTxtG"/>
        <w:spacing w:after="80" w:line="240" w:lineRule="auto"/>
        <w:ind w:left="2268" w:hanging="567"/>
      </w:pPr>
      <w:r>
        <w:t>(a)</w:t>
      </w:r>
      <w:r>
        <w:tab/>
        <w:t>Explosives and related matters</w:t>
      </w:r>
      <w:r w:rsidR="00A0275E">
        <w:t>;</w:t>
      </w:r>
      <w:r w:rsidR="00125265">
        <w:t xml:space="preserve"> and</w:t>
      </w:r>
    </w:p>
    <w:p w:rsidR="00E27CDD" w:rsidRDefault="00E27CDD" w:rsidP="00126F98">
      <w:pPr>
        <w:pStyle w:val="SingleTxtG"/>
        <w:spacing w:after="80" w:line="240" w:lineRule="auto"/>
        <w:ind w:left="2268" w:hanging="567"/>
      </w:pPr>
      <w:r>
        <w:t>(</w:t>
      </w:r>
      <w:r w:rsidR="00DB33C1">
        <w:t>b</w:t>
      </w:r>
      <w:r>
        <w:t>)</w:t>
      </w:r>
      <w:r>
        <w:tab/>
      </w:r>
      <w:r w:rsidR="009F1D15" w:rsidRPr="009F1D15">
        <w:t>Issues relating to the Globally Harmonized System of Classification and Labelling of Chemicals</w:t>
      </w:r>
      <w:r w:rsidR="00BC6217">
        <w:t>;</w:t>
      </w:r>
    </w:p>
    <w:p w:rsidR="00BC6217" w:rsidRPr="00634742" w:rsidRDefault="001A5EFA" w:rsidP="00BC6217">
      <w:pPr>
        <w:pStyle w:val="SingleTxtG"/>
      </w:pPr>
      <w:r>
        <w:t>3</w:t>
      </w:r>
      <w:r w:rsidR="00C00ACE" w:rsidRPr="001A5EFA">
        <w:t xml:space="preserve">. </w:t>
      </w:r>
      <w:r w:rsidR="00C00ACE" w:rsidRPr="001A5EFA">
        <w:tab/>
      </w:r>
      <w:r w:rsidR="00BC6217" w:rsidRPr="00634742">
        <w:t xml:space="preserve">Following preliminary consideration in plenary, most issues related to </w:t>
      </w:r>
      <w:r w:rsidR="009738B3">
        <w:t xml:space="preserve">agenda item 2 were </w:t>
      </w:r>
      <w:r w:rsidR="00BC6217" w:rsidRPr="00634742">
        <w:t>referred to the Working Group on Explosives</w:t>
      </w:r>
      <w:r w:rsidR="00100A84">
        <w:t xml:space="preserve"> (EWG)</w:t>
      </w:r>
      <w:r w:rsidR="00BC6217" w:rsidRPr="00634742">
        <w:t xml:space="preserve">, which met from </w:t>
      </w:r>
      <w:r w:rsidR="009F1D15">
        <w:t>1</w:t>
      </w:r>
      <w:r w:rsidR="009738B3">
        <w:t xml:space="preserve"> to </w:t>
      </w:r>
      <w:r w:rsidR="009F1D15">
        <w:t>4</w:t>
      </w:r>
      <w:r w:rsidR="001C187F">
        <w:t xml:space="preserve"> </w:t>
      </w:r>
      <w:r w:rsidR="009F1D15">
        <w:t>July</w:t>
      </w:r>
      <w:r w:rsidR="009738B3">
        <w:t xml:space="preserve"> </w:t>
      </w:r>
      <w:r w:rsidR="00BC6217" w:rsidRPr="00634742">
        <w:t>201</w:t>
      </w:r>
      <w:r w:rsidR="009F1D15">
        <w:t>9</w:t>
      </w:r>
      <w:r w:rsidR="00BC6217" w:rsidRPr="00634742">
        <w:t>, with Mr. E. de Jong (Netherlands) as Chair.</w:t>
      </w:r>
      <w:r w:rsidR="001C187F">
        <w:t xml:space="preserve"> The full report of the Working Group has been circulated as informal document </w:t>
      </w:r>
      <w:r w:rsidR="001C187F" w:rsidRPr="00BC6217">
        <w:t>INF.</w:t>
      </w:r>
      <w:r w:rsidR="001C187F">
        <w:t>5</w:t>
      </w:r>
      <w:r w:rsidR="003704BE">
        <w:t>5</w:t>
      </w:r>
      <w:r w:rsidR="001C187F">
        <w:t xml:space="preserve"> (fifty-</w:t>
      </w:r>
      <w:r w:rsidR="003704BE">
        <w:t>fith</w:t>
      </w:r>
      <w:r w:rsidR="001C187F">
        <w:t xml:space="preserve"> session of the </w:t>
      </w:r>
      <w:r w:rsidR="001C187F" w:rsidRPr="001A5EFA">
        <w:t>TDG Sub-Committee</w:t>
      </w:r>
      <w:r w:rsidR="001C187F">
        <w:t>)</w:t>
      </w:r>
      <w:r w:rsidR="001C187F">
        <w:rPr>
          <w:rStyle w:val="FootnoteReference"/>
        </w:rPr>
        <w:t xml:space="preserve"> </w:t>
      </w:r>
      <w:r w:rsidR="001C187F">
        <w:t>and is reproduced as informal document INF.</w:t>
      </w:r>
      <w:r w:rsidR="003704BE">
        <w:t>24</w:t>
      </w:r>
      <w:r w:rsidR="001C187F">
        <w:t xml:space="preserve"> (thirty-</w:t>
      </w:r>
      <w:r w:rsidR="003704BE">
        <w:t>seventh</w:t>
      </w:r>
      <w:r w:rsidR="001C187F">
        <w:t xml:space="preserve"> session of the GHS Sub-Committee). </w:t>
      </w:r>
    </w:p>
    <w:p w:rsidR="00231719" w:rsidRDefault="003704BE" w:rsidP="00231719">
      <w:pPr>
        <w:pStyle w:val="SingleTxtG"/>
      </w:pPr>
      <w:r>
        <w:t>4</w:t>
      </w:r>
      <w:r w:rsidR="00231719" w:rsidRPr="00BC6217">
        <w:t>.</w:t>
      </w:r>
      <w:r w:rsidR="00231719" w:rsidRPr="00BC6217">
        <w:tab/>
        <w:t xml:space="preserve">The outcome of the discussions of the TDG Sub-Committee on matters of interest to the GHS Sub-Committee is summarized </w:t>
      </w:r>
      <w:r w:rsidR="00231719">
        <w:t>below</w:t>
      </w:r>
      <w:r w:rsidR="00231719" w:rsidRPr="00BC6217">
        <w:t xml:space="preserve">. </w:t>
      </w:r>
    </w:p>
    <w:p w:rsidR="006D612A" w:rsidRDefault="003908D1" w:rsidP="00231719">
      <w:pPr>
        <w:pStyle w:val="SingleTxtG"/>
      </w:pPr>
      <w:r>
        <w:t>5</w:t>
      </w:r>
      <w:r w:rsidR="006D612A">
        <w:t xml:space="preserve">. </w:t>
      </w:r>
      <w:r w:rsidR="006D612A">
        <w:tab/>
        <w:t xml:space="preserve">Unless </w:t>
      </w:r>
      <w:r>
        <w:t xml:space="preserve">otherwise </w:t>
      </w:r>
      <w:r w:rsidR="006D612A">
        <w:t xml:space="preserve">specified, informal documents listed are the informal documents submitted at the </w:t>
      </w:r>
      <w:r>
        <w:t>thirty-seventh</w:t>
      </w:r>
      <w:r w:rsidR="006D612A">
        <w:t xml:space="preserve"> session of the GHS Sub-Committee.</w:t>
      </w:r>
    </w:p>
    <w:p w:rsidR="00C868BA" w:rsidRDefault="00C868BA" w:rsidP="00194E18">
      <w:pPr>
        <w:pStyle w:val="H23G"/>
      </w:pPr>
      <w:r>
        <w:t xml:space="preserve">Item </w:t>
      </w:r>
      <w:r w:rsidR="00BB7437">
        <w:t>1</w:t>
      </w:r>
      <w:r>
        <w:tab/>
      </w:r>
      <w:r>
        <w:tab/>
      </w:r>
      <w:r w:rsidR="00696ABD">
        <w:t xml:space="preserve">Temperature limits in MTC Appendix 6 </w:t>
      </w:r>
      <w:r w:rsidRPr="00C868BA">
        <w:t xml:space="preserve">(GHS Sub-Committee agenda item </w:t>
      </w:r>
      <w:r w:rsidR="00194E18">
        <w:t>2</w:t>
      </w:r>
      <w:r w:rsidRPr="00C868BA">
        <w:t xml:space="preserve"> (a))</w:t>
      </w:r>
    </w:p>
    <w:p w:rsidR="00C868BA" w:rsidRDefault="00C868BA" w:rsidP="00194E18">
      <w:pPr>
        <w:pStyle w:val="SingleTxtG"/>
        <w:tabs>
          <w:tab w:val="left" w:pos="3119"/>
        </w:tabs>
        <w:spacing w:after="240"/>
        <w:ind w:left="3119" w:hanging="1985"/>
        <w:rPr>
          <w:lang w:val="en-US"/>
        </w:rPr>
      </w:pPr>
      <w:r>
        <w:rPr>
          <w:i/>
          <w:iCs/>
        </w:rPr>
        <w:t xml:space="preserve">Document:  </w:t>
      </w:r>
      <w:r>
        <w:rPr>
          <w:i/>
          <w:iCs/>
        </w:rPr>
        <w:tab/>
      </w:r>
      <w:r>
        <w:rPr>
          <w:lang w:val="en-US"/>
        </w:rPr>
        <w:t>ST/SG/AC.10/C.4/201</w:t>
      </w:r>
      <w:r w:rsidR="00194E18">
        <w:rPr>
          <w:lang w:val="en-US"/>
        </w:rPr>
        <w:t>9</w:t>
      </w:r>
      <w:r>
        <w:rPr>
          <w:lang w:val="en-US"/>
        </w:rPr>
        <w:t>/1 (</w:t>
      </w:r>
      <w:r w:rsidR="00194E18">
        <w:rPr>
          <w:lang w:val="en-US"/>
        </w:rPr>
        <w:t>CEFIC)</w:t>
      </w:r>
      <w:r>
        <w:rPr>
          <w:lang w:val="en-US"/>
        </w:rPr>
        <w:t xml:space="preserve"> </w:t>
      </w:r>
    </w:p>
    <w:p w:rsidR="00C868BA" w:rsidRDefault="00194E18" w:rsidP="00C868BA">
      <w:pPr>
        <w:pStyle w:val="SingleTxtG"/>
        <w:rPr>
          <w:lang w:val="en-US"/>
        </w:rPr>
      </w:pPr>
      <w:r>
        <w:t>6</w:t>
      </w:r>
      <w:r w:rsidR="00A34497" w:rsidRPr="00A34497">
        <w:t>.</w:t>
      </w:r>
      <w:r w:rsidR="00A34497" w:rsidRPr="00A34497">
        <w:tab/>
      </w:r>
      <w:r w:rsidRPr="00194E18">
        <w:rPr>
          <w:b/>
          <w:bCs/>
        </w:rPr>
        <w:t>CEFIC will consider the comments and will likely develop a new paper for a future session.</w:t>
      </w:r>
      <w:r w:rsidR="00C868BA">
        <w:t xml:space="preserve"> See informal document INF.</w:t>
      </w:r>
      <w:r>
        <w:t>24</w:t>
      </w:r>
      <w:r w:rsidR="00C868BA">
        <w:t xml:space="preserve">, </w:t>
      </w:r>
      <w:r w:rsidR="00C868BA">
        <w:rPr>
          <w:lang w:val="en-US"/>
        </w:rPr>
        <w:t xml:space="preserve">paragraph </w:t>
      </w:r>
      <w:r>
        <w:rPr>
          <w:lang w:val="en-US"/>
        </w:rPr>
        <w:t>6</w:t>
      </w:r>
      <w:r w:rsidR="00C868BA">
        <w:rPr>
          <w:lang w:val="en-US"/>
        </w:rPr>
        <w:t xml:space="preserve"> of the report of the </w:t>
      </w:r>
      <w:r w:rsidR="002C6FD3" w:rsidRPr="00634742">
        <w:t>Working Group on Explosives</w:t>
      </w:r>
      <w:r w:rsidR="002C6FD3">
        <w:rPr>
          <w:lang w:val="en-US"/>
        </w:rPr>
        <w:t xml:space="preserve"> </w:t>
      </w:r>
      <w:r w:rsidR="00C868BA">
        <w:rPr>
          <w:lang w:val="en-US"/>
        </w:rPr>
        <w:t>(</w:t>
      </w:r>
      <w:r w:rsidR="00C868BA">
        <w:t>Chairman of the Working Group</w:t>
      </w:r>
      <w:r w:rsidR="00C868BA">
        <w:rPr>
          <w:lang w:val="en-US"/>
        </w:rPr>
        <w:t>).</w:t>
      </w:r>
    </w:p>
    <w:p w:rsidR="00F13655" w:rsidRDefault="00F13655" w:rsidP="00F13655">
      <w:pPr>
        <w:pStyle w:val="H23G"/>
      </w:pPr>
      <w:r>
        <w:t xml:space="preserve">Item </w:t>
      </w:r>
      <w:r>
        <w:t>2</w:t>
      </w:r>
      <w:r>
        <w:tab/>
      </w:r>
      <w:r>
        <w:tab/>
        <w:t xml:space="preserve">Tests for oxidizing liquids and oxidizing solids improvement regarding consideration for particle size, friable or coated materials </w:t>
      </w:r>
      <w:r w:rsidRPr="00C868BA">
        <w:t xml:space="preserve">(GHS Sub-Committee agenda item </w:t>
      </w:r>
      <w:r>
        <w:t>2</w:t>
      </w:r>
      <w:r w:rsidRPr="00C868BA">
        <w:t xml:space="preserve"> (a))</w:t>
      </w:r>
    </w:p>
    <w:p w:rsidR="00F13655" w:rsidRPr="00C93220" w:rsidRDefault="00F13655" w:rsidP="00F13655">
      <w:pPr>
        <w:pStyle w:val="SingleTxtG"/>
        <w:tabs>
          <w:tab w:val="left" w:pos="3119"/>
        </w:tabs>
        <w:spacing w:after="240"/>
        <w:ind w:left="3119" w:hanging="1985"/>
        <w:rPr>
          <w:lang w:val="fr-CH"/>
        </w:rPr>
      </w:pPr>
      <w:proofErr w:type="gramStart"/>
      <w:r w:rsidRPr="00C93220">
        <w:rPr>
          <w:i/>
          <w:iCs/>
          <w:lang w:val="fr-CH"/>
        </w:rPr>
        <w:t>Document:</w:t>
      </w:r>
      <w:proofErr w:type="gramEnd"/>
      <w:r w:rsidRPr="00C93220">
        <w:rPr>
          <w:lang w:val="fr-CH"/>
        </w:rPr>
        <w:tab/>
        <w:t>ST/SG/AC.10/C.4/2019/</w:t>
      </w:r>
      <w:r w:rsidRPr="00C93220">
        <w:rPr>
          <w:lang w:val="fr-CH"/>
        </w:rPr>
        <w:t>4</w:t>
      </w:r>
      <w:r w:rsidRPr="00C93220">
        <w:rPr>
          <w:lang w:val="fr-CH"/>
        </w:rPr>
        <w:t xml:space="preserve"> (</w:t>
      </w:r>
      <w:r w:rsidRPr="00C93220">
        <w:rPr>
          <w:lang w:val="fr-CH"/>
        </w:rPr>
        <w:t>France</w:t>
      </w:r>
      <w:r w:rsidRPr="00C93220">
        <w:rPr>
          <w:lang w:val="fr-CH"/>
        </w:rPr>
        <w:t>)</w:t>
      </w:r>
    </w:p>
    <w:p w:rsidR="00F13655" w:rsidRPr="00C93220" w:rsidRDefault="00F13655" w:rsidP="00F13655">
      <w:pPr>
        <w:pStyle w:val="SingleTxtG"/>
        <w:tabs>
          <w:tab w:val="left" w:pos="3119"/>
        </w:tabs>
        <w:spacing w:after="240"/>
        <w:ind w:left="3119" w:hanging="1985"/>
        <w:jc w:val="left"/>
        <w:rPr>
          <w:lang w:val="fr-CH"/>
        </w:rPr>
      </w:pPr>
      <w:r w:rsidRPr="00C93220">
        <w:rPr>
          <w:i/>
          <w:iCs/>
          <w:lang w:val="fr-CH"/>
        </w:rPr>
        <w:lastRenderedPageBreak/>
        <w:t xml:space="preserve">Informal </w:t>
      </w:r>
      <w:proofErr w:type="gramStart"/>
      <w:r w:rsidRPr="00C93220">
        <w:rPr>
          <w:i/>
          <w:iCs/>
          <w:lang w:val="fr-CH"/>
        </w:rPr>
        <w:t>document:</w:t>
      </w:r>
      <w:proofErr w:type="gramEnd"/>
      <w:r w:rsidRPr="00C93220">
        <w:rPr>
          <w:i/>
          <w:iCs/>
          <w:lang w:val="fr-CH"/>
        </w:rPr>
        <w:t xml:space="preserve"> </w:t>
      </w:r>
      <w:r w:rsidRPr="00C93220">
        <w:rPr>
          <w:i/>
          <w:iCs/>
          <w:lang w:val="fr-CH"/>
        </w:rPr>
        <w:tab/>
      </w:r>
      <w:r w:rsidRPr="00C93220">
        <w:rPr>
          <w:lang w:val="fr-CH"/>
        </w:rPr>
        <w:t>UN/SCEGHS/37/INF.</w:t>
      </w:r>
      <w:r w:rsidR="00C93220">
        <w:rPr>
          <w:lang w:val="fr-CH"/>
        </w:rPr>
        <w:t>16</w:t>
      </w:r>
      <w:r w:rsidRPr="00C93220">
        <w:rPr>
          <w:lang w:val="fr-CH"/>
        </w:rPr>
        <w:t xml:space="preserve"> (</w:t>
      </w:r>
      <w:r w:rsidR="00C93220">
        <w:rPr>
          <w:lang w:val="fr-CH"/>
        </w:rPr>
        <w:t>France</w:t>
      </w:r>
      <w:r w:rsidRPr="00C93220">
        <w:rPr>
          <w:lang w:val="fr-CH"/>
        </w:rPr>
        <w:t xml:space="preserve">) </w:t>
      </w:r>
    </w:p>
    <w:p w:rsidR="00C93220" w:rsidRDefault="00C93220" w:rsidP="00C93220">
      <w:pPr>
        <w:pStyle w:val="SingleTxtG"/>
      </w:pPr>
      <w:r>
        <w:t>7</w:t>
      </w:r>
      <w:r w:rsidRPr="00496038">
        <w:t>.</w:t>
      </w:r>
      <w:r w:rsidRPr="00496038">
        <w:tab/>
      </w:r>
      <w:r>
        <w:t>The Sub-Committee noted the information provided on the document and thanked the expert from France for undertaking work on this topic in accordance with the program of work for 2019-2020.</w:t>
      </w:r>
    </w:p>
    <w:p w:rsidR="00F13655" w:rsidRDefault="00C93220" w:rsidP="00C93220">
      <w:pPr>
        <w:pStyle w:val="SingleTxtG"/>
      </w:pPr>
      <w:r>
        <w:t>8.</w:t>
      </w:r>
      <w:r>
        <w:tab/>
        <w:t>The expert from France clarified that the purpose of the work in item 4(b) was not to modify existing classification criteria for coated materials. He explained that a coating could provide extra protection that could modify oxidizing properties but on the opposite friability could affect the efficiency of coating and influence the test results. Therefore, it was important to clarify how to deal with this type of materials.</w:t>
      </w:r>
    </w:p>
    <w:p w:rsidR="00C93220" w:rsidRDefault="00C93220" w:rsidP="00C93220">
      <w:pPr>
        <w:pStyle w:val="SingleTxtG"/>
        <w:rPr>
          <w:i/>
        </w:rPr>
      </w:pPr>
      <w:r w:rsidRPr="00417338">
        <w:rPr>
          <w:i/>
        </w:rPr>
        <w:t>(Ref.Doc.: Draft report of the TDG Sub-Committee on its 5</w:t>
      </w:r>
      <w:r>
        <w:rPr>
          <w:i/>
        </w:rPr>
        <w:t>5</w:t>
      </w:r>
      <w:r>
        <w:rPr>
          <w:i/>
        </w:rPr>
        <w:t>th</w:t>
      </w:r>
      <w:r w:rsidRPr="00417338">
        <w:rPr>
          <w:i/>
        </w:rPr>
        <w:t xml:space="preserve"> session: ST/SG/AC.10/C.3/201</w:t>
      </w:r>
      <w:r>
        <w:rPr>
          <w:i/>
        </w:rPr>
        <w:t>9</w:t>
      </w:r>
      <w:r w:rsidRPr="00417338">
        <w:rPr>
          <w:i/>
        </w:rPr>
        <w:t>/</w:t>
      </w:r>
      <w:r>
        <w:rPr>
          <w:i/>
        </w:rPr>
        <w:t>R</w:t>
      </w:r>
      <w:r w:rsidRPr="00417338">
        <w:rPr>
          <w:i/>
        </w:rPr>
        <w:t>.</w:t>
      </w:r>
      <w:r>
        <w:rPr>
          <w:i/>
        </w:rPr>
        <w:t>1</w:t>
      </w:r>
      <w:r w:rsidRPr="00417338">
        <w:rPr>
          <w:i/>
        </w:rPr>
        <w:t>/Add.</w:t>
      </w:r>
      <w:r>
        <w:rPr>
          <w:i/>
        </w:rPr>
        <w:t>8</w:t>
      </w:r>
      <w:r w:rsidRPr="00417338">
        <w:rPr>
          <w:i/>
        </w:rPr>
        <w:t>, paragraph</w:t>
      </w:r>
      <w:r>
        <w:rPr>
          <w:i/>
        </w:rPr>
        <w:t xml:space="preserve">s </w:t>
      </w:r>
      <w:r>
        <w:rPr>
          <w:i/>
        </w:rPr>
        <w:t>84-85</w:t>
      </w:r>
      <w:r w:rsidRPr="00417338">
        <w:rPr>
          <w:i/>
        </w:rPr>
        <w:t>)</w:t>
      </w:r>
    </w:p>
    <w:p w:rsidR="00A63AF3" w:rsidRDefault="00A63AF3" w:rsidP="00A63AF3">
      <w:pPr>
        <w:pStyle w:val="H23G"/>
      </w:pPr>
      <w:r w:rsidRPr="00DB33C1">
        <w:t xml:space="preserve">Item </w:t>
      </w:r>
      <w:r>
        <w:t>3</w:t>
      </w:r>
      <w:r w:rsidRPr="00DB33C1">
        <w:tab/>
      </w:r>
      <w:r w:rsidRPr="00DB33C1">
        <w:tab/>
      </w:r>
      <w:r>
        <w:t xml:space="preserve">Revision of paragraph 2.8.3.2 </w:t>
      </w:r>
      <w:r w:rsidRPr="00C868BA">
        <w:t xml:space="preserve">(GHS Sub-Committee agenda item </w:t>
      </w:r>
      <w:r>
        <w:t>2</w:t>
      </w:r>
      <w:r w:rsidRPr="00C868BA">
        <w:t xml:space="preserve"> (</w:t>
      </w:r>
      <w:r>
        <w:t>a</w:t>
      </w:r>
      <w:r w:rsidRPr="00C868BA">
        <w:t>))</w:t>
      </w:r>
    </w:p>
    <w:p w:rsidR="00A63AF3" w:rsidRPr="00417338" w:rsidRDefault="00A63AF3" w:rsidP="00A63AF3">
      <w:pPr>
        <w:pStyle w:val="SingleTxtG"/>
      </w:pPr>
      <w:r w:rsidRPr="00100A84">
        <w:rPr>
          <w:i/>
          <w:iCs/>
        </w:rPr>
        <w:t>Document</w:t>
      </w:r>
      <w:r w:rsidRPr="00417338">
        <w:t>: ST/SG/AC.10/C.</w:t>
      </w:r>
      <w:r>
        <w:t>3</w:t>
      </w:r>
      <w:r w:rsidRPr="00417338">
        <w:t>/201</w:t>
      </w:r>
      <w:r>
        <w:t>9</w:t>
      </w:r>
      <w:r w:rsidRPr="00417338">
        <w:t>/</w:t>
      </w:r>
      <w:r>
        <w:t>1</w:t>
      </w:r>
      <w:r w:rsidRPr="00417338">
        <w:t xml:space="preserve"> (</w:t>
      </w:r>
      <w:r>
        <w:t>European Union</w:t>
      </w:r>
      <w:r w:rsidRPr="00417338">
        <w:t xml:space="preserve">) </w:t>
      </w:r>
    </w:p>
    <w:p w:rsidR="00A63AF3" w:rsidRPr="00833A2A" w:rsidRDefault="009238C6" w:rsidP="00A63AF3">
      <w:pPr>
        <w:pStyle w:val="SingleTxtG"/>
        <w:rPr>
          <w:lang w:val="en-US"/>
        </w:rPr>
      </w:pPr>
      <w:r>
        <w:rPr>
          <w:lang w:val="en-US"/>
        </w:rPr>
        <w:t>9</w:t>
      </w:r>
      <w:r w:rsidR="00A63AF3">
        <w:rPr>
          <w:lang w:val="en-US"/>
        </w:rPr>
        <w:t>.</w:t>
      </w:r>
      <w:r w:rsidR="00A63AF3">
        <w:rPr>
          <w:lang w:val="en-US"/>
        </w:rPr>
        <w:tab/>
      </w:r>
      <w:r w:rsidR="00A63AF3" w:rsidRPr="00833A2A">
        <w:rPr>
          <w:lang w:val="en-US"/>
        </w:rPr>
        <w:t xml:space="preserve">The </w:t>
      </w:r>
      <w:r w:rsidR="00A63AF3">
        <w:rPr>
          <w:lang w:val="en-US"/>
        </w:rPr>
        <w:t xml:space="preserve">TDG </w:t>
      </w:r>
      <w:r w:rsidR="00A63AF3" w:rsidRPr="00833A2A">
        <w:rPr>
          <w:lang w:val="en-US"/>
        </w:rPr>
        <w:t xml:space="preserve">Sub-Committee </w:t>
      </w:r>
      <w:r w:rsidR="00A63AF3" w:rsidRPr="00A34497">
        <w:rPr>
          <w:b/>
          <w:bCs/>
          <w:lang w:val="en-US"/>
        </w:rPr>
        <w:t>adopted the amendment</w:t>
      </w:r>
      <w:r w:rsidR="002B1EAC">
        <w:rPr>
          <w:b/>
          <w:bCs/>
          <w:lang w:val="en-US"/>
        </w:rPr>
        <w:t>s</w:t>
      </w:r>
      <w:r w:rsidR="00A63AF3" w:rsidRPr="00A34497">
        <w:rPr>
          <w:b/>
          <w:bCs/>
          <w:lang w:val="en-US"/>
        </w:rPr>
        <w:t xml:space="preserve"> to 2.8.3.2 of the Model Regulations</w:t>
      </w:r>
      <w:r w:rsidR="00A63AF3">
        <w:rPr>
          <w:lang w:val="en-US"/>
        </w:rPr>
        <w:t xml:space="preserve"> </w:t>
      </w:r>
      <w:r w:rsidR="00A63AF3" w:rsidRPr="00046D59">
        <w:rPr>
          <w:lang w:val="en-US"/>
        </w:rPr>
        <w:t xml:space="preserve">to </w:t>
      </w:r>
      <w:proofErr w:type="gramStart"/>
      <w:r w:rsidR="00A63AF3" w:rsidRPr="00046D59">
        <w:rPr>
          <w:lang w:val="en-US"/>
        </w:rPr>
        <w:t>take into account</w:t>
      </w:r>
      <w:proofErr w:type="gramEnd"/>
      <w:r w:rsidR="00A63AF3" w:rsidRPr="00046D59">
        <w:rPr>
          <w:lang w:val="en-US"/>
        </w:rPr>
        <w:t xml:space="preserve"> the </w:t>
      </w:r>
      <w:r w:rsidR="002B1EAC">
        <w:t xml:space="preserve">OECD Guideline for the testing of chemicals No. 439 </w:t>
      </w:r>
      <w:r w:rsidR="00A63AF3" w:rsidRPr="00046D59">
        <w:rPr>
          <w:lang w:val="en-US"/>
        </w:rPr>
        <w:t xml:space="preserve">allowing </w:t>
      </w:r>
      <w:r w:rsidR="0035731D">
        <w:t>consideration of substances or mixtures</w:t>
      </w:r>
      <w:r w:rsidR="002B1EAC">
        <w:t xml:space="preserve"> as non-corrosive to skin for the purposes of the</w:t>
      </w:r>
      <w:r w:rsidR="0035731D">
        <w:t xml:space="preserve"> Model</w:t>
      </w:r>
      <w:r w:rsidR="002B1EAC">
        <w:t xml:space="preserve"> Regulations without further new testing</w:t>
      </w:r>
      <w:r w:rsidR="00A63AF3" w:rsidRPr="00833A2A">
        <w:rPr>
          <w:lang w:val="en-US"/>
        </w:rPr>
        <w:t>.</w:t>
      </w:r>
      <w:bookmarkStart w:id="0" w:name="_GoBack"/>
      <w:bookmarkEnd w:id="0"/>
    </w:p>
    <w:p w:rsidR="00A63AF3" w:rsidRPr="00C93220" w:rsidRDefault="00A63AF3" w:rsidP="00A63AF3">
      <w:pPr>
        <w:pStyle w:val="SingleTxtG"/>
      </w:pPr>
      <w:r w:rsidRPr="00417338">
        <w:rPr>
          <w:i/>
        </w:rPr>
        <w:t>(Ref.Doc.: Draft report of the TDG Sub-Committee on its 5</w:t>
      </w:r>
      <w:r>
        <w:rPr>
          <w:i/>
        </w:rPr>
        <w:t>5th</w:t>
      </w:r>
      <w:r w:rsidRPr="00417338">
        <w:rPr>
          <w:i/>
        </w:rPr>
        <w:t xml:space="preserve"> session: ST/SG/AC.10/C.3/201</w:t>
      </w:r>
      <w:r>
        <w:rPr>
          <w:i/>
        </w:rPr>
        <w:t>9</w:t>
      </w:r>
      <w:r w:rsidRPr="00417338">
        <w:rPr>
          <w:i/>
        </w:rPr>
        <w:t>/</w:t>
      </w:r>
      <w:r>
        <w:rPr>
          <w:i/>
        </w:rPr>
        <w:t>R</w:t>
      </w:r>
      <w:r w:rsidRPr="00417338">
        <w:rPr>
          <w:i/>
        </w:rPr>
        <w:t>.</w:t>
      </w:r>
      <w:r>
        <w:rPr>
          <w:i/>
        </w:rPr>
        <w:t>1</w:t>
      </w:r>
      <w:r w:rsidRPr="00417338">
        <w:rPr>
          <w:i/>
        </w:rPr>
        <w:t>/Add.</w:t>
      </w:r>
      <w:r>
        <w:rPr>
          <w:i/>
        </w:rPr>
        <w:t>7</w:t>
      </w:r>
      <w:r w:rsidRPr="00417338">
        <w:rPr>
          <w:i/>
        </w:rPr>
        <w:t>, paragraph</w:t>
      </w:r>
      <w:r>
        <w:rPr>
          <w:i/>
        </w:rPr>
        <w:t xml:space="preserve"> 69</w:t>
      </w:r>
      <w:r w:rsidRPr="00417338">
        <w:rPr>
          <w:i/>
        </w:rPr>
        <w:t>)</w:t>
      </w:r>
    </w:p>
    <w:p w:rsidR="002A76F3" w:rsidRPr="00DB33C1" w:rsidRDefault="002A76F3" w:rsidP="00194E18">
      <w:pPr>
        <w:pStyle w:val="H23G"/>
      </w:pPr>
      <w:r w:rsidRPr="00DB33C1">
        <w:t xml:space="preserve">Item </w:t>
      </w:r>
      <w:r w:rsidR="00A63AF3">
        <w:t>4</w:t>
      </w:r>
      <w:r w:rsidRPr="00DB33C1">
        <w:tab/>
      </w:r>
      <w:r w:rsidRPr="00DB33C1">
        <w:tab/>
      </w:r>
      <w:r w:rsidR="00194E18">
        <w:t xml:space="preserve">Definitions, Classification Criteria, and Hazard Communication Elements </w:t>
      </w:r>
      <w:r w:rsidR="00C868BA" w:rsidRPr="00C868BA">
        <w:t xml:space="preserve">(GHS Sub-Committee agenda item </w:t>
      </w:r>
      <w:r w:rsidR="00194E18">
        <w:t>2</w:t>
      </w:r>
      <w:r w:rsidR="00C868BA" w:rsidRPr="00C868BA">
        <w:t xml:space="preserve"> (</w:t>
      </w:r>
      <w:r w:rsidR="001F6356">
        <w:t>b</w:t>
      </w:r>
      <w:r w:rsidR="00C868BA" w:rsidRPr="00C868BA">
        <w:t>))</w:t>
      </w:r>
    </w:p>
    <w:p w:rsidR="002A76F3" w:rsidRPr="00194E18" w:rsidRDefault="002A76F3" w:rsidP="002A76F3">
      <w:pPr>
        <w:pStyle w:val="SingleTxtG"/>
        <w:tabs>
          <w:tab w:val="left" w:pos="3119"/>
        </w:tabs>
        <w:spacing w:after="240"/>
        <w:ind w:left="3119" w:hanging="1985"/>
      </w:pPr>
      <w:r w:rsidRPr="00EF030F">
        <w:rPr>
          <w:i/>
          <w:iCs/>
        </w:rPr>
        <w:t>Document:</w:t>
      </w:r>
      <w:r w:rsidRPr="00634742">
        <w:tab/>
      </w:r>
      <w:r w:rsidR="00194E18" w:rsidRPr="00194E18">
        <w:t>ST/SG/AC.10/C.4/2019/5 (Sweden)</w:t>
      </w:r>
    </w:p>
    <w:p w:rsidR="00194E18" w:rsidRPr="00194E18" w:rsidRDefault="00194E18" w:rsidP="00194E18">
      <w:pPr>
        <w:pStyle w:val="SingleTxtG"/>
        <w:tabs>
          <w:tab w:val="left" w:pos="3119"/>
        </w:tabs>
        <w:spacing w:after="240"/>
        <w:ind w:left="3119" w:hanging="1985"/>
        <w:jc w:val="left"/>
      </w:pPr>
      <w:r w:rsidRPr="00194E18">
        <w:rPr>
          <w:i/>
          <w:iCs/>
        </w:rPr>
        <w:t xml:space="preserve">Informal documents: </w:t>
      </w:r>
      <w:r w:rsidRPr="00194E18">
        <w:rPr>
          <w:i/>
          <w:iCs/>
        </w:rPr>
        <w:tab/>
      </w:r>
      <w:r w:rsidRPr="00194E18">
        <w:t>UN/SCEGHS/37/INF.8 (USA, IME, SAAMI) UN/SCEGHS/37/INF.9 (Sweden)</w:t>
      </w:r>
    </w:p>
    <w:p w:rsidR="002A76F3" w:rsidRPr="00A34497" w:rsidRDefault="009238C6" w:rsidP="002A76F3">
      <w:pPr>
        <w:pStyle w:val="SingleTxtG"/>
        <w:rPr>
          <w:b/>
          <w:bCs/>
        </w:rPr>
      </w:pPr>
      <w:r>
        <w:t>10</w:t>
      </w:r>
      <w:r w:rsidR="00A34497">
        <w:t>.</w:t>
      </w:r>
      <w:r w:rsidR="00A34497">
        <w:tab/>
      </w:r>
      <w:r w:rsidR="00194E18" w:rsidRPr="00194E18">
        <w:rPr>
          <w:b/>
          <w:bCs/>
        </w:rPr>
        <w:t>Progress continues in the review and the commitment remains to complete the review within the current biennium.</w:t>
      </w:r>
      <w:r w:rsidR="00194E18">
        <w:t xml:space="preserve"> See informal document INF.24, </w:t>
      </w:r>
      <w:r w:rsidR="00194E18">
        <w:rPr>
          <w:lang w:val="en-US"/>
        </w:rPr>
        <w:t xml:space="preserve">paragraph </w:t>
      </w:r>
      <w:r w:rsidR="00194E18">
        <w:rPr>
          <w:lang w:val="en-US"/>
        </w:rPr>
        <w:t>8</w:t>
      </w:r>
      <w:r w:rsidR="00194E18">
        <w:rPr>
          <w:lang w:val="en-US"/>
        </w:rPr>
        <w:t xml:space="preserve"> of the report of the </w:t>
      </w:r>
      <w:r w:rsidR="00194E18" w:rsidRPr="00634742">
        <w:t>Working Group on Explosives</w:t>
      </w:r>
      <w:r w:rsidR="00194E18">
        <w:rPr>
          <w:lang w:val="en-US"/>
        </w:rPr>
        <w:t xml:space="preserve"> (</w:t>
      </w:r>
      <w:r w:rsidR="00194E18">
        <w:t>Chairman of the Working Group</w:t>
      </w:r>
      <w:r w:rsidR="00194E18">
        <w:rPr>
          <w:lang w:val="en-US"/>
        </w:rPr>
        <w:t>).</w:t>
      </w:r>
      <w:r w:rsidR="002A76F3" w:rsidRPr="00A34497">
        <w:rPr>
          <w:b/>
          <w:bCs/>
        </w:rPr>
        <w:t xml:space="preserve"> </w:t>
      </w:r>
    </w:p>
    <w:p w:rsidR="001F6356" w:rsidRDefault="00C868BA" w:rsidP="001F6356">
      <w:pPr>
        <w:pStyle w:val="H23G"/>
      </w:pPr>
      <w:r w:rsidRPr="00DB33C1">
        <w:t xml:space="preserve">Item </w:t>
      </w:r>
      <w:r w:rsidR="00A63AF3">
        <w:t>5</w:t>
      </w:r>
      <w:r w:rsidRPr="00DB33C1">
        <w:tab/>
      </w:r>
      <w:r w:rsidRPr="00DB33C1">
        <w:tab/>
      </w:r>
      <w:r w:rsidR="001F6356">
        <w:t xml:space="preserve">Definition of explosive substance and Class 1 </w:t>
      </w:r>
      <w:r w:rsidR="001F6356" w:rsidRPr="00C868BA">
        <w:t xml:space="preserve">(GHS Sub-Committee agenda item </w:t>
      </w:r>
      <w:r w:rsidR="001F6356">
        <w:t>2</w:t>
      </w:r>
      <w:r w:rsidR="001F6356" w:rsidRPr="00C868BA">
        <w:t xml:space="preserve"> (</w:t>
      </w:r>
      <w:r w:rsidR="00F13655">
        <w:t>b</w:t>
      </w:r>
      <w:r w:rsidR="001F6356" w:rsidRPr="00C868BA">
        <w:t>))</w:t>
      </w:r>
    </w:p>
    <w:p w:rsidR="001F6356" w:rsidRPr="00194E18" w:rsidRDefault="001F6356" w:rsidP="001F6356">
      <w:pPr>
        <w:pStyle w:val="SingleTxtG"/>
        <w:tabs>
          <w:tab w:val="left" w:pos="3119"/>
        </w:tabs>
        <w:spacing w:after="240"/>
        <w:ind w:left="3119" w:hanging="1985"/>
      </w:pPr>
      <w:r w:rsidRPr="00EF030F">
        <w:rPr>
          <w:i/>
          <w:iCs/>
        </w:rPr>
        <w:t>Document:</w:t>
      </w:r>
      <w:r w:rsidRPr="00634742">
        <w:tab/>
      </w:r>
      <w:r w:rsidRPr="00194E18">
        <w:t>ST/SG/AC.10/C.4/2019/</w:t>
      </w:r>
      <w:r>
        <w:t>7</w:t>
      </w:r>
      <w:r w:rsidRPr="00194E18">
        <w:t xml:space="preserve"> (S</w:t>
      </w:r>
      <w:r>
        <w:t>AAMI</w:t>
      </w:r>
      <w:r w:rsidRPr="00194E18">
        <w:t>)</w:t>
      </w:r>
    </w:p>
    <w:p w:rsidR="001F6356" w:rsidRPr="001F6356" w:rsidRDefault="001F6356" w:rsidP="001F6356">
      <w:pPr>
        <w:pStyle w:val="SingleTxtG"/>
        <w:tabs>
          <w:tab w:val="left" w:pos="3119"/>
        </w:tabs>
        <w:spacing w:after="240"/>
        <w:ind w:left="3119" w:hanging="1985"/>
        <w:jc w:val="left"/>
        <w:rPr>
          <w:lang w:val="fr-CH"/>
        </w:rPr>
      </w:pPr>
      <w:r w:rsidRPr="001F6356">
        <w:rPr>
          <w:i/>
          <w:iCs/>
          <w:lang w:val="fr-CH"/>
        </w:rPr>
        <w:t xml:space="preserve">Informal </w:t>
      </w:r>
      <w:proofErr w:type="gramStart"/>
      <w:r w:rsidRPr="001F6356">
        <w:rPr>
          <w:i/>
          <w:iCs/>
          <w:lang w:val="fr-CH"/>
        </w:rPr>
        <w:t>documents:</w:t>
      </w:r>
      <w:proofErr w:type="gramEnd"/>
      <w:r w:rsidRPr="001F6356">
        <w:rPr>
          <w:i/>
          <w:iCs/>
          <w:lang w:val="fr-CH"/>
        </w:rPr>
        <w:t xml:space="preserve"> </w:t>
      </w:r>
      <w:r w:rsidRPr="001F6356">
        <w:rPr>
          <w:i/>
          <w:iCs/>
          <w:lang w:val="fr-CH"/>
        </w:rPr>
        <w:tab/>
      </w:r>
      <w:r w:rsidRPr="001F6356">
        <w:rPr>
          <w:lang w:val="fr-CH"/>
        </w:rPr>
        <w:t>UN/SCEGHS/37/INF.</w:t>
      </w:r>
      <w:r w:rsidRPr="001F6356">
        <w:rPr>
          <w:lang w:val="fr-CH"/>
        </w:rPr>
        <w:t>6</w:t>
      </w:r>
      <w:r w:rsidRPr="001F6356">
        <w:rPr>
          <w:lang w:val="fr-CH"/>
        </w:rPr>
        <w:t xml:space="preserve"> (</w:t>
      </w:r>
      <w:r w:rsidRPr="001F6356">
        <w:rPr>
          <w:lang w:val="fr-CH"/>
        </w:rPr>
        <w:t>Sweden</w:t>
      </w:r>
      <w:r w:rsidRPr="001F6356">
        <w:rPr>
          <w:lang w:val="fr-CH"/>
        </w:rPr>
        <w:t>)</w:t>
      </w:r>
      <w:r w:rsidRPr="001F6356">
        <w:rPr>
          <w:lang w:val="fr-CH"/>
        </w:rPr>
        <w:br/>
      </w:r>
      <w:r w:rsidRPr="001F6356">
        <w:rPr>
          <w:lang w:val="fr-CH"/>
        </w:rPr>
        <w:t>UN/SCEGHS/37/INF.</w:t>
      </w:r>
      <w:r w:rsidRPr="001F6356">
        <w:rPr>
          <w:lang w:val="fr-CH"/>
        </w:rPr>
        <w:t>14</w:t>
      </w:r>
      <w:r w:rsidRPr="001F6356">
        <w:rPr>
          <w:lang w:val="fr-CH"/>
        </w:rPr>
        <w:t xml:space="preserve"> (SAAMI)</w:t>
      </w:r>
    </w:p>
    <w:p w:rsidR="00C868BA" w:rsidRPr="001F6356" w:rsidRDefault="007C1B86" w:rsidP="00C868BA">
      <w:pPr>
        <w:pStyle w:val="SingleTxtG"/>
        <w:rPr>
          <w:i/>
        </w:rPr>
      </w:pPr>
      <w:r>
        <w:t>1</w:t>
      </w:r>
      <w:r w:rsidR="009238C6">
        <w:t>1</w:t>
      </w:r>
      <w:r w:rsidR="001F6356">
        <w:t>.</w:t>
      </w:r>
      <w:r w:rsidR="001F6356">
        <w:tab/>
      </w:r>
      <w:r w:rsidR="001F6356" w:rsidRPr="001F6356">
        <w:rPr>
          <w:b/>
          <w:bCs/>
        </w:rPr>
        <w:t xml:space="preserve">The ICG will work </w:t>
      </w:r>
      <w:proofErr w:type="spellStart"/>
      <w:r w:rsidR="001F6356" w:rsidRPr="001F6356">
        <w:rPr>
          <w:b/>
          <w:bCs/>
        </w:rPr>
        <w:t>intersessionally</w:t>
      </w:r>
      <w:proofErr w:type="spellEnd"/>
      <w:r w:rsidR="001F6356" w:rsidRPr="001F6356">
        <w:rPr>
          <w:b/>
          <w:bCs/>
        </w:rPr>
        <w:t xml:space="preserve"> with the goal of presenting recommendations to the EWG at its next meeting. It was emphasized that this work, although related, is not to be part of the GHS chapter 2.1 review</w:t>
      </w:r>
      <w:r w:rsidR="001F6356" w:rsidRPr="00194E18">
        <w:rPr>
          <w:b/>
          <w:bCs/>
        </w:rPr>
        <w:t>.</w:t>
      </w:r>
      <w:r w:rsidR="001F6356">
        <w:t xml:space="preserve"> See informal document INF.24, </w:t>
      </w:r>
      <w:r w:rsidR="001F6356">
        <w:rPr>
          <w:lang w:val="en-US"/>
        </w:rPr>
        <w:t xml:space="preserve">paragraph </w:t>
      </w:r>
      <w:r w:rsidR="001F6356">
        <w:rPr>
          <w:lang w:val="en-US"/>
        </w:rPr>
        <w:t>10</w:t>
      </w:r>
      <w:r w:rsidR="001F6356">
        <w:rPr>
          <w:lang w:val="en-US"/>
        </w:rPr>
        <w:t xml:space="preserve"> of the report of the </w:t>
      </w:r>
      <w:r w:rsidR="001F6356" w:rsidRPr="00634742">
        <w:t>Working Group on Explosives</w:t>
      </w:r>
      <w:r w:rsidR="001F6356">
        <w:rPr>
          <w:lang w:val="en-US"/>
        </w:rPr>
        <w:t xml:space="preserve"> (</w:t>
      </w:r>
      <w:r w:rsidR="001F6356">
        <w:t>Chairman of the Working Group</w:t>
      </w:r>
      <w:r w:rsidR="001F6356">
        <w:rPr>
          <w:lang w:val="en-US"/>
        </w:rPr>
        <w:t>).</w:t>
      </w:r>
    </w:p>
    <w:p w:rsidR="001F6356" w:rsidRPr="001F6356" w:rsidRDefault="001F6356" w:rsidP="00C868BA">
      <w:pPr>
        <w:pStyle w:val="SingleTxtG"/>
        <w:rPr>
          <w:i/>
        </w:rPr>
      </w:pPr>
    </w:p>
    <w:p w:rsidR="00DB1726" w:rsidRDefault="00DB1726" w:rsidP="00DB1726">
      <w:pPr>
        <w:pStyle w:val="SingleTxtG"/>
        <w:jc w:val="center"/>
        <w:rPr>
          <w:i/>
        </w:rPr>
      </w:pPr>
      <w:r w:rsidRPr="00533570">
        <w:rPr>
          <w:i/>
        </w:rPr>
        <w:t>________________</w:t>
      </w:r>
    </w:p>
    <w:sectPr w:rsidR="00DB1726" w:rsidSect="0099001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C5715">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CC5715">
      <w:rPr>
        <w:b/>
        <w:noProof/>
        <w:sz w:val="18"/>
      </w:rPr>
      <w:t>5</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 w:id="2">
    <w:p w:rsidR="00E30EE8" w:rsidRPr="00E30EE8" w:rsidRDefault="00E30EE8">
      <w:pPr>
        <w:pStyle w:val="FootnoteText"/>
      </w:pPr>
      <w:r>
        <w:tab/>
      </w:r>
      <w:r>
        <w:rPr>
          <w:rStyle w:val="FootnoteReference"/>
        </w:rPr>
        <w:footnoteRef/>
      </w:r>
      <w:r>
        <w:t xml:space="preserve"> </w:t>
      </w:r>
      <w:r>
        <w:tab/>
      </w:r>
      <w:r w:rsidRPr="001A5EFA">
        <w:t>The final version of the report of the TDG Sub-Committee will be circulated as document ST/SG/AC.10/C.3/</w:t>
      </w:r>
      <w:r w:rsidR="00664234">
        <w:t>1</w:t>
      </w:r>
      <w:r w:rsidR="009F1D15">
        <w:t>10</w:t>
      </w:r>
      <w:r>
        <w:t xml:space="preserve"> (</w:t>
      </w:r>
      <w:r w:rsidRPr="001A5EFA">
        <w:t>http://www.unece.org/trans/main/dgdb/dgsubc3/c3rep.html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366CA7">
    <w:pPr>
      <w:pStyle w:val="Header"/>
    </w:pPr>
    <w:r w:rsidRPr="005A1400">
      <w:t>UN/SCEGHS/</w:t>
    </w:r>
    <w:r w:rsidR="00664234" w:rsidRPr="005A1400">
      <w:t>3</w:t>
    </w:r>
    <w:r w:rsidR="00696ABD">
      <w:t>7</w:t>
    </w:r>
    <w:r w:rsidRPr="005A1400">
      <w:t>/INF.</w:t>
    </w:r>
    <w:r w:rsidR="00696ABD">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Header"/>
      <w:jc w:val="right"/>
    </w:pPr>
    <w:r>
      <w:t>UN/SCEGHS/</w:t>
    </w:r>
    <w:r w:rsidR="00A8562B">
      <w:t>3</w:t>
    </w:r>
    <w:r w:rsidR="00696ABD">
      <w:t>7</w:t>
    </w:r>
    <w:r>
      <w:t>/INF.</w:t>
    </w:r>
    <w:r w:rsidR="00696ABD">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141A7D7E"/>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45C9"/>
    <w:rsid w:val="00011433"/>
    <w:rsid w:val="000163B0"/>
    <w:rsid w:val="00021514"/>
    <w:rsid w:val="000314D0"/>
    <w:rsid w:val="00033B3D"/>
    <w:rsid w:val="00046D59"/>
    <w:rsid w:val="00050F6B"/>
    <w:rsid w:val="00070BEE"/>
    <w:rsid w:val="00072C8C"/>
    <w:rsid w:val="00081647"/>
    <w:rsid w:val="000931C0"/>
    <w:rsid w:val="000962CD"/>
    <w:rsid w:val="000B175B"/>
    <w:rsid w:val="000B3A0F"/>
    <w:rsid w:val="000B3BED"/>
    <w:rsid w:val="000C6544"/>
    <w:rsid w:val="000D10AA"/>
    <w:rsid w:val="000E0415"/>
    <w:rsid w:val="00100A84"/>
    <w:rsid w:val="00111620"/>
    <w:rsid w:val="001220B8"/>
    <w:rsid w:val="00125265"/>
    <w:rsid w:val="00126807"/>
    <w:rsid w:val="00126F98"/>
    <w:rsid w:val="00144F53"/>
    <w:rsid w:val="00156F3C"/>
    <w:rsid w:val="0015786F"/>
    <w:rsid w:val="00162BF7"/>
    <w:rsid w:val="00190AEA"/>
    <w:rsid w:val="00194E18"/>
    <w:rsid w:val="001A5EFA"/>
    <w:rsid w:val="001B06A5"/>
    <w:rsid w:val="001B4B04"/>
    <w:rsid w:val="001C187F"/>
    <w:rsid w:val="001C6663"/>
    <w:rsid w:val="001C7895"/>
    <w:rsid w:val="001D26DF"/>
    <w:rsid w:val="001E3484"/>
    <w:rsid w:val="001E47FD"/>
    <w:rsid w:val="001F6356"/>
    <w:rsid w:val="00211E0B"/>
    <w:rsid w:val="00231719"/>
    <w:rsid w:val="002405A7"/>
    <w:rsid w:val="0025322D"/>
    <w:rsid w:val="00257E45"/>
    <w:rsid w:val="00262488"/>
    <w:rsid w:val="00263054"/>
    <w:rsid w:val="00265243"/>
    <w:rsid w:val="002A76F3"/>
    <w:rsid w:val="002B1EAC"/>
    <w:rsid w:val="002C6FD3"/>
    <w:rsid w:val="002C7509"/>
    <w:rsid w:val="002D59D3"/>
    <w:rsid w:val="002F32B7"/>
    <w:rsid w:val="003107FA"/>
    <w:rsid w:val="003127A2"/>
    <w:rsid w:val="00312888"/>
    <w:rsid w:val="003229D8"/>
    <w:rsid w:val="0032550E"/>
    <w:rsid w:val="0033745A"/>
    <w:rsid w:val="0035731D"/>
    <w:rsid w:val="003642AF"/>
    <w:rsid w:val="00366CA7"/>
    <w:rsid w:val="003704BE"/>
    <w:rsid w:val="003908D1"/>
    <w:rsid w:val="0039277A"/>
    <w:rsid w:val="00394612"/>
    <w:rsid w:val="003972E0"/>
    <w:rsid w:val="003B3A99"/>
    <w:rsid w:val="003C2CC4"/>
    <w:rsid w:val="003C3936"/>
    <w:rsid w:val="003D4B23"/>
    <w:rsid w:val="003F1ED3"/>
    <w:rsid w:val="00417338"/>
    <w:rsid w:val="00421612"/>
    <w:rsid w:val="004325CB"/>
    <w:rsid w:val="00446DE4"/>
    <w:rsid w:val="00452F90"/>
    <w:rsid w:val="00457287"/>
    <w:rsid w:val="00460DD9"/>
    <w:rsid w:val="00467F71"/>
    <w:rsid w:val="004A41CA"/>
    <w:rsid w:val="004E7ED6"/>
    <w:rsid w:val="00503228"/>
    <w:rsid w:val="00505384"/>
    <w:rsid w:val="00532EF8"/>
    <w:rsid w:val="00533570"/>
    <w:rsid w:val="005420F2"/>
    <w:rsid w:val="005538B1"/>
    <w:rsid w:val="005969DF"/>
    <w:rsid w:val="005A1400"/>
    <w:rsid w:val="005B2C89"/>
    <w:rsid w:val="005B3DB3"/>
    <w:rsid w:val="005E22FE"/>
    <w:rsid w:val="005E35C8"/>
    <w:rsid w:val="005F2E88"/>
    <w:rsid w:val="00611FC4"/>
    <w:rsid w:val="006176FB"/>
    <w:rsid w:val="00627ED0"/>
    <w:rsid w:val="00640B26"/>
    <w:rsid w:val="00664234"/>
    <w:rsid w:val="00665595"/>
    <w:rsid w:val="00691F20"/>
    <w:rsid w:val="00693543"/>
    <w:rsid w:val="00696ABD"/>
    <w:rsid w:val="006A7392"/>
    <w:rsid w:val="006A7757"/>
    <w:rsid w:val="006D612A"/>
    <w:rsid w:val="006E36AF"/>
    <w:rsid w:val="006E564B"/>
    <w:rsid w:val="00704032"/>
    <w:rsid w:val="007044AC"/>
    <w:rsid w:val="0071349F"/>
    <w:rsid w:val="00714D20"/>
    <w:rsid w:val="00720DEB"/>
    <w:rsid w:val="007229DF"/>
    <w:rsid w:val="0072632A"/>
    <w:rsid w:val="00727BE5"/>
    <w:rsid w:val="00733AAE"/>
    <w:rsid w:val="007719BC"/>
    <w:rsid w:val="00781042"/>
    <w:rsid w:val="00781A60"/>
    <w:rsid w:val="007A0B22"/>
    <w:rsid w:val="007B184B"/>
    <w:rsid w:val="007B2603"/>
    <w:rsid w:val="007B6BA5"/>
    <w:rsid w:val="007C1B86"/>
    <w:rsid w:val="007C3390"/>
    <w:rsid w:val="007C4F4B"/>
    <w:rsid w:val="007F0B83"/>
    <w:rsid w:val="007F48EF"/>
    <w:rsid w:val="007F4FCD"/>
    <w:rsid w:val="007F6611"/>
    <w:rsid w:val="008055BF"/>
    <w:rsid w:val="0081732C"/>
    <w:rsid w:val="008175E9"/>
    <w:rsid w:val="008242D7"/>
    <w:rsid w:val="00827E05"/>
    <w:rsid w:val="008311A3"/>
    <w:rsid w:val="00833A2A"/>
    <w:rsid w:val="00836AF7"/>
    <w:rsid w:val="00847E8B"/>
    <w:rsid w:val="0086228F"/>
    <w:rsid w:val="00865AD1"/>
    <w:rsid w:val="00871FD5"/>
    <w:rsid w:val="008979B1"/>
    <w:rsid w:val="008A6B25"/>
    <w:rsid w:val="008A6C4F"/>
    <w:rsid w:val="008B6E26"/>
    <w:rsid w:val="008C63FA"/>
    <w:rsid w:val="008E0E46"/>
    <w:rsid w:val="008E4C4C"/>
    <w:rsid w:val="00907AD2"/>
    <w:rsid w:val="00911047"/>
    <w:rsid w:val="00911EB1"/>
    <w:rsid w:val="009238C6"/>
    <w:rsid w:val="0093352C"/>
    <w:rsid w:val="00963CBA"/>
    <w:rsid w:val="009650E6"/>
    <w:rsid w:val="00965932"/>
    <w:rsid w:val="00970988"/>
    <w:rsid w:val="009738B3"/>
    <w:rsid w:val="00974A8D"/>
    <w:rsid w:val="00982581"/>
    <w:rsid w:val="0099001C"/>
    <w:rsid w:val="00991261"/>
    <w:rsid w:val="009E50B5"/>
    <w:rsid w:val="009F1D15"/>
    <w:rsid w:val="009F3A17"/>
    <w:rsid w:val="009F3D53"/>
    <w:rsid w:val="00A0275E"/>
    <w:rsid w:val="00A046B9"/>
    <w:rsid w:val="00A1427D"/>
    <w:rsid w:val="00A34497"/>
    <w:rsid w:val="00A426FB"/>
    <w:rsid w:val="00A55FB2"/>
    <w:rsid w:val="00A63AF3"/>
    <w:rsid w:val="00A72F22"/>
    <w:rsid w:val="00A748A6"/>
    <w:rsid w:val="00A80459"/>
    <w:rsid w:val="00A805EB"/>
    <w:rsid w:val="00A8562B"/>
    <w:rsid w:val="00A8760B"/>
    <w:rsid w:val="00A879A4"/>
    <w:rsid w:val="00AA496B"/>
    <w:rsid w:val="00AE71F3"/>
    <w:rsid w:val="00AF63FF"/>
    <w:rsid w:val="00B30179"/>
    <w:rsid w:val="00B30E8F"/>
    <w:rsid w:val="00B322EE"/>
    <w:rsid w:val="00B33EC0"/>
    <w:rsid w:val="00B6064F"/>
    <w:rsid w:val="00B63F07"/>
    <w:rsid w:val="00B81E12"/>
    <w:rsid w:val="00B97D28"/>
    <w:rsid w:val="00BB7437"/>
    <w:rsid w:val="00BC30B2"/>
    <w:rsid w:val="00BC6217"/>
    <w:rsid w:val="00BC74E9"/>
    <w:rsid w:val="00BD2146"/>
    <w:rsid w:val="00BE02AE"/>
    <w:rsid w:val="00BE4F74"/>
    <w:rsid w:val="00BE618E"/>
    <w:rsid w:val="00C00ACE"/>
    <w:rsid w:val="00C17699"/>
    <w:rsid w:val="00C1778D"/>
    <w:rsid w:val="00C41A28"/>
    <w:rsid w:val="00C463DD"/>
    <w:rsid w:val="00C6210B"/>
    <w:rsid w:val="00C745C3"/>
    <w:rsid w:val="00C868BA"/>
    <w:rsid w:val="00C93220"/>
    <w:rsid w:val="00C945EB"/>
    <w:rsid w:val="00CB2328"/>
    <w:rsid w:val="00CC5715"/>
    <w:rsid w:val="00CC65B7"/>
    <w:rsid w:val="00CE4A8F"/>
    <w:rsid w:val="00CF6EA9"/>
    <w:rsid w:val="00D055EB"/>
    <w:rsid w:val="00D2031B"/>
    <w:rsid w:val="00D25FE2"/>
    <w:rsid w:val="00D317BB"/>
    <w:rsid w:val="00D31B3A"/>
    <w:rsid w:val="00D35D8F"/>
    <w:rsid w:val="00D43252"/>
    <w:rsid w:val="00D5565C"/>
    <w:rsid w:val="00D563D8"/>
    <w:rsid w:val="00D56545"/>
    <w:rsid w:val="00D63881"/>
    <w:rsid w:val="00D7387D"/>
    <w:rsid w:val="00D978C6"/>
    <w:rsid w:val="00DA67AD"/>
    <w:rsid w:val="00DB1726"/>
    <w:rsid w:val="00DB33C1"/>
    <w:rsid w:val="00DB5D0F"/>
    <w:rsid w:val="00DC1478"/>
    <w:rsid w:val="00DC3242"/>
    <w:rsid w:val="00DE7F20"/>
    <w:rsid w:val="00DF12F7"/>
    <w:rsid w:val="00DF2C64"/>
    <w:rsid w:val="00E02C81"/>
    <w:rsid w:val="00E04A75"/>
    <w:rsid w:val="00E06EAB"/>
    <w:rsid w:val="00E11308"/>
    <w:rsid w:val="00E130AB"/>
    <w:rsid w:val="00E27CDD"/>
    <w:rsid w:val="00E305B8"/>
    <w:rsid w:val="00E30EE8"/>
    <w:rsid w:val="00E31C87"/>
    <w:rsid w:val="00E40D39"/>
    <w:rsid w:val="00E677EC"/>
    <w:rsid w:val="00E70DF5"/>
    <w:rsid w:val="00E7260F"/>
    <w:rsid w:val="00E80F5F"/>
    <w:rsid w:val="00E86024"/>
    <w:rsid w:val="00E87921"/>
    <w:rsid w:val="00E96630"/>
    <w:rsid w:val="00EA264E"/>
    <w:rsid w:val="00EA2E29"/>
    <w:rsid w:val="00EA3A41"/>
    <w:rsid w:val="00EB5B0A"/>
    <w:rsid w:val="00ED1541"/>
    <w:rsid w:val="00ED71D9"/>
    <w:rsid w:val="00ED7A2A"/>
    <w:rsid w:val="00EF1D7F"/>
    <w:rsid w:val="00EF358F"/>
    <w:rsid w:val="00F05E3F"/>
    <w:rsid w:val="00F124A0"/>
    <w:rsid w:val="00F13655"/>
    <w:rsid w:val="00F53EDA"/>
    <w:rsid w:val="00F5581D"/>
    <w:rsid w:val="00F73015"/>
    <w:rsid w:val="00F7753D"/>
    <w:rsid w:val="00F85F34"/>
    <w:rsid w:val="00F90DA3"/>
    <w:rsid w:val="00FA06F7"/>
    <w:rsid w:val="00FB092C"/>
    <w:rsid w:val="00FB171A"/>
    <w:rsid w:val="00FC09B8"/>
    <w:rsid w:val="00FC68B7"/>
    <w:rsid w:val="00FD4F7E"/>
    <w:rsid w:val="00FD7BF6"/>
    <w:rsid w:val="00FE78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BF5852"/>
  <w15:docId w15:val="{C98F3037-D55C-4297-8D34-A6FD565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5A1400"/>
    <w:rPr>
      <w:lang w:val="en-GB" w:eastAsia="en-US" w:bidi="ar-SA"/>
    </w:rPr>
  </w:style>
  <w:style w:type="character" w:customStyle="1" w:styleId="HeaderChar">
    <w:name w:val="Header Char"/>
    <w:aliases w:val="6_G Char"/>
    <w:link w:val="Header"/>
    <w:rsid w:val="001E3484"/>
    <w:rPr>
      <w:b/>
      <w:sz w:val="18"/>
      <w:lang w:eastAsia="en-US"/>
    </w:rPr>
  </w:style>
  <w:style w:type="character" w:customStyle="1" w:styleId="H23GChar">
    <w:name w:val="_ H_2/3_G Char"/>
    <w:link w:val="H23G"/>
    <w:locked/>
    <w:rsid w:val="00781042"/>
    <w:rPr>
      <w:b/>
      <w:lang w:eastAsia="en-US"/>
    </w:rPr>
  </w:style>
  <w:style w:type="character" w:customStyle="1" w:styleId="H1GChar">
    <w:name w:val="_ H_1_G Char"/>
    <w:link w:val="H1G"/>
    <w:rsid w:val="007B184B"/>
    <w:rPr>
      <w:b/>
      <w:sz w:val="24"/>
      <w:lang w:eastAsia="en-US"/>
    </w:rPr>
  </w:style>
  <w:style w:type="paragraph" w:customStyle="1" w:styleId="Default">
    <w:name w:val="Default"/>
    <w:rsid w:val="00696A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8955-4DAA-4C0A-8760-CB36254B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83</TotalTime>
  <Pages>2</Pages>
  <Words>678</Words>
  <Characters>3922</Characters>
  <Application>Microsoft Office Word</Application>
  <DocSecurity>0</DocSecurity>
  <Lines>103</Lines>
  <Paragraphs>76</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Alibech Mireles Diaz</cp:lastModifiedBy>
  <cp:revision>6</cp:revision>
  <cp:lastPrinted>2017-12-05T17:01:00Z</cp:lastPrinted>
  <dcterms:created xsi:type="dcterms:W3CDTF">2019-07-06T10:58:00Z</dcterms:created>
  <dcterms:modified xsi:type="dcterms:W3CDTF">2019-07-06T12:51:00Z</dcterms:modified>
</cp:coreProperties>
</file>