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EA2D43" w:rsidTr="00691F20">
        <w:trPr>
          <w:cantSplit/>
          <w:trHeight w:hRule="exact" w:val="851"/>
        </w:trPr>
        <w:tc>
          <w:tcPr>
            <w:tcW w:w="9639" w:type="dxa"/>
            <w:tcBorders>
              <w:bottom w:val="single" w:sz="4" w:space="0" w:color="auto"/>
            </w:tcBorders>
            <w:vAlign w:val="bottom"/>
          </w:tcPr>
          <w:p w:rsidR="0099001C" w:rsidRPr="00EA2D43" w:rsidRDefault="0099001C" w:rsidP="00226D9D">
            <w:pPr>
              <w:jc w:val="right"/>
              <w:rPr>
                <w:b/>
                <w:sz w:val="40"/>
                <w:szCs w:val="40"/>
              </w:rPr>
            </w:pPr>
            <w:r w:rsidRPr="00EA2D43">
              <w:rPr>
                <w:b/>
                <w:sz w:val="40"/>
                <w:szCs w:val="40"/>
              </w:rPr>
              <w:t>UN/SCE</w:t>
            </w:r>
            <w:r w:rsidR="00B83093">
              <w:rPr>
                <w:b/>
                <w:sz w:val="40"/>
                <w:szCs w:val="40"/>
              </w:rPr>
              <w:t>GHS</w:t>
            </w:r>
            <w:r w:rsidRPr="00EA2D43">
              <w:rPr>
                <w:b/>
                <w:sz w:val="40"/>
                <w:szCs w:val="40"/>
              </w:rPr>
              <w:t>/</w:t>
            </w:r>
            <w:r w:rsidR="00B83093">
              <w:rPr>
                <w:b/>
                <w:sz w:val="40"/>
                <w:szCs w:val="40"/>
              </w:rPr>
              <w:t>3</w:t>
            </w:r>
            <w:r w:rsidR="006F17B5">
              <w:rPr>
                <w:b/>
                <w:sz w:val="40"/>
                <w:szCs w:val="40"/>
              </w:rPr>
              <w:t>7</w:t>
            </w:r>
            <w:r w:rsidRPr="00EA2D43">
              <w:rPr>
                <w:b/>
                <w:sz w:val="40"/>
                <w:szCs w:val="40"/>
              </w:rPr>
              <w:t>/INF.</w:t>
            </w:r>
            <w:r w:rsidR="00FB48D5" w:rsidRPr="00EA2D43">
              <w:rPr>
                <w:b/>
                <w:sz w:val="40"/>
                <w:szCs w:val="40"/>
              </w:rPr>
              <w:t>1</w:t>
            </w:r>
          </w:p>
        </w:tc>
      </w:tr>
      <w:tr w:rsidR="0099001C" w:rsidRPr="00EA2D43" w:rsidTr="008B6E26">
        <w:trPr>
          <w:cantSplit/>
          <w:trHeight w:hRule="exact" w:val="3114"/>
        </w:trPr>
        <w:tc>
          <w:tcPr>
            <w:tcW w:w="9639" w:type="dxa"/>
            <w:tcBorders>
              <w:top w:val="single" w:sz="4" w:space="0" w:color="auto"/>
            </w:tcBorders>
          </w:tcPr>
          <w:p w:rsidR="00EA2D43" w:rsidRDefault="00EA2D43" w:rsidP="00EA2D43">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rsidR="00B83093" w:rsidRDefault="00B83093" w:rsidP="00EA2D43">
            <w:pPr>
              <w:tabs>
                <w:tab w:val="right" w:pos="9300"/>
              </w:tabs>
              <w:spacing w:before="120"/>
              <w:rPr>
                <w:b/>
                <w:lang w:val="en-US"/>
              </w:rPr>
            </w:pPr>
            <w:r w:rsidRPr="000B4919">
              <w:rPr>
                <w:b/>
              </w:rPr>
              <w:t xml:space="preserve">Sub-Committee of Experts on the Globally Harmonized System </w:t>
            </w:r>
            <w:r>
              <w:rPr>
                <w:b/>
              </w:rPr>
              <w:br/>
            </w:r>
            <w:r w:rsidRPr="000B4919">
              <w:rPr>
                <w:b/>
              </w:rPr>
              <w:t>of Classification and Labelling of Chemicals</w:t>
            </w:r>
            <w:r>
              <w:rPr>
                <w:b/>
                <w:lang w:val="en-US"/>
              </w:rPr>
              <w:t xml:space="preserve"> </w:t>
            </w:r>
          </w:p>
          <w:p w:rsidR="00EA2D43" w:rsidRDefault="00EA2D43" w:rsidP="00EA2D43">
            <w:pPr>
              <w:tabs>
                <w:tab w:val="right" w:pos="9300"/>
              </w:tabs>
              <w:spacing w:before="120"/>
              <w:rPr>
                <w:rFonts w:ascii="Helv" w:hAnsi="Helv" w:cs="Helv"/>
                <w:b/>
                <w:color w:val="000000"/>
                <w:lang w:val="en-US"/>
              </w:rPr>
            </w:pPr>
            <w:r>
              <w:rPr>
                <w:b/>
                <w:lang w:val="en-US"/>
              </w:rPr>
              <w:tab/>
            </w:r>
            <w:r w:rsidR="00A103CC">
              <w:rPr>
                <w:b/>
                <w:lang w:val="en-US"/>
              </w:rPr>
              <w:t>5 July</w:t>
            </w:r>
            <w:r w:rsidR="006F17B5">
              <w:rPr>
                <w:b/>
                <w:lang w:val="en-US"/>
              </w:rPr>
              <w:t xml:space="preserve"> 2019</w:t>
            </w:r>
          </w:p>
          <w:p w:rsidR="00B83093" w:rsidRDefault="00B83093" w:rsidP="009D0EC7">
            <w:pPr>
              <w:rPr>
                <w:b/>
              </w:rPr>
            </w:pPr>
            <w:r>
              <w:rPr>
                <w:b/>
              </w:rPr>
              <w:t>Thirty-s</w:t>
            </w:r>
            <w:r w:rsidR="006F17B5">
              <w:rPr>
                <w:b/>
              </w:rPr>
              <w:t>eventh</w:t>
            </w:r>
            <w:r w:rsidRPr="000B4919">
              <w:rPr>
                <w:b/>
              </w:rPr>
              <w:t xml:space="preserve"> session</w:t>
            </w:r>
            <w:r w:rsidRPr="00E63DE8">
              <w:rPr>
                <w:b/>
              </w:rPr>
              <w:t xml:space="preserve"> </w:t>
            </w:r>
          </w:p>
          <w:p w:rsidR="009D0EC7" w:rsidRDefault="00B83093" w:rsidP="009D0EC7">
            <w:r w:rsidRPr="00283442">
              <w:t xml:space="preserve">Geneva, </w:t>
            </w:r>
            <w:r w:rsidR="006F17B5">
              <w:t>8-10 July 2019</w:t>
            </w:r>
          </w:p>
          <w:p w:rsidR="009D0EC7" w:rsidRPr="00951EBC" w:rsidRDefault="009D0EC7" w:rsidP="009D0EC7">
            <w:r>
              <w:t>I</w:t>
            </w:r>
            <w:r w:rsidRPr="00951EBC">
              <w:t>tem 1 of the provisional agenda</w:t>
            </w:r>
          </w:p>
          <w:p w:rsidR="0099001C" w:rsidRPr="00EA2D43" w:rsidRDefault="009D0EC7" w:rsidP="009D0EC7">
            <w:pPr>
              <w:jc w:val="both"/>
              <w:rPr>
                <w:highlight w:val="yellow"/>
              </w:rPr>
            </w:pPr>
            <w:r w:rsidRPr="00951EBC">
              <w:rPr>
                <w:b/>
                <w:bCs/>
                <w:lang w:eastAsia="en-GB"/>
              </w:rPr>
              <w:t>Adoption of the agenda</w:t>
            </w:r>
          </w:p>
        </w:tc>
      </w:tr>
    </w:tbl>
    <w:p w:rsidR="006A7757" w:rsidRPr="00870D13" w:rsidRDefault="0099001C" w:rsidP="006A7757">
      <w:pPr>
        <w:pStyle w:val="HChG"/>
      </w:pPr>
      <w:r w:rsidRPr="00870D13">
        <w:rPr>
          <w:rFonts w:eastAsia="MS Mincho"/>
          <w:lang w:val="en-US" w:eastAsia="ja-JP"/>
        </w:rPr>
        <w:tab/>
      </w:r>
      <w:r w:rsidR="006A7757" w:rsidRPr="00870D13">
        <w:rPr>
          <w:rFonts w:eastAsia="MS Mincho"/>
          <w:lang w:val="en-US" w:eastAsia="ja-JP"/>
        </w:rPr>
        <w:tab/>
      </w:r>
      <w:r w:rsidR="002A5A2D" w:rsidRPr="00870D13">
        <w:rPr>
          <w:rFonts w:eastAsia="MS Mincho"/>
          <w:lang w:val="en-US" w:eastAsia="ja-JP"/>
        </w:rPr>
        <w:t>List of documents</w:t>
      </w:r>
      <w:r w:rsidR="006A7757" w:rsidRPr="00870D13">
        <w:t xml:space="preserve"> </w:t>
      </w:r>
    </w:p>
    <w:p w:rsidR="006A7757" w:rsidRPr="00870D13" w:rsidRDefault="006A7757" w:rsidP="006A7757">
      <w:pPr>
        <w:pStyle w:val="H1G"/>
        <w:rPr>
          <w:rFonts w:eastAsia="MS Mincho"/>
        </w:rPr>
      </w:pPr>
      <w:r w:rsidRPr="00870D13">
        <w:rPr>
          <w:rFonts w:eastAsia="MS Mincho"/>
        </w:rPr>
        <w:tab/>
      </w:r>
      <w:r w:rsidRPr="00870D13">
        <w:rPr>
          <w:rFonts w:eastAsia="MS Mincho"/>
        </w:rPr>
        <w:tab/>
      </w:r>
      <w:r w:rsidR="00FB48D5" w:rsidRPr="00870D13">
        <w:rPr>
          <w:rFonts w:eastAsia="MS Mincho"/>
        </w:rPr>
        <w:t>Note</w:t>
      </w:r>
      <w:r w:rsidRPr="00870D13">
        <w:rPr>
          <w:rFonts w:eastAsia="MS Mincho"/>
        </w:rPr>
        <w:t xml:space="preserve"> by </w:t>
      </w:r>
      <w:r w:rsidR="00FB48D5" w:rsidRPr="00870D13">
        <w:rPr>
          <w:rFonts w:eastAsia="MS Mincho"/>
        </w:rPr>
        <w:t>the secretariat</w:t>
      </w:r>
    </w:p>
    <w:p w:rsidR="00FB48D5" w:rsidRPr="00870D13" w:rsidRDefault="00FB48D5" w:rsidP="00FB48D5">
      <w:pPr>
        <w:pStyle w:val="HChG"/>
      </w:pPr>
      <w:r w:rsidRPr="00870D13">
        <w:tab/>
      </w:r>
      <w:r w:rsidR="002A5A2D" w:rsidRPr="00870D13">
        <w:tab/>
      </w:r>
      <w:r w:rsidRPr="00870D13">
        <w:t>Background documents</w:t>
      </w:r>
      <w:r w:rsidR="004E674C" w:rsidRPr="00870D13">
        <w:t xml:space="preserve"> (Secretariat)</w:t>
      </w:r>
    </w:p>
    <w:tbl>
      <w:tblPr>
        <w:tblW w:w="0" w:type="auto"/>
        <w:tblInd w:w="1100" w:type="dxa"/>
        <w:tblCellMar>
          <w:left w:w="0" w:type="dxa"/>
          <w:right w:w="0" w:type="dxa"/>
        </w:tblCellMar>
        <w:tblLook w:val="01E0" w:firstRow="1" w:lastRow="1" w:firstColumn="1" w:lastColumn="1" w:noHBand="0" w:noVBand="0"/>
      </w:tblPr>
      <w:tblGrid>
        <w:gridCol w:w="2869"/>
        <w:gridCol w:w="4741"/>
      </w:tblGrid>
      <w:tr w:rsidR="00870D13" w:rsidRPr="002B296F" w:rsidTr="001035FB">
        <w:tc>
          <w:tcPr>
            <w:tcW w:w="2869" w:type="dxa"/>
            <w:shd w:val="clear" w:color="auto" w:fill="auto"/>
          </w:tcPr>
          <w:p w:rsidR="00870D13" w:rsidRDefault="00B83093" w:rsidP="007A4977">
            <w:pPr>
              <w:spacing w:before="30" w:after="30"/>
            </w:pPr>
            <w:r>
              <w:t>ST/SG/AC.10/C.3/7</w:t>
            </w:r>
            <w:r w:rsidR="006F17B5">
              <w:t>3</w:t>
            </w:r>
          </w:p>
        </w:tc>
        <w:tc>
          <w:tcPr>
            <w:tcW w:w="4741" w:type="dxa"/>
            <w:shd w:val="clear" w:color="auto" w:fill="auto"/>
          </w:tcPr>
          <w:p w:rsidR="00870D13" w:rsidRPr="00926E57" w:rsidRDefault="009D0EC7" w:rsidP="006F2413">
            <w:pPr>
              <w:spacing w:before="30" w:after="30"/>
            </w:pPr>
            <w:r>
              <w:t xml:space="preserve">Provisional agenda for the </w:t>
            </w:r>
            <w:r w:rsidR="00F244F1">
              <w:t>thirty-s</w:t>
            </w:r>
            <w:r w:rsidR="006F17B5">
              <w:t>eventh</w:t>
            </w:r>
            <w:r>
              <w:rPr>
                <w:b/>
              </w:rPr>
              <w:t xml:space="preserve"> </w:t>
            </w:r>
            <w:r>
              <w:t>session</w:t>
            </w:r>
          </w:p>
        </w:tc>
      </w:tr>
      <w:tr w:rsidR="00870D13" w:rsidRPr="002B296F" w:rsidTr="001035FB">
        <w:tc>
          <w:tcPr>
            <w:tcW w:w="2869" w:type="dxa"/>
            <w:shd w:val="clear" w:color="auto" w:fill="auto"/>
          </w:tcPr>
          <w:p w:rsidR="00870D13" w:rsidRDefault="009D0EC7" w:rsidP="007A4977">
            <w:pPr>
              <w:spacing w:before="30" w:after="30"/>
            </w:pPr>
            <w:r>
              <w:rPr>
                <w:lang w:val="en-US"/>
              </w:rPr>
              <w:t>ST/SG/AC.10/C.3/</w:t>
            </w:r>
            <w:r w:rsidR="00B83093">
              <w:rPr>
                <w:lang w:val="en-US"/>
              </w:rPr>
              <w:t>7</w:t>
            </w:r>
            <w:r w:rsidR="006F17B5">
              <w:rPr>
                <w:lang w:val="en-US"/>
              </w:rPr>
              <w:t>3</w:t>
            </w:r>
            <w:r>
              <w:rPr>
                <w:lang w:val="en-US"/>
              </w:rPr>
              <w:t>/Add.1</w:t>
            </w:r>
          </w:p>
        </w:tc>
        <w:tc>
          <w:tcPr>
            <w:tcW w:w="4741" w:type="dxa"/>
            <w:shd w:val="clear" w:color="auto" w:fill="auto"/>
          </w:tcPr>
          <w:p w:rsidR="00870D13" w:rsidRDefault="00870D13" w:rsidP="00D00325">
            <w:pPr>
              <w:spacing w:before="30" w:after="30"/>
            </w:pPr>
            <w:r w:rsidRPr="00926E57">
              <w:t>List of documents and annotations</w:t>
            </w:r>
          </w:p>
        </w:tc>
      </w:tr>
      <w:tr w:rsidR="00870D13" w:rsidRPr="002B296F" w:rsidTr="001035FB">
        <w:tc>
          <w:tcPr>
            <w:tcW w:w="2869" w:type="dxa"/>
            <w:shd w:val="clear" w:color="auto" w:fill="auto"/>
          </w:tcPr>
          <w:p w:rsidR="00870D13" w:rsidRPr="002B296F" w:rsidRDefault="00870D13" w:rsidP="00FA3A6F">
            <w:pPr>
              <w:spacing w:before="30" w:after="30"/>
            </w:pPr>
            <w:r w:rsidRPr="002B296F">
              <w:t>ST/SG/AC.10/30/Rev.</w:t>
            </w:r>
            <w:r w:rsidR="00A103CC">
              <w:t>8</w:t>
            </w:r>
          </w:p>
        </w:tc>
        <w:tc>
          <w:tcPr>
            <w:tcW w:w="4741" w:type="dxa"/>
            <w:shd w:val="clear" w:color="auto" w:fill="auto"/>
          </w:tcPr>
          <w:p w:rsidR="00870D13" w:rsidRPr="002B296F" w:rsidRDefault="00870D13" w:rsidP="00FA3A6F">
            <w:pPr>
              <w:spacing w:before="30" w:after="30"/>
            </w:pPr>
            <w:r w:rsidRPr="002B296F">
              <w:t xml:space="preserve">Globally Harmonized System of Classification and Labelling of Chemicals (GHS), </w:t>
            </w:r>
            <w:r w:rsidR="00A103CC">
              <w:t>eighth</w:t>
            </w:r>
            <w:r w:rsidRPr="002B296F">
              <w:t xml:space="preserve"> revised edition</w:t>
            </w:r>
          </w:p>
        </w:tc>
      </w:tr>
      <w:tr w:rsidR="00870D13" w:rsidRPr="002B296F" w:rsidTr="001035FB">
        <w:tc>
          <w:tcPr>
            <w:tcW w:w="2869" w:type="dxa"/>
            <w:shd w:val="clear" w:color="auto" w:fill="auto"/>
          </w:tcPr>
          <w:p w:rsidR="00870D13" w:rsidRPr="002B296F" w:rsidRDefault="00870D13" w:rsidP="00FA3A6F">
            <w:pPr>
              <w:spacing w:before="30" w:after="30"/>
            </w:pPr>
            <w:r w:rsidRPr="002B296F">
              <w:t>ST/SG/AC.10/1/Rev.</w:t>
            </w:r>
            <w:r w:rsidR="00FA3A6F">
              <w:t>2</w:t>
            </w:r>
            <w:r w:rsidR="00A103CC">
              <w:t>1</w:t>
            </w:r>
          </w:p>
        </w:tc>
        <w:tc>
          <w:tcPr>
            <w:tcW w:w="4741" w:type="dxa"/>
            <w:shd w:val="clear" w:color="auto" w:fill="auto"/>
          </w:tcPr>
          <w:p w:rsidR="00870D13" w:rsidRPr="002B296F" w:rsidRDefault="00870D13" w:rsidP="00FA3A6F">
            <w:pPr>
              <w:spacing w:before="30" w:after="30"/>
            </w:pPr>
            <w:r w:rsidRPr="002B296F">
              <w:t xml:space="preserve">Recommendations on the Transport of Dangerous Goods, Model Regulations, </w:t>
            </w:r>
            <w:r w:rsidR="00FA3A6F">
              <w:t>twent</w:t>
            </w:r>
            <w:r w:rsidR="00A103CC">
              <w:t>y-first</w:t>
            </w:r>
            <w:r w:rsidRPr="002B296F">
              <w:t xml:space="preserve"> revised edition </w:t>
            </w:r>
          </w:p>
        </w:tc>
      </w:tr>
      <w:tr w:rsidR="00870D13" w:rsidRPr="002B296F" w:rsidTr="001035FB">
        <w:tc>
          <w:tcPr>
            <w:tcW w:w="2869" w:type="dxa"/>
            <w:shd w:val="clear" w:color="auto" w:fill="auto"/>
          </w:tcPr>
          <w:p w:rsidR="00870D13" w:rsidRPr="002B296F" w:rsidRDefault="00870D13" w:rsidP="00D00325">
            <w:pPr>
              <w:spacing w:before="30" w:after="30"/>
            </w:pPr>
            <w:r w:rsidRPr="002B296F">
              <w:t>ST/SG/AC.10/11/Rev.6</w:t>
            </w:r>
            <w:r w:rsidR="00721C1F">
              <w:t xml:space="preserve"> and Amend.1</w:t>
            </w:r>
          </w:p>
        </w:tc>
        <w:tc>
          <w:tcPr>
            <w:tcW w:w="4741" w:type="dxa"/>
            <w:shd w:val="clear" w:color="auto" w:fill="auto"/>
          </w:tcPr>
          <w:p w:rsidR="00870D13" w:rsidRPr="002B296F" w:rsidRDefault="00870D13" w:rsidP="00D00325">
            <w:pPr>
              <w:spacing w:before="30" w:after="30"/>
            </w:pPr>
            <w:r w:rsidRPr="002B296F">
              <w:t>Recommendations on the Transport of Dangerous Goods, Manual of Tests and Criteria, sixth revised edition</w:t>
            </w:r>
            <w:r w:rsidR="00721C1F">
              <w:t>, and amendment 1</w:t>
            </w:r>
          </w:p>
        </w:tc>
      </w:tr>
      <w:tr w:rsidR="009D0EC7" w:rsidRPr="00BA6223" w:rsidTr="001035FB">
        <w:tc>
          <w:tcPr>
            <w:tcW w:w="2869" w:type="dxa"/>
            <w:shd w:val="clear" w:color="auto" w:fill="auto"/>
          </w:tcPr>
          <w:p w:rsidR="009D0EC7" w:rsidRDefault="009D0EC7" w:rsidP="00D00325">
            <w:pPr>
              <w:spacing w:before="30" w:after="30"/>
            </w:pPr>
            <w:r>
              <w:t>ST/SG/AC.10/C.3/10</w:t>
            </w:r>
            <w:r w:rsidR="006F17B5">
              <w:t>8</w:t>
            </w:r>
            <w:r>
              <w:t xml:space="preserve"> and Add.1</w:t>
            </w:r>
          </w:p>
        </w:tc>
        <w:tc>
          <w:tcPr>
            <w:tcW w:w="4741" w:type="dxa"/>
            <w:shd w:val="clear" w:color="auto" w:fill="auto"/>
          </w:tcPr>
          <w:p w:rsidR="009D0EC7" w:rsidRDefault="006F17B5" w:rsidP="001035FB">
            <w:pPr>
              <w:spacing w:before="30" w:after="30"/>
            </w:pPr>
            <w:r>
              <w:t>Report of the Sub-Committee of Experts on the transport of Dangerous Goods on its fifty-fourth session</w:t>
            </w:r>
          </w:p>
        </w:tc>
      </w:tr>
      <w:tr w:rsidR="00A665BE" w:rsidRPr="00BA6223" w:rsidTr="001035FB">
        <w:tc>
          <w:tcPr>
            <w:tcW w:w="2869" w:type="dxa"/>
            <w:shd w:val="clear" w:color="auto" w:fill="auto"/>
          </w:tcPr>
          <w:p w:rsidR="00A665BE" w:rsidRDefault="00A665BE" w:rsidP="00D00325">
            <w:pPr>
              <w:spacing w:before="30" w:after="30"/>
            </w:pPr>
            <w:r>
              <w:t>ST/SG/AC.10/C.4/72</w:t>
            </w:r>
          </w:p>
        </w:tc>
        <w:tc>
          <w:tcPr>
            <w:tcW w:w="4741" w:type="dxa"/>
            <w:shd w:val="clear" w:color="auto" w:fill="auto"/>
          </w:tcPr>
          <w:p w:rsidR="00A665BE" w:rsidRDefault="00A665BE" w:rsidP="001035FB">
            <w:pPr>
              <w:spacing w:before="30" w:after="30"/>
            </w:pPr>
            <w:r>
              <w:t>Report of the Sub-Committee of Experts on the Globally Harmonized System of Classification and Labelling of Chemicals on its thirty-sixth session</w:t>
            </w:r>
          </w:p>
        </w:tc>
      </w:tr>
      <w:tr w:rsidR="009D0EC7" w:rsidRPr="00BA6223" w:rsidTr="001035FB">
        <w:tc>
          <w:tcPr>
            <w:tcW w:w="2869" w:type="dxa"/>
            <w:shd w:val="clear" w:color="auto" w:fill="auto"/>
          </w:tcPr>
          <w:p w:rsidR="009D0EC7" w:rsidRDefault="00A665BE" w:rsidP="009D0EC7">
            <w:pPr>
              <w:pStyle w:val="SingleTxtG"/>
              <w:keepNext/>
              <w:keepLines/>
              <w:spacing w:before="40"/>
              <w:ind w:left="0" w:right="0"/>
              <w:jc w:val="left"/>
            </w:pPr>
            <w:r>
              <w:t>ST/SG/AC.10/46 and Adds.1 to 3</w:t>
            </w:r>
          </w:p>
        </w:tc>
        <w:tc>
          <w:tcPr>
            <w:tcW w:w="4741" w:type="dxa"/>
            <w:shd w:val="clear" w:color="auto" w:fill="auto"/>
          </w:tcPr>
          <w:p w:rsidR="009D0EC7" w:rsidRDefault="00A665BE" w:rsidP="009D0EC7">
            <w:pPr>
              <w:pStyle w:val="SingleTxtG"/>
              <w:keepNext/>
              <w:keepLines/>
              <w:spacing w:before="40"/>
              <w:ind w:left="0" w:right="0"/>
              <w:jc w:val="left"/>
            </w:pPr>
            <w:r>
              <w:t>Report of the Committee of Experts on the Transport of Dangerous Goods and on the Globally Harmonized System of Classification and Labelling of Chemicals on its ninth session</w:t>
            </w:r>
          </w:p>
        </w:tc>
      </w:tr>
    </w:tbl>
    <w:p w:rsidR="00100A9D" w:rsidRDefault="009D0EC7" w:rsidP="009D0EC7">
      <w:pPr>
        <w:spacing w:before="30" w:after="30"/>
        <w:ind w:left="3969" w:hanging="2829"/>
        <w:rPr>
          <w:b/>
          <w:sz w:val="28"/>
        </w:rPr>
      </w:pPr>
      <w:r>
        <w:tab/>
      </w:r>
      <w:r w:rsidR="00100A9D">
        <w:br w:type="page"/>
      </w:r>
    </w:p>
    <w:p w:rsidR="00FB48D5" w:rsidRPr="00870D13" w:rsidRDefault="00FB48D5" w:rsidP="002A5947">
      <w:pPr>
        <w:pStyle w:val="HChG"/>
        <w:keepNext w:val="0"/>
        <w:keepLines w:val="0"/>
        <w:spacing w:before="240" w:after="200"/>
      </w:pPr>
      <w:r w:rsidRPr="00870D13">
        <w:lastRenderedPageBreak/>
        <w:t>Working documents (ST/SG/AC.10/C.</w:t>
      </w:r>
      <w:r w:rsidR="00F244F1">
        <w:t>4</w:t>
      </w:r>
      <w:r w:rsidRPr="00870D13">
        <w:t>/</w:t>
      </w:r>
      <w:r w:rsidR="00110DF6" w:rsidRPr="00870D13">
        <w:t>-</w:t>
      </w:r>
      <w:r w:rsidRPr="00870D13">
        <w:t>)</w:t>
      </w:r>
    </w:p>
    <w:tbl>
      <w:tblPr>
        <w:tblW w:w="9637" w:type="dxa"/>
        <w:tblLook w:val="0000" w:firstRow="0" w:lastRow="0" w:firstColumn="0" w:lastColumn="0" w:noHBand="0" w:noVBand="0"/>
      </w:tblPr>
      <w:tblGrid>
        <w:gridCol w:w="1210"/>
        <w:gridCol w:w="887"/>
        <w:gridCol w:w="7540"/>
      </w:tblGrid>
      <w:tr w:rsidR="00FB48D5" w:rsidRPr="00720E11" w:rsidTr="00123D39">
        <w:tc>
          <w:tcPr>
            <w:tcW w:w="1161" w:type="dxa"/>
            <w:shd w:val="clear" w:color="auto" w:fill="F2F2F2" w:themeFill="background1" w:themeFillShade="F2"/>
          </w:tcPr>
          <w:p w:rsidR="00FB48D5" w:rsidRPr="00720E11" w:rsidRDefault="00FB48D5" w:rsidP="00870D13">
            <w:pPr>
              <w:tabs>
                <w:tab w:val="left" w:pos="567"/>
                <w:tab w:val="left" w:pos="1134"/>
              </w:tabs>
              <w:spacing w:before="20" w:after="20"/>
              <w:ind w:right="-28"/>
              <w:rPr>
                <w:b/>
                <w:i/>
              </w:rPr>
            </w:pPr>
            <w:r w:rsidRPr="00720E11">
              <w:rPr>
                <w:b/>
                <w:i/>
              </w:rPr>
              <w:t>Document</w:t>
            </w:r>
          </w:p>
        </w:tc>
        <w:tc>
          <w:tcPr>
            <w:tcW w:w="850" w:type="dxa"/>
            <w:shd w:val="clear" w:color="auto" w:fill="F2F2F2" w:themeFill="background1" w:themeFillShade="F2"/>
          </w:tcPr>
          <w:p w:rsidR="00FB48D5" w:rsidRPr="00720E11" w:rsidRDefault="00FB48D5" w:rsidP="00870D13">
            <w:pPr>
              <w:spacing w:before="20" w:after="20"/>
              <w:ind w:left="6"/>
              <w:rPr>
                <w:b/>
              </w:rPr>
            </w:pPr>
            <w:r w:rsidRPr="00720E11">
              <w:rPr>
                <w:b/>
                <w:i/>
              </w:rPr>
              <w:t>item</w:t>
            </w:r>
          </w:p>
        </w:tc>
        <w:tc>
          <w:tcPr>
            <w:tcW w:w="7229" w:type="dxa"/>
            <w:shd w:val="clear" w:color="auto" w:fill="F2F2F2" w:themeFill="background1" w:themeFillShade="F2"/>
          </w:tcPr>
          <w:p w:rsidR="00FB48D5" w:rsidRPr="00720E11" w:rsidRDefault="00FB48D5" w:rsidP="00870D13">
            <w:pPr>
              <w:spacing w:before="20" w:after="20"/>
              <w:ind w:left="6"/>
              <w:rPr>
                <w:b/>
              </w:rPr>
            </w:pPr>
          </w:p>
        </w:tc>
      </w:tr>
      <w:tr w:rsidR="00FB48D5" w:rsidRPr="00EA2D43" w:rsidTr="00123D39">
        <w:tc>
          <w:tcPr>
            <w:tcW w:w="1161" w:type="dxa"/>
          </w:tcPr>
          <w:p w:rsidR="00FB48D5" w:rsidRPr="0093545E" w:rsidRDefault="00226D9D" w:rsidP="00226D9D">
            <w:pPr>
              <w:tabs>
                <w:tab w:val="left" w:pos="567"/>
                <w:tab w:val="left" w:pos="1134"/>
              </w:tabs>
              <w:spacing w:before="20" w:after="20"/>
              <w:ind w:right="-28"/>
            </w:pPr>
            <w:r w:rsidRPr="0093545E">
              <w:t>–/</w:t>
            </w:r>
            <w:r w:rsidR="00C07F9E">
              <w:t>2019/1</w:t>
            </w:r>
          </w:p>
        </w:tc>
        <w:tc>
          <w:tcPr>
            <w:tcW w:w="850" w:type="dxa"/>
          </w:tcPr>
          <w:p w:rsidR="00FB48D5" w:rsidRPr="0093545E" w:rsidRDefault="00C07F9E" w:rsidP="003565E5">
            <w:pPr>
              <w:tabs>
                <w:tab w:val="left" w:pos="75"/>
                <w:tab w:val="center" w:pos="317"/>
              </w:tabs>
              <w:spacing w:before="20" w:after="20"/>
              <w:ind w:left="-108" w:right="-108"/>
              <w:jc w:val="center"/>
            </w:pPr>
            <w:r>
              <w:t>2</w:t>
            </w:r>
            <w:r w:rsidR="00DF6813">
              <w:t>(a)</w:t>
            </w:r>
          </w:p>
        </w:tc>
        <w:tc>
          <w:tcPr>
            <w:tcW w:w="7229" w:type="dxa"/>
          </w:tcPr>
          <w:p w:rsidR="00FB48D5" w:rsidRPr="00123D39" w:rsidRDefault="00C07F9E" w:rsidP="003565E5">
            <w:pPr>
              <w:spacing w:before="20" w:after="20"/>
              <w:ind w:left="6"/>
              <w:rPr>
                <w:highlight w:val="yellow"/>
              </w:rPr>
            </w:pPr>
            <w:r w:rsidRPr="00123D39">
              <w:t>E</w:t>
            </w:r>
            <w:proofErr w:type="spellStart"/>
            <w:r w:rsidRPr="00123D39">
              <w:rPr>
                <w:lang w:val="en-US"/>
              </w:rPr>
              <w:t>xplanatory</w:t>
            </w:r>
            <w:proofErr w:type="spellEnd"/>
            <w:r w:rsidRPr="00123D39">
              <w:rPr>
                <w:lang w:val="en-US"/>
              </w:rPr>
              <w:t xml:space="preserve"> text about applicable temperature limits in Appendix 6 of the Manual of Tests and Criteria</w:t>
            </w:r>
            <w:r w:rsidR="002931D7" w:rsidRPr="00123D39">
              <w:rPr>
                <w:lang w:val="en-US"/>
              </w:rPr>
              <w:t xml:space="preserve"> (CEFIC)</w:t>
            </w:r>
          </w:p>
        </w:tc>
      </w:tr>
      <w:tr w:rsidR="00570364" w:rsidRPr="00EA2D43" w:rsidTr="00123D39">
        <w:tc>
          <w:tcPr>
            <w:tcW w:w="1161" w:type="dxa"/>
          </w:tcPr>
          <w:p w:rsidR="00570364" w:rsidRPr="0093545E" w:rsidRDefault="002C710D" w:rsidP="00226D9D">
            <w:pPr>
              <w:tabs>
                <w:tab w:val="left" w:pos="567"/>
                <w:tab w:val="left" w:pos="1134"/>
              </w:tabs>
              <w:spacing w:before="20" w:after="20"/>
              <w:ind w:right="-28"/>
            </w:pPr>
            <w:r w:rsidRPr="0093545E">
              <w:t>–/</w:t>
            </w:r>
            <w:r w:rsidR="00C07F9E">
              <w:t>2019</w:t>
            </w:r>
            <w:r w:rsidRPr="0093545E">
              <w:t>/</w:t>
            </w:r>
            <w:r w:rsidR="00C07F9E">
              <w:t>2</w:t>
            </w:r>
          </w:p>
        </w:tc>
        <w:tc>
          <w:tcPr>
            <w:tcW w:w="850" w:type="dxa"/>
          </w:tcPr>
          <w:p w:rsidR="00570364" w:rsidRPr="0093545E" w:rsidRDefault="00EC0D2D" w:rsidP="003565E5">
            <w:pPr>
              <w:tabs>
                <w:tab w:val="left" w:pos="75"/>
                <w:tab w:val="center" w:pos="317"/>
              </w:tabs>
              <w:spacing w:before="20" w:after="20"/>
              <w:ind w:left="-108" w:right="-108"/>
              <w:jc w:val="center"/>
            </w:pPr>
            <w:r>
              <w:t>3(b)</w:t>
            </w:r>
          </w:p>
        </w:tc>
        <w:tc>
          <w:tcPr>
            <w:tcW w:w="7229" w:type="dxa"/>
          </w:tcPr>
          <w:p w:rsidR="00570364" w:rsidRPr="00123D39" w:rsidRDefault="00EC0D2D" w:rsidP="003565E5">
            <w:pPr>
              <w:spacing w:before="20" w:after="20"/>
              <w:ind w:left="6"/>
            </w:pPr>
            <w:r w:rsidRPr="00123D39">
              <w:t>Proposed changes to Annex I</w:t>
            </w:r>
            <w:r w:rsidR="002931D7" w:rsidRPr="00123D39">
              <w:t xml:space="preserve"> (United Kingdom)</w:t>
            </w:r>
          </w:p>
        </w:tc>
      </w:tr>
      <w:tr w:rsidR="00570364" w:rsidRPr="00EA2D43" w:rsidTr="00123D39">
        <w:tc>
          <w:tcPr>
            <w:tcW w:w="1161" w:type="dxa"/>
          </w:tcPr>
          <w:p w:rsidR="00570364" w:rsidRPr="0093545E" w:rsidRDefault="002C710D" w:rsidP="00226D9D">
            <w:pPr>
              <w:tabs>
                <w:tab w:val="left" w:pos="567"/>
                <w:tab w:val="left" w:pos="1134"/>
              </w:tabs>
              <w:spacing w:before="20" w:after="20"/>
              <w:ind w:right="-28"/>
            </w:pPr>
            <w:r w:rsidRPr="0093545E">
              <w:t>–/</w:t>
            </w:r>
            <w:r w:rsidR="00C07F9E">
              <w:t>2019</w:t>
            </w:r>
            <w:r w:rsidRPr="0093545E">
              <w:t>/</w:t>
            </w:r>
            <w:r w:rsidR="00C07F9E">
              <w:t>3</w:t>
            </w:r>
          </w:p>
        </w:tc>
        <w:tc>
          <w:tcPr>
            <w:tcW w:w="850" w:type="dxa"/>
          </w:tcPr>
          <w:p w:rsidR="00570364" w:rsidRPr="0093545E" w:rsidRDefault="002931D7" w:rsidP="003565E5">
            <w:pPr>
              <w:tabs>
                <w:tab w:val="left" w:pos="75"/>
                <w:tab w:val="center" w:pos="317"/>
              </w:tabs>
              <w:spacing w:before="20" w:after="20"/>
              <w:ind w:left="-108" w:right="-108"/>
              <w:jc w:val="center"/>
            </w:pPr>
            <w:r>
              <w:t>3(b)</w:t>
            </w:r>
          </w:p>
        </w:tc>
        <w:tc>
          <w:tcPr>
            <w:tcW w:w="7229" w:type="dxa"/>
          </w:tcPr>
          <w:p w:rsidR="00570364" w:rsidRPr="00123D39" w:rsidRDefault="002931D7" w:rsidP="003565E5">
            <w:pPr>
              <w:spacing w:before="20" w:after="20"/>
              <w:ind w:left="6"/>
            </w:pPr>
            <w:r w:rsidRPr="00123D39">
              <w:t>Proposed changes to the presentation of flammable gas categories and sub-categories in Annex 3 (United Kingdom)</w:t>
            </w:r>
          </w:p>
        </w:tc>
      </w:tr>
      <w:tr w:rsidR="00570364" w:rsidRPr="00EA2D43" w:rsidTr="00123D39">
        <w:tc>
          <w:tcPr>
            <w:tcW w:w="1161" w:type="dxa"/>
          </w:tcPr>
          <w:p w:rsidR="00570364" w:rsidRPr="0093545E" w:rsidRDefault="002C710D" w:rsidP="00226D9D">
            <w:pPr>
              <w:tabs>
                <w:tab w:val="left" w:pos="567"/>
                <w:tab w:val="left" w:pos="1134"/>
              </w:tabs>
              <w:spacing w:before="20" w:after="20"/>
              <w:ind w:right="-28"/>
            </w:pPr>
            <w:r w:rsidRPr="0093545E">
              <w:t>–/</w:t>
            </w:r>
            <w:r w:rsidR="00C07F9E">
              <w:t>2019</w:t>
            </w:r>
            <w:r w:rsidRPr="0093545E">
              <w:t>/</w:t>
            </w:r>
            <w:r w:rsidR="00C07F9E">
              <w:t>4</w:t>
            </w:r>
          </w:p>
        </w:tc>
        <w:tc>
          <w:tcPr>
            <w:tcW w:w="850" w:type="dxa"/>
          </w:tcPr>
          <w:p w:rsidR="00570364" w:rsidRPr="0093545E" w:rsidRDefault="002931D7" w:rsidP="003565E5">
            <w:pPr>
              <w:tabs>
                <w:tab w:val="left" w:pos="75"/>
                <w:tab w:val="center" w:pos="317"/>
              </w:tabs>
              <w:spacing w:before="20" w:after="20"/>
              <w:ind w:left="-108" w:right="-108"/>
              <w:jc w:val="center"/>
            </w:pPr>
            <w:r>
              <w:t>2(a)</w:t>
            </w:r>
          </w:p>
        </w:tc>
        <w:tc>
          <w:tcPr>
            <w:tcW w:w="7229" w:type="dxa"/>
          </w:tcPr>
          <w:p w:rsidR="00570364" w:rsidRPr="00123D39" w:rsidRDefault="002931D7" w:rsidP="003565E5">
            <w:pPr>
              <w:spacing w:before="20" w:after="20"/>
              <w:ind w:left="6"/>
            </w:pPr>
            <w:r w:rsidRPr="00123D39">
              <w:t>Tests for oxidizing liquids and oxidizing solids improvement regarding consideration for particle size, friable or coated materials (France)</w:t>
            </w:r>
          </w:p>
        </w:tc>
      </w:tr>
      <w:tr w:rsidR="00570364" w:rsidRPr="00EA2D43" w:rsidTr="00123D39">
        <w:tc>
          <w:tcPr>
            <w:tcW w:w="1161" w:type="dxa"/>
          </w:tcPr>
          <w:p w:rsidR="00570364" w:rsidRPr="0093545E" w:rsidRDefault="002C710D" w:rsidP="00226D9D">
            <w:pPr>
              <w:tabs>
                <w:tab w:val="left" w:pos="567"/>
                <w:tab w:val="left" w:pos="1134"/>
              </w:tabs>
              <w:spacing w:before="20" w:after="20"/>
              <w:ind w:right="-28"/>
            </w:pPr>
            <w:r w:rsidRPr="0093545E">
              <w:t>–/</w:t>
            </w:r>
            <w:r w:rsidR="00C07F9E">
              <w:t>2019</w:t>
            </w:r>
            <w:r w:rsidRPr="0093545E">
              <w:t>/</w:t>
            </w:r>
            <w:r w:rsidR="00C07F9E">
              <w:t>5</w:t>
            </w:r>
          </w:p>
        </w:tc>
        <w:tc>
          <w:tcPr>
            <w:tcW w:w="850" w:type="dxa"/>
          </w:tcPr>
          <w:p w:rsidR="00570364" w:rsidRPr="0093545E" w:rsidRDefault="002931D7" w:rsidP="003565E5">
            <w:pPr>
              <w:tabs>
                <w:tab w:val="left" w:pos="75"/>
                <w:tab w:val="center" w:pos="317"/>
              </w:tabs>
              <w:spacing w:before="20" w:after="20"/>
              <w:ind w:left="-108" w:right="-108"/>
              <w:jc w:val="center"/>
            </w:pPr>
            <w:r>
              <w:t>2(b)</w:t>
            </w:r>
          </w:p>
        </w:tc>
        <w:tc>
          <w:tcPr>
            <w:tcW w:w="7229" w:type="dxa"/>
          </w:tcPr>
          <w:p w:rsidR="00570364" w:rsidRPr="00123D39" w:rsidRDefault="002931D7" w:rsidP="003565E5">
            <w:pPr>
              <w:spacing w:before="20" w:after="20"/>
              <w:ind w:left="6"/>
            </w:pPr>
            <w:r w:rsidRPr="00123D39">
              <w:t>Development of a new Chapter 2.1 of the GHS (explosives) (Sweden)</w:t>
            </w:r>
          </w:p>
        </w:tc>
      </w:tr>
      <w:tr w:rsidR="00226D9D" w:rsidRPr="00EA2D43" w:rsidTr="00123D39">
        <w:tc>
          <w:tcPr>
            <w:tcW w:w="1161" w:type="dxa"/>
          </w:tcPr>
          <w:p w:rsidR="00226D9D" w:rsidRPr="0093545E" w:rsidRDefault="00226D9D" w:rsidP="00226D9D">
            <w:pPr>
              <w:tabs>
                <w:tab w:val="left" w:pos="567"/>
                <w:tab w:val="left" w:pos="1134"/>
              </w:tabs>
              <w:spacing w:before="20" w:after="20"/>
              <w:ind w:right="-28"/>
            </w:pPr>
            <w:r w:rsidRPr="0093545E">
              <w:t>–/</w:t>
            </w:r>
            <w:r w:rsidR="00C07F9E">
              <w:t>2019</w:t>
            </w:r>
            <w:r w:rsidRPr="0093545E">
              <w:t>/</w:t>
            </w:r>
            <w:r w:rsidR="00C07F9E">
              <w:t>6</w:t>
            </w:r>
          </w:p>
        </w:tc>
        <w:tc>
          <w:tcPr>
            <w:tcW w:w="850" w:type="dxa"/>
          </w:tcPr>
          <w:p w:rsidR="00226D9D" w:rsidRDefault="002931D7" w:rsidP="003565E5">
            <w:pPr>
              <w:tabs>
                <w:tab w:val="left" w:pos="75"/>
                <w:tab w:val="center" w:pos="317"/>
              </w:tabs>
              <w:spacing w:before="20" w:after="20"/>
              <w:ind w:left="-108" w:right="-108"/>
              <w:jc w:val="center"/>
            </w:pPr>
            <w:r>
              <w:t>4(a)</w:t>
            </w:r>
          </w:p>
        </w:tc>
        <w:tc>
          <w:tcPr>
            <w:tcW w:w="7229" w:type="dxa"/>
          </w:tcPr>
          <w:p w:rsidR="00226D9D" w:rsidRPr="00123D39" w:rsidRDefault="002931D7" w:rsidP="00226D9D">
            <w:pPr>
              <w:spacing w:before="20" w:after="20"/>
              <w:ind w:left="6"/>
            </w:pPr>
            <w:r w:rsidRPr="00123D39">
              <w:t>Status update on the Global list informal working group (USA and Canada)</w:t>
            </w:r>
          </w:p>
        </w:tc>
      </w:tr>
      <w:tr w:rsidR="00226D9D" w:rsidRPr="00EA2D43" w:rsidTr="00123D39">
        <w:tc>
          <w:tcPr>
            <w:tcW w:w="1161" w:type="dxa"/>
          </w:tcPr>
          <w:p w:rsidR="00226D9D" w:rsidRPr="0093545E" w:rsidRDefault="002C710D" w:rsidP="00226D9D">
            <w:pPr>
              <w:tabs>
                <w:tab w:val="left" w:pos="567"/>
                <w:tab w:val="left" w:pos="1134"/>
              </w:tabs>
              <w:spacing w:before="20" w:after="20"/>
              <w:ind w:right="-28"/>
            </w:pPr>
            <w:r w:rsidRPr="0093545E">
              <w:t>–/</w:t>
            </w:r>
            <w:r w:rsidR="00C07F9E">
              <w:t>2019</w:t>
            </w:r>
            <w:r w:rsidRPr="0093545E">
              <w:t>/</w:t>
            </w:r>
            <w:r w:rsidR="00C07F9E">
              <w:t>7</w:t>
            </w:r>
          </w:p>
        </w:tc>
        <w:tc>
          <w:tcPr>
            <w:tcW w:w="850" w:type="dxa"/>
          </w:tcPr>
          <w:p w:rsidR="00226D9D" w:rsidRPr="0093545E" w:rsidRDefault="002931D7" w:rsidP="00226D9D">
            <w:pPr>
              <w:spacing w:before="20" w:after="20"/>
              <w:ind w:left="-108" w:right="-108"/>
              <w:jc w:val="center"/>
            </w:pPr>
            <w:r>
              <w:t>2(b)</w:t>
            </w:r>
          </w:p>
        </w:tc>
        <w:tc>
          <w:tcPr>
            <w:tcW w:w="7229" w:type="dxa"/>
          </w:tcPr>
          <w:p w:rsidR="00226D9D" w:rsidRPr="00123D39" w:rsidRDefault="002931D7" w:rsidP="00226D9D">
            <w:pPr>
              <w:spacing w:before="20" w:after="20"/>
              <w:ind w:left="6"/>
              <w:rPr>
                <w:highlight w:val="yellow"/>
              </w:rPr>
            </w:pPr>
            <w:r w:rsidRPr="00123D39">
              <w:t>Clarifications to the scope of the class of explosives (SAAMI)</w:t>
            </w:r>
          </w:p>
        </w:tc>
      </w:tr>
    </w:tbl>
    <w:p w:rsidR="00FB48D5" w:rsidRPr="00870D13" w:rsidRDefault="00FB48D5" w:rsidP="002A5947">
      <w:pPr>
        <w:pStyle w:val="HChG"/>
        <w:spacing w:before="200" w:after="200" w:line="160" w:lineRule="exact"/>
      </w:pPr>
      <w:r w:rsidRPr="00870D13">
        <w:t>Informa</w:t>
      </w:r>
      <w:r w:rsidR="001035FB">
        <w:t>l</w:t>
      </w:r>
      <w:r w:rsidRPr="00870D13">
        <w:t xml:space="preserve"> documents</w:t>
      </w:r>
    </w:p>
    <w:tbl>
      <w:tblPr>
        <w:tblW w:w="9637" w:type="dxa"/>
        <w:tblLayout w:type="fixed"/>
        <w:tblLook w:val="0000" w:firstRow="0" w:lastRow="0" w:firstColumn="0" w:lastColumn="0" w:noHBand="0" w:noVBand="0"/>
      </w:tblPr>
      <w:tblGrid>
        <w:gridCol w:w="1482"/>
        <w:gridCol w:w="593"/>
        <w:gridCol w:w="7562"/>
      </w:tblGrid>
      <w:tr w:rsidR="00FB48D5" w:rsidRPr="00720E11" w:rsidTr="00123D39">
        <w:trPr>
          <w:tblHeader/>
        </w:trPr>
        <w:tc>
          <w:tcPr>
            <w:tcW w:w="1417" w:type="dxa"/>
            <w:shd w:val="clear" w:color="auto" w:fill="F2F2F2" w:themeFill="background1" w:themeFillShade="F2"/>
          </w:tcPr>
          <w:p w:rsidR="00FB48D5" w:rsidRPr="00720E11" w:rsidRDefault="00FB48D5" w:rsidP="00275D77">
            <w:pPr>
              <w:tabs>
                <w:tab w:val="left" w:pos="567"/>
                <w:tab w:val="left" w:pos="1134"/>
              </w:tabs>
              <w:spacing w:before="20" w:after="20"/>
              <w:ind w:left="3" w:right="-28"/>
              <w:rPr>
                <w:b/>
              </w:rPr>
            </w:pPr>
            <w:r w:rsidRPr="00720E11">
              <w:rPr>
                <w:b/>
                <w:i/>
              </w:rPr>
              <w:t>INF. N</w:t>
            </w:r>
            <w:r w:rsidR="00275D77">
              <w:rPr>
                <w:b/>
                <w:i/>
              </w:rPr>
              <w:t>o</w:t>
            </w:r>
            <w:r w:rsidRPr="00720E11">
              <w:rPr>
                <w:b/>
                <w:i/>
              </w:rPr>
              <w:t>.</w:t>
            </w:r>
          </w:p>
        </w:tc>
        <w:tc>
          <w:tcPr>
            <w:tcW w:w="567" w:type="dxa"/>
            <w:shd w:val="clear" w:color="auto" w:fill="F2F2F2" w:themeFill="background1" w:themeFillShade="F2"/>
          </w:tcPr>
          <w:p w:rsidR="00FB48D5" w:rsidRPr="00720E11" w:rsidRDefault="00FB48D5" w:rsidP="00F618D8">
            <w:pPr>
              <w:tabs>
                <w:tab w:val="left" w:pos="1134"/>
              </w:tabs>
              <w:spacing w:before="20" w:after="20"/>
              <w:ind w:left="-108" w:right="-108"/>
              <w:jc w:val="center"/>
              <w:rPr>
                <w:b/>
                <w:i/>
              </w:rPr>
            </w:pPr>
            <w:r w:rsidRPr="00720E11">
              <w:rPr>
                <w:b/>
                <w:i/>
              </w:rPr>
              <w:t>item</w:t>
            </w:r>
          </w:p>
        </w:tc>
        <w:tc>
          <w:tcPr>
            <w:tcW w:w="7229" w:type="dxa"/>
            <w:shd w:val="clear" w:color="auto" w:fill="F2F2F2" w:themeFill="background1" w:themeFillShade="F2"/>
          </w:tcPr>
          <w:p w:rsidR="00FB48D5" w:rsidRPr="00720E11" w:rsidRDefault="00FB48D5" w:rsidP="002A5A2D">
            <w:pPr>
              <w:tabs>
                <w:tab w:val="left" w:pos="567"/>
                <w:tab w:val="left" w:pos="1134"/>
              </w:tabs>
              <w:spacing w:before="20" w:after="20"/>
              <w:ind w:right="-28"/>
              <w:rPr>
                <w:b/>
                <w:i/>
              </w:rPr>
            </w:pPr>
            <w:r w:rsidRPr="00720E11">
              <w:rPr>
                <w:b/>
                <w:i/>
              </w:rPr>
              <w:t>Title</w:t>
            </w:r>
          </w:p>
        </w:tc>
      </w:tr>
      <w:tr w:rsidR="00FB48D5" w:rsidRPr="00EA2D43" w:rsidTr="00123D39">
        <w:tc>
          <w:tcPr>
            <w:tcW w:w="1417" w:type="dxa"/>
          </w:tcPr>
          <w:p w:rsidR="00FB48D5" w:rsidRPr="00870D13" w:rsidRDefault="00FB48D5" w:rsidP="002A5A2D">
            <w:pPr>
              <w:tabs>
                <w:tab w:val="left" w:pos="567"/>
                <w:tab w:val="left" w:pos="1134"/>
              </w:tabs>
              <w:spacing w:before="20" w:after="20"/>
              <w:ind w:left="-51" w:right="23"/>
            </w:pPr>
            <w:r w:rsidRPr="00870D13">
              <w:t xml:space="preserve">INF.1 </w:t>
            </w:r>
          </w:p>
        </w:tc>
        <w:tc>
          <w:tcPr>
            <w:tcW w:w="567" w:type="dxa"/>
          </w:tcPr>
          <w:p w:rsidR="00FB48D5" w:rsidRPr="00870D13" w:rsidRDefault="002931D7" w:rsidP="00F618D8">
            <w:pPr>
              <w:tabs>
                <w:tab w:val="left" w:pos="1134"/>
              </w:tabs>
              <w:spacing w:before="20" w:after="20"/>
              <w:ind w:left="-108" w:right="-108"/>
              <w:jc w:val="center"/>
            </w:pPr>
            <w:r>
              <w:t>1</w:t>
            </w:r>
          </w:p>
        </w:tc>
        <w:tc>
          <w:tcPr>
            <w:tcW w:w="7229" w:type="dxa"/>
          </w:tcPr>
          <w:p w:rsidR="00FB48D5" w:rsidRPr="00123D39" w:rsidRDefault="002931D7" w:rsidP="00123D39">
            <w:pPr>
              <w:tabs>
                <w:tab w:val="left" w:pos="567"/>
                <w:tab w:val="left" w:pos="1134"/>
              </w:tabs>
              <w:spacing w:before="20" w:after="20"/>
              <w:ind w:left="-51" w:right="23"/>
            </w:pPr>
            <w:r w:rsidRPr="00123D39">
              <w:t>List of documents (Secretariat)</w:t>
            </w:r>
          </w:p>
        </w:tc>
      </w:tr>
      <w:tr w:rsidR="002A5A2D" w:rsidRPr="00EA2D43" w:rsidTr="00123D39">
        <w:tc>
          <w:tcPr>
            <w:tcW w:w="1417" w:type="dxa"/>
          </w:tcPr>
          <w:p w:rsidR="002A5A2D" w:rsidRPr="00870D13" w:rsidRDefault="002A5A2D" w:rsidP="002A5A2D">
            <w:pPr>
              <w:tabs>
                <w:tab w:val="left" w:pos="567"/>
                <w:tab w:val="left" w:pos="1134"/>
              </w:tabs>
              <w:spacing w:before="20" w:after="20"/>
              <w:ind w:left="-51" w:right="23"/>
            </w:pPr>
            <w:r w:rsidRPr="00870D13">
              <w:t xml:space="preserve">INF.2 </w:t>
            </w:r>
          </w:p>
        </w:tc>
        <w:tc>
          <w:tcPr>
            <w:tcW w:w="567" w:type="dxa"/>
          </w:tcPr>
          <w:p w:rsidR="002A5A2D" w:rsidRPr="00870D13" w:rsidRDefault="002931D7" w:rsidP="00F618D8">
            <w:pPr>
              <w:tabs>
                <w:tab w:val="left" w:pos="1134"/>
              </w:tabs>
              <w:spacing w:before="20" w:after="20"/>
              <w:ind w:left="-108" w:right="-108"/>
              <w:jc w:val="center"/>
            </w:pPr>
            <w:r>
              <w:t>1</w:t>
            </w:r>
          </w:p>
        </w:tc>
        <w:tc>
          <w:tcPr>
            <w:tcW w:w="7229" w:type="dxa"/>
          </w:tcPr>
          <w:p w:rsidR="002A5A2D" w:rsidRPr="00123D39" w:rsidRDefault="002931D7" w:rsidP="00123D39">
            <w:pPr>
              <w:tabs>
                <w:tab w:val="left" w:pos="567"/>
                <w:tab w:val="left" w:pos="1134"/>
              </w:tabs>
              <w:spacing w:before="20" w:after="20"/>
              <w:ind w:left="-51" w:right="23"/>
            </w:pPr>
            <w:r w:rsidRPr="00123D39">
              <w:t>Provisional agenda for the thirty-seventh session (Secretariat)</w:t>
            </w:r>
          </w:p>
        </w:tc>
      </w:tr>
      <w:tr w:rsidR="002A5A2D" w:rsidRPr="00EA2D43" w:rsidTr="00123D39">
        <w:tc>
          <w:tcPr>
            <w:tcW w:w="1417" w:type="dxa"/>
          </w:tcPr>
          <w:p w:rsidR="002A5A2D" w:rsidRPr="00870D13" w:rsidRDefault="003565E5" w:rsidP="003565E5">
            <w:pPr>
              <w:tabs>
                <w:tab w:val="left" w:pos="567"/>
                <w:tab w:val="left" w:pos="1134"/>
              </w:tabs>
              <w:spacing w:before="20" w:after="20"/>
              <w:ind w:left="-51" w:right="23"/>
            </w:pPr>
            <w:r w:rsidRPr="00870D13">
              <w:t>INF.</w:t>
            </w:r>
            <w:r w:rsidR="009D0EC7">
              <w:t>3</w:t>
            </w:r>
          </w:p>
        </w:tc>
        <w:tc>
          <w:tcPr>
            <w:tcW w:w="567" w:type="dxa"/>
          </w:tcPr>
          <w:p w:rsidR="002A5A2D" w:rsidRPr="00870D13" w:rsidRDefault="002931D7" w:rsidP="00787C77">
            <w:pPr>
              <w:ind w:left="-108" w:right="-108"/>
              <w:jc w:val="center"/>
            </w:pPr>
            <w:r>
              <w:t>3(b)</w:t>
            </w:r>
          </w:p>
        </w:tc>
        <w:tc>
          <w:tcPr>
            <w:tcW w:w="7229" w:type="dxa"/>
          </w:tcPr>
          <w:p w:rsidR="002A5A2D" w:rsidRPr="00123D39" w:rsidRDefault="002931D7" w:rsidP="00123D39">
            <w:pPr>
              <w:tabs>
                <w:tab w:val="left" w:pos="567"/>
                <w:tab w:val="left" w:pos="1134"/>
              </w:tabs>
              <w:spacing w:before="20" w:after="20"/>
              <w:ind w:left="-51" w:right="23"/>
            </w:pPr>
            <w:r w:rsidRPr="00123D39">
              <w:t>Proposed changes to Annex 1 (United Kingdom</w:t>
            </w:r>
            <w:r w:rsidR="002F4558" w:rsidRPr="00123D39">
              <w:t>)</w:t>
            </w:r>
          </w:p>
        </w:tc>
      </w:tr>
      <w:tr w:rsidR="00E61F55" w:rsidRPr="00870D13" w:rsidTr="00123D39">
        <w:tc>
          <w:tcPr>
            <w:tcW w:w="1417" w:type="dxa"/>
          </w:tcPr>
          <w:p w:rsidR="00E61F55" w:rsidRPr="00870D13" w:rsidRDefault="00E61F55" w:rsidP="00E61F55">
            <w:pPr>
              <w:tabs>
                <w:tab w:val="left" w:pos="567"/>
                <w:tab w:val="left" w:pos="1134"/>
              </w:tabs>
              <w:spacing w:before="20" w:after="20"/>
              <w:ind w:left="-51" w:right="23"/>
            </w:pPr>
            <w:r>
              <w:t>INF.4</w:t>
            </w:r>
          </w:p>
        </w:tc>
        <w:tc>
          <w:tcPr>
            <w:tcW w:w="567" w:type="dxa"/>
          </w:tcPr>
          <w:p w:rsidR="00E61F55" w:rsidRPr="00870D13" w:rsidRDefault="002F4558" w:rsidP="00E61F55">
            <w:pPr>
              <w:ind w:left="-108" w:right="-108"/>
              <w:jc w:val="center"/>
            </w:pPr>
            <w:r>
              <w:t>3(b)</w:t>
            </w:r>
          </w:p>
        </w:tc>
        <w:tc>
          <w:tcPr>
            <w:tcW w:w="7229" w:type="dxa"/>
          </w:tcPr>
          <w:p w:rsidR="00E61F55" w:rsidRPr="00123D39" w:rsidRDefault="002F4558" w:rsidP="00123D39">
            <w:pPr>
              <w:tabs>
                <w:tab w:val="left" w:pos="567"/>
                <w:tab w:val="left" w:pos="1134"/>
              </w:tabs>
              <w:spacing w:before="20" w:after="20"/>
              <w:ind w:left="-51" w:right="23"/>
            </w:pPr>
            <w:r w:rsidRPr="00123D39">
              <w:t>Proposed changes to the presentation of flammable gas hazard category 1A in Annex 3 (United Kingdom)</w:t>
            </w:r>
          </w:p>
        </w:tc>
      </w:tr>
      <w:tr w:rsidR="00E61F55" w:rsidRPr="00870D13" w:rsidTr="00123D39">
        <w:tc>
          <w:tcPr>
            <w:tcW w:w="1417" w:type="dxa"/>
          </w:tcPr>
          <w:p w:rsidR="00E61F55" w:rsidRPr="00870D13" w:rsidRDefault="00E61F55" w:rsidP="00E61F55">
            <w:pPr>
              <w:tabs>
                <w:tab w:val="left" w:pos="567"/>
                <w:tab w:val="left" w:pos="1134"/>
              </w:tabs>
              <w:spacing w:before="20" w:after="20"/>
              <w:ind w:left="-51" w:right="23"/>
            </w:pPr>
            <w:r>
              <w:t>INF.5</w:t>
            </w:r>
          </w:p>
        </w:tc>
        <w:tc>
          <w:tcPr>
            <w:tcW w:w="567" w:type="dxa"/>
          </w:tcPr>
          <w:p w:rsidR="00E61F55" w:rsidRPr="00870D13" w:rsidRDefault="002F4558" w:rsidP="00E61F55">
            <w:pPr>
              <w:tabs>
                <w:tab w:val="left" w:pos="567"/>
                <w:tab w:val="left" w:pos="1134"/>
              </w:tabs>
              <w:spacing w:before="20" w:after="20"/>
              <w:ind w:left="-51" w:right="23"/>
              <w:jc w:val="center"/>
            </w:pPr>
            <w:r>
              <w:t>1</w:t>
            </w:r>
          </w:p>
        </w:tc>
        <w:tc>
          <w:tcPr>
            <w:tcW w:w="7229" w:type="dxa"/>
          </w:tcPr>
          <w:p w:rsidR="00E61F55" w:rsidRPr="00123D39" w:rsidRDefault="002F4558" w:rsidP="00E61F55">
            <w:pPr>
              <w:tabs>
                <w:tab w:val="left" w:pos="567"/>
                <w:tab w:val="left" w:pos="1134"/>
              </w:tabs>
              <w:spacing w:before="20" w:after="20"/>
              <w:ind w:left="-51" w:right="23"/>
            </w:pPr>
            <w:r w:rsidRPr="00123D39">
              <w:t>Provisional timetable for the thirty-seventh session and calendar of meetings of GHS informal working groups (Secretariat)</w:t>
            </w:r>
          </w:p>
        </w:tc>
      </w:tr>
      <w:tr w:rsidR="00E61F55" w:rsidRPr="00870D13" w:rsidTr="00123D39">
        <w:tc>
          <w:tcPr>
            <w:tcW w:w="1417" w:type="dxa"/>
          </w:tcPr>
          <w:p w:rsidR="00E61F55" w:rsidRDefault="00E61F55" w:rsidP="00E61F55">
            <w:pPr>
              <w:tabs>
                <w:tab w:val="left" w:pos="567"/>
                <w:tab w:val="left" w:pos="1134"/>
              </w:tabs>
              <w:spacing w:before="20" w:after="20"/>
              <w:ind w:left="-51" w:right="23"/>
            </w:pPr>
            <w:r>
              <w:t>INF.6</w:t>
            </w:r>
          </w:p>
        </w:tc>
        <w:tc>
          <w:tcPr>
            <w:tcW w:w="567" w:type="dxa"/>
          </w:tcPr>
          <w:p w:rsidR="00E61F55" w:rsidRDefault="002F4558" w:rsidP="00E61F55">
            <w:pPr>
              <w:tabs>
                <w:tab w:val="left" w:pos="567"/>
                <w:tab w:val="left" w:pos="1134"/>
              </w:tabs>
              <w:spacing w:before="20" w:after="20"/>
              <w:ind w:left="-51" w:right="23"/>
              <w:jc w:val="center"/>
            </w:pPr>
            <w:r>
              <w:t>2(b)</w:t>
            </w:r>
          </w:p>
        </w:tc>
        <w:tc>
          <w:tcPr>
            <w:tcW w:w="7229" w:type="dxa"/>
          </w:tcPr>
          <w:p w:rsidR="00E61F55" w:rsidRPr="00123D39" w:rsidRDefault="002F4558" w:rsidP="00123D39">
            <w:pPr>
              <w:tabs>
                <w:tab w:val="left" w:pos="567"/>
                <w:tab w:val="left" w:pos="1134"/>
              </w:tabs>
              <w:spacing w:before="20" w:after="20"/>
              <w:ind w:left="-51" w:right="23"/>
            </w:pPr>
            <w:r w:rsidRPr="00123D39">
              <w:t>Amendments to the definition of explosive substance and definition of Class 1 (Sweden)</w:t>
            </w:r>
          </w:p>
        </w:tc>
      </w:tr>
      <w:tr w:rsidR="00E61F55" w:rsidRPr="00870D13" w:rsidTr="00123D39">
        <w:tc>
          <w:tcPr>
            <w:tcW w:w="1417" w:type="dxa"/>
          </w:tcPr>
          <w:p w:rsidR="00E61F55" w:rsidRPr="00870D13" w:rsidRDefault="00E61F55" w:rsidP="00E61F55">
            <w:pPr>
              <w:tabs>
                <w:tab w:val="left" w:pos="567"/>
                <w:tab w:val="left" w:pos="1134"/>
              </w:tabs>
              <w:spacing w:before="20" w:after="20"/>
              <w:ind w:left="-51" w:right="23"/>
            </w:pPr>
            <w:r>
              <w:t>INF.7</w:t>
            </w:r>
          </w:p>
        </w:tc>
        <w:tc>
          <w:tcPr>
            <w:tcW w:w="567" w:type="dxa"/>
          </w:tcPr>
          <w:p w:rsidR="00E61F55" w:rsidRPr="00870D13" w:rsidRDefault="002F4558" w:rsidP="00E61F55">
            <w:pPr>
              <w:tabs>
                <w:tab w:val="left" w:pos="567"/>
                <w:tab w:val="left" w:pos="1134"/>
              </w:tabs>
              <w:spacing w:before="20" w:after="20"/>
              <w:ind w:left="-51" w:right="23"/>
              <w:jc w:val="center"/>
            </w:pPr>
            <w:r>
              <w:t>3(a)</w:t>
            </w:r>
          </w:p>
        </w:tc>
        <w:tc>
          <w:tcPr>
            <w:tcW w:w="7229" w:type="dxa"/>
          </w:tcPr>
          <w:p w:rsidR="00E61F55" w:rsidRPr="00123D39" w:rsidRDefault="002F4558" w:rsidP="00E61F55">
            <w:pPr>
              <w:tabs>
                <w:tab w:val="left" w:pos="567"/>
                <w:tab w:val="left" w:pos="1134"/>
              </w:tabs>
              <w:spacing w:before="20" w:after="20"/>
              <w:ind w:left="-51" w:right="23"/>
            </w:pPr>
            <w:r w:rsidRPr="00123D39">
              <w:t>Thought starter on digitalisation of hazard information for chemical products (CEFIC)</w:t>
            </w:r>
          </w:p>
        </w:tc>
      </w:tr>
      <w:tr w:rsidR="00E61F55" w:rsidRPr="00870D13" w:rsidTr="00123D39">
        <w:tc>
          <w:tcPr>
            <w:tcW w:w="1417" w:type="dxa"/>
          </w:tcPr>
          <w:p w:rsidR="00E61F55" w:rsidRDefault="00E61F55" w:rsidP="00E61F55">
            <w:pPr>
              <w:tabs>
                <w:tab w:val="left" w:pos="567"/>
                <w:tab w:val="left" w:pos="1134"/>
              </w:tabs>
              <w:spacing w:before="20" w:after="20"/>
              <w:ind w:left="-51" w:right="23"/>
            </w:pPr>
            <w:r>
              <w:t>INF.8</w:t>
            </w:r>
          </w:p>
        </w:tc>
        <w:tc>
          <w:tcPr>
            <w:tcW w:w="567" w:type="dxa"/>
          </w:tcPr>
          <w:p w:rsidR="00E61F55" w:rsidRDefault="002F4558" w:rsidP="00E61F55">
            <w:pPr>
              <w:tabs>
                <w:tab w:val="left" w:pos="567"/>
                <w:tab w:val="left" w:pos="1134"/>
              </w:tabs>
              <w:spacing w:before="20" w:after="20"/>
              <w:ind w:left="-51" w:right="23"/>
              <w:jc w:val="center"/>
            </w:pPr>
            <w:r>
              <w:t>2(b)</w:t>
            </w:r>
          </w:p>
        </w:tc>
        <w:tc>
          <w:tcPr>
            <w:tcW w:w="7229" w:type="dxa"/>
          </w:tcPr>
          <w:p w:rsidR="00E61F55" w:rsidRPr="00123D39" w:rsidRDefault="002F4558" w:rsidP="00E61F55">
            <w:pPr>
              <w:tabs>
                <w:tab w:val="left" w:pos="567"/>
                <w:tab w:val="left" w:pos="1134"/>
              </w:tabs>
              <w:spacing w:before="20" w:after="20"/>
              <w:ind w:left="-51" w:right="23"/>
            </w:pPr>
            <w:r w:rsidRPr="00123D39">
              <w:t>Explosives classification in GHS Chapter 2.1 (USA, IME, SAAMI)</w:t>
            </w:r>
          </w:p>
        </w:tc>
      </w:tr>
      <w:tr w:rsidR="00E61F55" w:rsidRPr="00870D13" w:rsidTr="00123D39">
        <w:tc>
          <w:tcPr>
            <w:tcW w:w="1417" w:type="dxa"/>
          </w:tcPr>
          <w:p w:rsidR="00E61F55" w:rsidRPr="00870D13" w:rsidRDefault="00E61F55" w:rsidP="00E61F55">
            <w:pPr>
              <w:tabs>
                <w:tab w:val="left" w:pos="567"/>
                <w:tab w:val="left" w:pos="1134"/>
              </w:tabs>
              <w:spacing w:before="20" w:after="20"/>
              <w:ind w:left="-51" w:right="23"/>
            </w:pPr>
            <w:r>
              <w:t>INF.9</w:t>
            </w:r>
          </w:p>
        </w:tc>
        <w:tc>
          <w:tcPr>
            <w:tcW w:w="567" w:type="dxa"/>
          </w:tcPr>
          <w:p w:rsidR="00E61F55" w:rsidRPr="00870D13" w:rsidRDefault="002F4558" w:rsidP="00E61F55">
            <w:pPr>
              <w:tabs>
                <w:tab w:val="left" w:pos="567"/>
                <w:tab w:val="left" w:pos="1134"/>
              </w:tabs>
              <w:spacing w:before="20" w:after="20"/>
              <w:ind w:left="-51" w:right="23"/>
              <w:jc w:val="center"/>
            </w:pPr>
            <w:r>
              <w:t>2(b)</w:t>
            </w:r>
          </w:p>
        </w:tc>
        <w:tc>
          <w:tcPr>
            <w:tcW w:w="7229" w:type="dxa"/>
          </w:tcPr>
          <w:p w:rsidR="00E61F55" w:rsidRPr="00123D39" w:rsidRDefault="002F4558" w:rsidP="00E61F55">
            <w:pPr>
              <w:tabs>
                <w:tab w:val="left" w:pos="567"/>
                <w:tab w:val="left" w:pos="1134"/>
              </w:tabs>
              <w:spacing w:before="20" w:after="20"/>
              <w:ind w:left="-51" w:right="23"/>
            </w:pPr>
            <w:r w:rsidRPr="00123D39">
              <w:t>Possible hazard communication elements for the classifications of the potential new GHS Chapter 2.1 (Sweden)</w:t>
            </w:r>
          </w:p>
        </w:tc>
      </w:tr>
      <w:tr w:rsidR="00E61F55" w:rsidRPr="00870D13" w:rsidTr="00123D39">
        <w:tc>
          <w:tcPr>
            <w:tcW w:w="1417" w:type="dxa"/>
          </w:tcPr>
          <w:p w:rsidR="00E61F55" w:rsidRPr="00870D13" w:rsidRDefault="00E61F55" w:rsidP="00E61F55">
            <w:pPr>
              <w:tabs>
                <w:tab w:val="left" w:pos="567"/>
                <w:tab w:val="left" w:pos="1134"/>
              </w:tabs>
              <w:spacing w:before="20" w:after="20"/>
              <w:ind w:left="-51" w:right="23"/>
            </w:pPr>
            <w:r>
              <w:t>INF.10</w:t>
            </w:r>
          </w:p>
        </w:tc>
        <w:tc>
          <w:tcPr>
            <w:tcW w:w="567" w:type="dxa"/>
          </w:tcPr>
          <w:p w:rsidR="00E61F55" w:rsidRPr="00870D13" w:rsidRDefault="009564E3" w:rsidP="00E61F55">
            <w:pPr>
              <w:tabs>
                <w:tab w:val="left" w:pos="567"/>
                <w:tab w:val="left" w:pos="1134"/>
              </w:tabs>
              <w:spacing w:before="20" w:after="20"/>
              <w:ind w:left="-51" w:right="23"/>
              <w:jc w:val="center"/>
            </w:pPr>
            <w:r>
              <w:t>4(a)</w:t>
            </w:r>
          </w:p>
        </w:tc>
        <w:tc>
          <w:tcPr>
            <w:tcW w:w="7229" w:type="dxa"/>
          </w:tcPr>
          <w:p w:rsidR="00E61F55" w:rsidRPr="00123D39" w:rsidRDefault="009564E3" w:rsidP="00E61F55">
            <w:pPr>
              <w:tabs>
                <w:tab w:val="left" w:pos="567"/>
                <w:tab w:val="left" w:pos="1134"/>
              </w:tabs>
              <w:spacing w:before="20" w:after="20"/>
              <w:ind w:left="-51" w:right="23"/>
            </w:pPr>
            <w:r w:rsidRPr="00123D39">
              <w:t>Potential paths forward for global list project (USA, Canada)</w:t>
            </w:r>
          </w:p>
        </w:tc>
      </w:tr>
      <w:tr w:rsidR="00E61F55" w:rsidRPr="00870D13" w:rsidTr="00123D39">
        <w:tc>
          <w:tcPr>
            <w:tcW w:w="1417" w:type="dxa"/>
          </w:tcPr>
          <w:p w:rsidR="00E61F55" w:rsidRPr="00870D13" w:rsidRDefault="00E61F55" w:rsidP="00E61F55">
            <w:pPr>
              <w:tabs>
                <w:tab w:val="left" w:pos="567"/>
                <w:tab w:val="left" w:pos="1134"/>
              </w:tabs>
              <w:spacing w:before="20" w:after="20"/>
              <w:ind w:left="-51" w:right="23"/>
            </w:pPr>
            <w:r>
              <w:t>INF.11</w:t>
            </w:r>
          </w:p>
        </w:tc>
        <w:tc>
          <w:tcPr>
            <w:tcW w:w="567" w:type="dxa"/>
          </w:tcPr>
          <w:p w:rsidR="00E61F55" w:rsidRPr="00870D13" w:rsidRDefault="009564E3" w:rsidP="00E61F55">
            <w:pPr>
              <w:tabs>
                <w:tab w:val="left" w:pos="567"/>
                <w:tab w:val="left" w:pos="1134"/>
              </w:tabs>
              <w:spacing w:before="20" w:after="20"/>
              <w:ind w:left="-51" w:right="23"/>
              <w:jc w:val="center"/>
            </w:pPr>
            <w:r>
              <w:t>2(f)</w:t>
            </w:r>
          </w:p>
        </w:tc>
        <w:tc>
          <w:tcPr>
            <w:tcW w:w="7229" w:type="dxa"/>
          </w:tcPr>
          <w:p w:rsidR="00E61F55" w:rsidRPr="00123D39" w:rsidRDefault="009564E3" w:rsidP="00123D39">
            <w:pPr>
              <w:tabs>
                <w:tab w:val="left" w:pos="567"/>
                <w:tab w:val="left" w:pos="1134"/>
              </w:tabs>
              <w:spacing w:before="20" w:after="20"/>
              <w:ind w:left="-51" w:right="23"/>
            </w:pPr>
            <w:r w:rsidRPr="00123D39">
              <w:t>Review of the applicability of the GHS classification criteria to nanomaterials (Finland)</w:t>
            </w:r>
          </w:p>
        </w:tc>
      </w:tr>
      <w:tr w:rsidR="00E61F55" w:rsidRPr="00870D13" w:rsidTr="00123D39">
        <w:tc>
          <w:tcPr>
            <w:tcW w:w="1417" w:type="dxa"/>
          </w:tcPr>
          <w:p w:rsidR="00E61F55" w:rsidRPr="00870D13" w:rsidRDefault="00E61F55" w:rsidP="00E61F55">
            <w:pPr>
              <w:tabs>
                <w:tab w:val="left" w:pos="567"/>
                <w:tab w:val="left" w:pos="1134"/>
              </w:tabs>
              <w:spacing w:before="20" w:after="20"/>
              <w:ind w:left="-51" w:right="23"/>
            </w:pPr>
            <w:r>
              <w:t>INF.12</w:t>
            </w:r>
          </w:p>
        </w:tc>
        <w:tc>
          <w:tcPr>
            <w:tcW w:w="567" w:type="dxa"/>
          </w:tcPr>
          <w:p w:rsidR="00E61F55" w:rsidRPr="00870D13" w:rsidRDefault="00C9663B" w:rsidP="00E61F55">
            <w:pPr>
              <w:tabs>
                <w:tab w:val="left" w:pos="567"/>
                <w:tab w:val="left" w:pos="1134"/>
              </w:tabs>
              <w:spacing w:before="20" w:after="20"/>
              <w:ind w:left="-51" w:right="23"/>
              <w:jc w:val="center"/>
            </w:pPr>
            <w:r>
              <w:t>3(b)</w:t>
            </w:r>
          </w:p>
        </w:tc>
        <w:tc>
          <w:tcPr>
            <w:tcW w:w="7229" w:type="dxa"/>
          </w:tcPr>
          <w:p w:rsidR="00E61F55" w:rsidRPr="00123D39" w:rsidRDefault="00C9663B" w:rsidP="00E61F55">
            <w:pPr>
              <w:tabs>
                <w:tab w:val="left" w:pos="567"/>
                <w:tab w:val="left" w:pos="1134"/>
              </w:tabs>
              <w:spacing w:before="20" w:after="20"/>
              <w:ind w:left="-51" w:right="23"/>
            </w:pPr>
            <w:r w:rsidRPr="00123D39">
              <w:t>Proposed corrections to the French version of H410, H411 and H412 (Secretariat)</w:t>
            </w:r>
          </w:p>
        </w:tc>
      </w:tr>
      <w:tr w:rsidR="00E61F55" w:rsidRPr="00EA2D43" w:rsidTr="00123D39">
        <w:tc>
          <w:tcPr>
            <w:tcW w:w="1417" w:type="dxa"/>
          </w:tcPr>
          <w:p w:rsidR="00E61F55" w:rsidRPr="00870D13" w:rsidRDefault="00E61F55" w:rsidP="00E61F55">
            <w:pPr>
              <w:tabs>
                <w:tab w:val="left" w:pos="567"/>
                <w:tab w:val="left" w:pos="1134"/>
              </w:tabs>
              <w:spacing w:before="20" w:after="20"/>
              <w:ind w:left="-51" w:right="23"/>
            </w:pPr>
            <w:r>
              <w:t>INF.13</w:t>
            </w:r>
          </w:p>
        </w:tc>
        <w:tc>
          <w:tcPr>
            <w:tcW w:w="567" w:type="dxa"/>
          </w:tcPr>
          <w:p w:rsidR="00E61F55" w:rsidRPr="00870D13" w:rsidRDefault="00927FFB" w:rsidP="00E61F55">
            <w:pPr>
              <w:tabs>
                <w:tab w:val="left" w:pos="567"/>
                <w:tab w:val="left" w:pos="1134"/>
              </w:tabs>
              <w:spacing w:before="20" w:after="20"/>
              <w:ind w:left="-51" w:right="23"/>
              <w:jc w:val="center"/>
            </w:pPr>
            <w:r>
              <w:t>2(d)</w:t>
            </w:r>
          </w:p>
        </w:tc>
        <w:tc>
          <w:tcPr>
            <w:tcW w:w="7229" w:type="dxa"/>
          </w:tcPr>
          <w:p w:rsidR="00E61F55" w:rsidRPr="00123D39" w:rsidRDefault="00927FFB" w:rsidP="00E61F55">
            <w:pPr>
              <w:tabs>
                <w:tab w:val="left" w:pos="567"/>
                <w:tab w:val="left" w:pos="1134"/>
              </w:tabs>
              <w:spacing w:before="20" w:after="20"/>
              <w:ind w:left="-51" w:right="23"/>
            </w:pPr>
            <w:r w:rsidRPr="00123D39">
              <w:t>Thought starter on GHS cut off value/concentration limit for mixtures classification as serious eye damage: Review of science (USA)</w:t>
            </w:r>
          </w:p>
        </w:tc>
      </w:tr>
      <w:tr w:rsidR="00E61F55" w:rsidRPr="00EA2D43" w:rsidTr="00123D39">
        <w:tc>
          <w:tcPr>
            <w:tcW w:w="1417" w:type="dxa"/>
          </w:tcPr>
          <w:p w:rsidR="00E61F55" w:rsidRDefault="00E61F55" w:rsidP="00E61F55">
            <w:pPr>
              <w:tabs>
                <w:tab w:val="left" w:pos="567"/>
                <w:tab w:val="left" w:pos="1134"/>
              </w:tabs>
              <w:spacing w:before="20" w:after="20"/>
              <w:ind w:left="-51" w:right="23"/>
            </w:pPr>
            <w:r>
              <w:t>INF.14</w:t>
            </w:r>
          </w:p>
        </w:tc>
        <w:tc>
          <w:tcPr>
            <w:tcW w:w="567" w:type="dxa"/>
          </w:tcPr>
          <w:p w:rsidR="00E61F55" w:rsidRDefault="00A972A2" w:rsidP="00E61F55">
            <w:pPr>
              <w:tabs>
                <w:tab w:val="left" w:pos="567"/>
                <w:tab w:val="left" w:pos="1134"/>
              </w:tabs>
              <w:spacing w:before="20" w:after="20"/>
              <w:ind w:left="-51" w:right="23"/>
              <w:jc w:val="center"/>
            </w:pPr>
            <w:r>
              <w:t>2(b)</w:t>
            </w:r>
          </w:p>
        </w:tc>
        <w:tc>
          <w:tcPr>
            <w:tcW w:w="7229" w:type="dxa"/>
          </w:tcPr>
          <w:p w:rsidR="00E61F55" w:rsidRPr="00123D39" w:rsidRDefault="00A972A2" w:rsidP="00E61F55">
            <w:pPr>
              <w:tabs>
                <w:tab w:val="left" w:pos="567"/>
                <w:tab w:val="left" w:pos="1134"/>
              </w:tabs>
              <w:spacing w:before="20" w:after="20"/>
              <w:ind w:left="-51" w:right="23"/>
            </w:pPr>
            <w:r w:rsidRPr="00123D39">
              <w:t>Clarifications to the scope of the class of explosives (SAAMI)</w:t>
            </w:r>
          </w:p>
        </w:tc>
      </w:tr>
      <w:tr w:rsidR="003E2A39" w:rsidRPr="00EA2D43" w:rsidTr="00123D39">
        <w:tc>
          <w:tcPr>
            <w:tcW w:w="1417" w:type="dxa"/>
          </w:tcPr>
          <w:p w:rsidR="003E2A39" w:rsidRDefault="003E2A39" w:rsidP="00E61F55">
            <w:pPr>
              <w:tabs>
                <w:tab w:val="left" w:pos="567"/>
                <w:tab w:val="left" w:pos="1134"/>
              </w:tabs>
              <w:spacing w:before="20" w:after="20"/>
              <w:ind w:left="-51" w:right="23"/>
            </w:pPr>
            <w:r>
              <w:t>INF.15</w:t>
            </w:r>
          </w:p>
        </w:tc>
        <w:tc>
          <w:tcPr>
            <w:tcW w:w="567" w:type="dxa"/>
          </w:tcPr>
          <w:p w:rsidR="003E2A39" w:rsidRDefault="003E2A39" w:rsidP="00E61F55">
            <w:pPr>
              <w:tabs>
                <w:tab w:val="left" w:pos="567"/>
                <w:tab w:val="left" w:pos="1134"/>
              </w:tabs>
              <w:spacing w:before="20" w:after="20"/>
              <w:ind w:left="-51" w:right="23"/>
              <w:jc w:val="center"/>
            </w:pPr>
            <w:r>
              <w:t>4(b)</w:t>
            </w:r>
          </w:p>
        </w:tc>
        <w:tc>
          <w:tcPr>
            <w:tcW w:w="7229" w:type="dxa"/>
          </w:tcPr>
          <w:p w:rsidR="003E2A39" w:rsidRPr="00123D39" w:rsidRDefault="003E2A39" w:rsidP="00E61F55">
            <w:pPr>
              <w:tabs>
                <w:tab w:val="left" w:pos="567"/>
                <w:tab w:val="left" w:pos="1134"/>
              </w:tabs>
              <w:spacing w:before="20" w:after="20"/>
              <w:ind w:left="-51" w:right="23"/>
            </w:pPr>
            <w:r>
              <w:t>Information of the status of implementation of the GHS</w:t>
            </w:r>
            <w:r w:rsidR="009A23DA">
              <w:t xml:space="preserve"> (CEFIC)</w:t>
            </w:r>
          </w:p>
        </w:tc>
      </w:tr>
      <w:tr w:rsidR="003E2A39" w:rsidRPr="00EA2D43" w:rsidTr="00123D39">
        <w:tc>
          <w:tcPr>
            <w:tcW w:w="1417" w:type="dxa"/>
          </w:tcPr>
          <w:p w:rsidR="003E2A39" w:rsidRDefault="003E2A39" w:rsidP="00E61F55">
            <w:pPr>
              <w:tabs>
                <w:tab w:val="left" w:pos="567"/>
                <w:tab w:val="left" w:pos="1134"/>
              </w:tabs>
              <w:spacing w:before="20" w:after="20"/>
              <w:ind w:left="-51" w:right="23"/>
            </w:pPr>
            <w:r>
              <w:t>INF.16</w:t>
            </w:r>
          </w:p>
        </w:tc>
        <w:tc>
          <w:tcPr>
            <w:tcW w:w="567" w:type="dxa"/>
          </w:tcPr>
          <w:p w:rsidR="003E2A39" w:rsidRDefault="003E2A39" w:rsidP="00E61F55">
            <w:pPr>
              <w:tabs>
                <w:tab w:val="left" w:pos="567"/>
                <w:tab w:val="left" w:pos="1134"/>
              </w:tabs>
              <w:spacing w:before="20" w:after="20"/>
              <w:ind w:left="-51" w:right="23"/>
              <w:jc w:val="center"/>
            </w:pPr>
            <w:r>
              <w:t>2(a)</w:t>
            </w:r>
          </w:p>
        </w:tc>
        <w:tc>
          <w:tcPr>
            <w:tcW w:w="7229" w:type="dxa"/>
          </w:tcPr>
          <w:p w:rsidR="003E2A39" w:rsidRPr="00123D39" w:rsidRDefault="003E2A39" w:rsidP="00E61F55">
            <w:pPr>
              <w:tabs>
                <w:tab w:val="left" w:pos="567"/>
                <w:tab w:val="left" w:pos="1134"/>
              </w:tabs>
              <w:spacing w:before="20" w:after="20"/>
              <w:ind w:left="-51" w:right="23"/>
            </w:pPr>
            <w:r>
              <w:t>Tests for oxidizing liquids and oxidizing solids improvement regarding consideration for particle size, friable or coated materials</w:t>
            </w:r>
            <w:r w:rsidR="009A23DA">
              <w:t xml:space="preserve"> (France)</w:t>
            </w:r>
          </w:p>
        </w:tc>
      </w:tr>
      <w:tr w:rsidR="003E2A39" w:rsidRPr="00EA2D43" w:rsidTr="00123D39">
        <w:tc>
          <w:tcPr>
            <w:tcW w:w="1417" w:type="dxa"/>
          </w:tcPr>
          <w:p w:rsidR="003E2A39" w:rsidRDefault="003E2A39" w:rsidP="00E61F55">
            <w:pPr>
              <w:tabs>
                <w:tab w:val="left" w:pos="567"/>
                <w:tab w:val="left" w:pos="1134"/>
              </w:tabs>
              <w:spacing w:before="20" w:after="20"/>
              <w:ind w:left="-51" w:right="23"/>
            </w:pPr>
            <w:r>
              <w:t>INF.17</w:t>
            </w:r>
          </w:p>
        </w:tc>
        <w:tc>
          <w:tcPr>
            <w:tcW w:w="567" w:type="dxa"/>
          </w:tcPr>
          <w:p w:rsidR="003E2A39" w:rsidRDefault="003E2A39" w:rsidP="00E61F55">
            <w:pPr>
              <w:tabs>
                <w:tab w:val="left" w:pos="567"/>
                <w:tab w:val="left" w:pos="1134"/>
              </w:tabs>
              <w:spacing w:before="20" w:after="20"/>
              <w:ind w:left="-51" w:right="23"/>
              <w:jc w:val="center"/>
            </w:pPr>
            <w:r>
              <w:t>2(c)</w:t>
            </w:r>
          </w:p>
        </w:tc>
        <w:tc>
          <w:tcPr>
            <w:tcW w:w="7229" w:type="dxa"/>
          </w:tcPr>
          <w:p w:rsidR="003E2A39" w:rsidRPr="00123D39" w:rsidRDefault="003E2A39" w:rsidP="00E61F55">
            <w:pPr>
              <w:tabs>
                <w:tab w:val="left" w:pos="567"/>
                <w:tab w:val="left" w:pos="1134"/>
              </w:tabs>
              <w:spacing w:before="20" w:after="20"/>
              <w:ind w:left="-51" w:right="23"/>
            </w:pPr>
            <w:r>
              <w:t>Use of non-animal testing methods for classification of health hazards: status report</w:t>
            </w:r>
            <w:r w:rsidR="009A23DA">
              <w:t xml:space="preserve"> (UK, Netherlands)</w:t>
            </w:r>
          </w:p>
        </w:tc>
      </w:tr>
      <w:tr w:rsidR="003E2A39" w:rsidRPr="00EA2D43" w:rsidTr="00123D39">
        <w:tc>
          <w:tcPr>
            <w:tcW w:w="1417" w:type="dxa"/>
          </w:tcPr>
          <w:p w:rsidR="003E2A39" w:rsidRDefault="003E2A39" w:rsidP="00E61F55">
            <w:pPr>
              <w:tabs>
                <w:tab w:val="left" w:pos="567"/>
                <w:tab w:val="left" w:pos="1134"/>
              </w:tabs>
              <w:spacing w:before="20" w:after="20"/>
              <w:ind w:left="-51" w:right="23"/>
            </w:pPr>
            <w:r>
              <w:t>INF.18</w:t>
            </w:r>
          </w:p>
        </w:tc>
        <w:tc>
          <w:tcPr>
            <w:tcW w:w="567" w:type="dxa"/>
          </w:tcPr>
          <w:p w:rsidR="003E2A39" w:rsidRDefault="003E2A39" w:rsidP="00E61F55">
            <w:pPr>
              <w:tabs>
                <w:tab w:val="left" w:pos="567"/>
                <w:tab w:val="left" w:pos="1134"/>
              </w:tabs>
              <w:spacing w:before="20" w:after="20"/>
              <w:ind w:left="-51" w:right="23"/>
              <w:jc w:val="center"/>
            </w:pPr>
            <w:r>
              <w:t>2(b)</w:t>
            </w:r>
          </w:p>
        </w:tc>
        <w:tc>
          <w:tcPr>
            <w:tcW w:w="7229" w:type="dxa"/>
          </w:tcPr>
          <w:p w:rsidR="003E2A39" w:rsidRPr="00123D39" w:rsidRDefault="003E2A39" w:rsidP="00E61F55">
            <w:pPr>
              <w:tabs>
                <w:tab w:val="left" w:pos="567"/>
                <w:tab w:val="left" w:pos="1134"/>
              </w:tabs>
              <w:spacing w:before="20" w:after="20"/>
              <w:ind w:left="-51" w:right="23"/>
            </w:pPr>
            <w:r>
              <w:t>Hazard communication in GHS Chapter 2.1</w:t>
            </w:r>
            <w:r w:rsidR="009A23DA">
              <w:t xml:space="preserve"> (USA, IME, SAAMI) </w:t>
            </w:r>
          </w:p>
        </w:tc>
      </w:tr>
      <w:tr w:rsidR="003E2A39" w:rsidRPr="00EA2D43" w:rsidTr="00123D39">
        <w:tc>
          <w:tcPr>
            <w:tcW w:w="1417" w:type="dxa"/>
          </w:tcPr>
          <w:p w:rsidR="003E2A39" w:rsidRDefault="003E2A39" w:rsidP="00E61F55">
            <w:pPr>
              <w:tabs>
                <w:tab w:val="left" w:pos="567"/>
                <w:tab w:val="left" w:pos="1134"/>
              </w:tabs>
              <w:spacing w:before="20" w:after="20"/>
              <w:ind w:left="-51" w:right="23"/>
            </w:pPr>
            <w:r>
              <w:t>INF.19</w:t>
            </w:r>
          </w:p>
        </w:tc>
        <w:tc>
          <w:tcPr>
            <w:tcW w:w="567" w:type="dxa"/>
          </w:tcPr>
          <w:p w:rsidR="003E2A39" w:rsidRDefault="003E2A39" w:rsidP="00E61F55">
            <w:pPr>
              <w:tabs>
                <w:tab w:val="left" w:pos="567"/>
                <w:tab w:val="left" w:pos="1134"/>
              </w:tabs>
              <w:spacing w:before="20" w:after="20"/>
              <w:ind w:left="-51" w:right="23"/>
              <w:jc w:val="center"/>
            </w:pPr>
            <w:r>
              <w:t>4(c)</w:t>
            </w:r>
          </w:p>
        </w:tc>
        <w:tc>
          <w:tcPr>
            <w:tcW w:w="7229" w:type="dxa"/>
          </w:tcPr>
          <w:p w:rsidR="003E2A39" w:rsidRPr="00123D39" w:rsidRDefault="003E2A39" w:rsidP="00E61F55">
            <w:pPr>
              <w:tabs>
                <w:tab w:val="left" w:pos="567"/>
                <w:tab w:val="left" w:pos="1134"/>
              </w:tabs>
              <w:spacing w:before="20" w:after="20"/>
              <w:ind w:left="-51" w:right="23"/>
            </w:pPr>
            <w:r>
              <w:t>Update on the work of expert working group on the review of the annexes I, III et IV and related aspects of Annex IX to the Basel Convention on the control of transboundary movements of hazardous wastes and their disposal</w:t>
            </w:r>
            <w:r w:rsidR="009A23DA">
              <w:t xml:space="preserve"> (</w:t>
            </w:r>
            <w:r w:rsidR="009A23DA">
              <w:rPr>
                <w:lang w:val="en-US" w:eastAsia="fr-CH"/>
              </w:rPr>
              <w:t>Secretariat of the Basel, Rotterdam, and Stockholm Conventions)</w:t>
            </w:r>
          </w:p>
        </w:tc>
      </w:tr>
      <w:tr w:rsidR="003E2A39" w:rsidRPr="00EA2D43" w:rsidTr="00123D39">
        <w:tc>
          <w:tcPr>
            <w:tcW w:w="1417" w:type="dxa"/>
          </w:tcPr>
          <w:p w:rsidR="003E2A39" w:rsidRDefault="003E2A39" w:rsidP="00E61F55">
            <w:pPr>
              <w:tabs>
                <w:tab w:val="left" w:pos="567"/>
                <w:tab w:val="left" w:pos="1134"/>
              </w:tabs>
              <w:spacing w:before="20" w:after="20"/>
              <w:ind w:left="-51" w:right="23"/>
            </w:pPr>
            <w:r>
              <w:t>INF.20</w:t>
            </w:r>
          </w:p>
        </w:tc>
        <w:tc>
          <w:tcPr>
            <w:tcW w:w="567" w:type="dxa"/>
          </w:tcPr>
          <w:p w:rsidR="003E2A39" w:rsidRDefault="003E2A39" w:rsidP="00E61F55">
            <w:pPr>
              <w:tabs>
                <w:tab w:val="left" w:pos="567"/>
                <w:tab w:val="left" w:pos="1134"/>
              </w:tabs>
              <w:spacing w:before="20" w:after="20"/>
              <w:ind w:left="-51" w:right="23"/>
              <w:jc w:val="center"/>
            </w:pPr>
            <w:r>
              <w:t>4(c)</w:t>
            </w:r>
          </w:p>
        </w:tc>
        <w:tc>
          <w:tcPr>
            <w:tcW w:w="7229" w:type="dxa"/>
          </w:tcPr>
          <w:p w:rsidR="003E2A39" w:rsidRPr="00123D39" w:rsidRDefault="003E2A39" w:rsidP="00E61F55">
            <w:pPr>
              <w:tabs>
                <w:tab w:val="left" w:pos="567"/>
                <w:tab w:val="left" w:pos="1134"/>
              </w:tabs>
              <w:spacing w:before="20" w:after="20"/>
              <w:ind w:left="-51" w:right="23"/>
            </w:pPr>
            <w:r>
              <w:t>Report of the second meeting of the expert working group on the review of annexes (Buenos Aires, Argentina, 10-13 December 2018)</w:t>
            </w:r>
            <w:r w:rsidR="009A23DA">
              <w:t xml:space="preserve"> (</w:t>
            </w:r>
            <w:r w:rsidR="009A23DA">
              <w:rPr>
                <w:lang w:val="en-US" w:eastAsia="fr-CH"/>
              </w:rPr>
              <w:t>Secretariat of the Basel, Rotterdam, and Stockholm Conventions</w:t>
            </w:r>
          </w:p>
        </w:tc>
      </w:tr>
      <w:tr w:rsidR="009A23DA" w:rsidRPr="00EA2D43" w:rsidTr="00123D39">
        <w:tc>
          <w:tcPr>
            <w:tcW w:w="1417" w:type="dxa"/>
          </w:tcPr>
          <w:p w:rsidR="009A23DA" w:rsidRDefault="009A23DA" w:rsidP="00E61F55">
            <w:pPr>
              <w:tabs>
                <w:tab w:val="left" w:pos="567"/>
                <w:tab w:val="left" w:pos="1134"/>
              </w:tabs>
              <w:spacing w:before="20" w:after="20"/>
              <w:ind w:left="-51" w:right="23"/>
            </w:pPr>
            <w:r>
              <w:lastRenderedPageBreak/>
              <w:t xml:space="preserve">INF.21 </w:t>
            </w:r>
          </w:p>
        </w:tc>
        <w:tc>
          <w:tcPr>
            <w:tcW w:w="567" w:type="dxa"/>
          </w:tcPr>
          <w:p w:rsidR="009A23DA" w:rsidRDefault="009A23DA" w:rsidP="00E61F55">
            <w:pPr>
              <w:tabs>
                <w:tab w:val="left" w:pos="567"/>
                <w:tab w:val="left" w:pos="1134"/>
              </w:tabs>
              <w:spacing w:before="20" w:after="20"/>
              <w:ind w:left="-51" w:right="23"/>
              <w:jc w:val="center"/>
            </w:pPr>
            <w:r>
              <w:t>2(b)</w:t>
            </w:r>
          </w:p>
        </w:tc>
        <w:tc>
          <w:tcPr>
            <w:tcW w:w="7229" w:type="dxa"/>
          </w:tcPr>
          <w:p w:rsidR="009A23DA" w:rsidRPr="009A23DA" w:rsidRDefault="009A23DA" w:rsidP="00E61F55">
            <w:pPr>
              <w:tabs>
                <w:tab w:val="left" w:pos="567"/>
                <w:tab w:val="left" w:pos="1134"/>
              </w:tabs>
              <w:spacing w:before="20" w:after="20"/>
              <w:ind w:left="-51" w:right="23"/>
            </w:pPr>
            <w:r w:rsidRPr="009A23DA">
              <w:rPr>
                <w:rFonts w:eastAsia="MS Mincho"/>
                <w:lang w:eastAsia="ja-JP"/>
              </w:rPr>
              <w:t>Working Group on Explosives and the Informal Correspondence Group on the review of GHS Chapter 2.1</w:t>
            </w:r>
            <w:r>
              <w:rPr>
                <w:rFonts w:eastAsia="MS Mincho"/>
                <w:lang w:eastAsia="ja-JP"/>
              </w:rPr>
              <w:t xml:space="preserve"> (Sweden)</w:t>
            </w:r>
          </w:p>
        </w:tc>
      </w:tr>
      <w:tr w:rsidR="003E2A39" w:rsidRPr="00EA2D43" w:rsidTr="00123D39">
        <w:tc>
          <w:tcPr>
            <w:tcW w:w="1417" w:type="dxa"/>
          </w:tcPr>
          <w:p w:rsidR="003E2A39" w:rsidRDefault="00E259FD" w:rsidP="00E61F55">
            <w:pPr>
              <w:tabs>
                <w:tab w:val="left" w:pos="567"/>
                <w:tab w:val="left" w:pos="1134"/>
              </w:tabs>
              <w:spacing w:before="20" w:after="20"/>
              <w:ind w:left="-51" w:right="23"/>
            </w:pPr>
            <w:r>
              <w:t>INF.22</w:t>
            </w:r>
          </w:p>
        </w:tc>
        <w:tc>
          <w:tcPr>
            <w:tcW w:w="567" w:type="dxa"/>
          </w:tcPr>
          <w:p w:rsidR="003E2A39" w:rsidRDefault="00E259FD" w:rsidP="00E61F55">
            <w:pPr>
              <w:tabs>
                <w:tab w:val="left" w:pos="567"/>
                <w:tab w:val="left" w:pos="1134"/>
              </w:tabs>
              <w:spacing w:before="20" w:after="20"/>
              <w:ind w:left="-51" w:right="23"/>
              <w:jc w:val="center"/>
            </w:pPr>
            <w:r>
              <w:t>4(b)</w:t>
            </w:r>
          </w:p>
        </w:tc>
        <w:tc>
          <w:tcPr>
            <w:tcW w:w="7229" w:type="dxa"/>
          </w:tcPr>
          <w:p w:rsidR="003E2A39" w:rsidRPr="00123D39" w:rsidRDefault="00E259FD" w:rsidP="00E61F55">
            <w:pPr>
              <w:tabs>
                <w:tab w:val="left" w:pos="567"/>
                <w:tab w:val="left" w:pos="1134"/>
              </w:tabs>
              <w:spacing w:before="20" w:after="20"/>
              <w:ind w:left="-51" w:right="23"/>
            </w:pPr>
            <w:r>
              <w:t>Updates on the Technical regulation of the Eurasian Economic Union (EAEU) “On the Safety of Chemical Products”</w:t>
            </w:r>
            <w:bookmarkStart w:id="0" w:name="_GoBack"/>
            <w:bookmarkEnd w:id="0"/>
          </w:p>
        </w:tc>
      </w:tr>
    </w:tbl>
    <w:p w:rsidR="00D45103" w:rsidRPr="002F4558" w:rsidRDefault="002F4558" w:rsidP="002F4558">
      <w:pPr>
        <w:spacing w:before="240"/>
        <w:jc w:val="center"/>
        <w:rPr>
          <w:u w:val="single"/>
          <w:lang w:val="en-AU" w:eastAsia="en-AU"/>
        </w:rPr>
      </w:pPr>
      <w:r>
        <w:rPr>
          <w:u w:val="single"/>
          <w:lang w:val="en-AU" w:eastAsia="en-AU"/>
        </w:rPr>
        <w:tab/>
      </w:r>
      <w:r>
        <w:rPr>
          <w:u w:val="single"/>
          <w:lang w:val="en-AU" w:eastAsia="en-AU"/>
        </w:rPr>
        <w:tab/>
      </w:r>
      <w:r>
        <w:rPr>
          <w:u w:val="single"/>
          <w:lang w:val="en-AU" w:eastAsia="en-AU"/>
        </w:rPr>
        <w:tab/>
      </w:r>
    </w:p>
    <w:sectPr w:rsidR="00D45103" w:rsidRPr="002F4558" w:rsidSect="0099001C">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F33" w:rsidRDefault="00002F33"/>
  </w:endnote>
  <w:endnote w:type="continuationSeparator" w:id="0">
    <w:p w:rsidR="00002F33" w:rsidRDefault="00002F33"/>
  </w:endnote>
  <w:endnote w:type="continuationNotice" w:id="1">
    <w:p w:rsidR="00002F33" w:rsidRDefault="00002F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F9E" w:rsidRDefault="00C07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F33" w:rsidRPr="000B175B" w:rsidRDefault="00002F33" w:rsidP="000B175B">
      <w:pPr>
        <w:tabs>
          <w:tab w:val="right" w:pos="2155"/>
        </w:tabs>
        <w:spacing w:after="80"/>
        <w:ind w:left="680"/>
        <w:rPr>
          <w:u w:val="single"/>
        </w:rPr>
      </w:pPr>
      <w:r>
        <w:rPr>
          <w:u w:val="single"/>
        </w:rPr>
        <w:tab/>
      </w:r>
    </w:p>
  </w:footnote>
  <w:footnote w:type="continuationSeparator" w:id="0">
    <w:p w:rsidR="00002F33" w:rsidRPr="00FC68B7" w:rsidRDefault="00002F33" w:rsidP="00FC68B7">
      <w:pPr>
        <w:tabs>
          <w:tab w:val="left" w:pos="2155"/>
        </w:tabs>
        <w:spacing w:after="80"/>
        <w:ind w:left="680"/>
        <w:rPr>
          <w:u w:val="single"/>
        </w:rPr>
      </w:pPr>
      <w:r>
        <w:rPr>
          <w:u w:val="single"/>
        </w:rPr>
        <w:tab/>
      </w:r>
    </w:p>
  </w:footnote>
  <w:footnote w:type="continuationNotice" w:id="1">
    <w:p w:rsidR="00002F33" w:rsidRDefault="00002F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DC6" w:rsidRPr="0099001C" w:rsidRDefault="006C0DC6" w:rsidP="00366CA7">
    <w:pPr>
      <w:pStyle w:val="Header"/>
    </w:pPr>
    <w:r>
      <w:t>UN/SCE</w:t>
    </w:r>
    <w:r w:rsidR="00F244F1">
      <w:t>GHS</w:t>
    </w:r>
    <w:r>
      <w:t>/</w:t>
    </w:r>
    <w:r w:rsidR="00F244F1">
      <w:t>3</w:t>
    </w:r>
    <w:r w:rsidR="00C07F9E">
      <w:t>7</w:t>
    </w:r>
    <w:r>
      <w:t>/INF.1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DC6" w:rsidRPr="0099001C" w:rsidRDefault="006C0DC6" w:rsidP="0099001C">
    <w:pPr>
      <w:pStyle w:val="Header"/>
      <w:jc w:val="right"/>
    </w:pPr>
    <w:r>
      <w:t>UN/SCEGHS/</w:t>
    </w:r>
    <w:r w:rsidR="0077406B">
      <w:t>3</w:t>
    </w:r>
    <w:r w:rsidR="00C07F9E">
      <w:t>7/</w:t>
    </w:r>
    <w:r>
      <w:t>INF.1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F9E" w:rsidRDefault="00C07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2EFA"/>
    <w:rsid w:val="00002F33"/>
    <w:rsid w:val="0003123C"/>
    <w:rsid w:val="00031CBB"/>
    <w:rsid w:val="00033B3D"/>
    <w:rsid w:val="000448F5"/>
    <w:rsid w:val="00050F6B"/>
    <w:rsid w:val="0005512E"/>
    <w:rsid w:val="00072C8C"/>
    <w:rsid w:val="00076E62"/>
    <w:rsid w:val="00081647"/>
    <w:rsid w:val="00083C33"/>
    <w:rsid w:val="000877CA"/>
    <w:rsid w:val="000931C0"/>
    <w:rsid w:val="00096CD4"/>
    <w:rsid w:val="000A0664"/>
    <w:rsid w:val="000A18E8"/>
    <w:rsid w:val="000A5146"/>
    <w:rsid w:val="000B175B"/>
    <w:rsid w:val="000B3A0F"/>
    <w:rsid w:val="000C6544"/>
    <w:rsid w:val="000D191F"/>
    <w:rsid w:val="000D39F8"/>
    <w:rsid w:val="000D3B0C"/>
    <w:rsid w:val="000E0415"/>
    <w:rsid w:val="000F368C"/>
    <w:rsid w:val="000F6C7B"/>
    <w:rsid w:val="00100A9D"/>
    <w:rsid w:val="001035FB"/>
    <w:rsid w:val="00107042"/>
    <w:rsid w:val="0011098D"/>
    <w:rsid w:val="00110DF6"/>
    <w:rsid w:val="0011793B"/>
    <w:rsid w:val="001220B8"/>
    <w:rsid w:val="00123D39"/>
    <w:rsid w:val="00137D36"/>
    <w:rsid w:val="00156F3C"/>
    <w:rsid w:val="00162BF7"/>
    <w:rsid w:val="00190AEA"/>
    <w:rsid w:val="001B1F42"/>
    <w:rsid w:val="001B4B04"/>
    <w:rsid w:val="001B7FE6"/>
    <w:rsid w:val="001C6663"/>
    <w:rsid w:val="001C7895"/>
    <w:rsid w:val="001D26DF"/>
    <w:rsid w:val="001E47FD"/>
    <w:rsid w:val="001E4C75"/>
    <w:rsid w:val="001E710B"/>
    <w:rsid w:val="00211ADF"/>
    <w:rsid w:val="00211E0B"/>
    <w:rsid w:val="00226D9D"/>
    <w:rsid w:val="002348F4"/>
    <w:rsid w:val="00236E81"/>
    <w:rsid w:val="002405A7"/>
    <w:rsid w:val="0024624B"/>
    <w:rsid w:val="002505DA"/>
    <w:rsid w:val="002570BC"/>
    <w:rsid w:val="00257E45"/>
    <w:rsid w:val="00262488"/>
    <w:rsid w:val="0027313E"/>
    <w:rsid w:val="00275D77"/>
    <w:rsid w:val="00284A54"/>
    <w:rsid w:val="002931D7"/>
    <w:rsid w:val="002A5947"/>
    <w:rsid w:val="002A5A2D"/>
    <w:rsid w:val="002C133E"/>
    <w:rsid w:val="002C710D"/>
    <w:rsid w:val="002D59D3"/>
    <w:rsid w:val="002E0624"/>
    <w:rsid w:val="002E7C49"/>
    <w:rsid w:val="002F1024"/>
    <w:rsid w:val="002F4558"/>
    <w:rsid w:val="00305C3C"/>
    <w:rsid w:val="003107FA"/>
    <w:rsid w:val="003118D4"/>
    <w:rsid w:val="003127A2"/>
    <w:rsid w:val="00321878"/>
    <w:rsid w:val="003229D8"/>
    <w:rsid w:val="00334D85"/>
    <w:rsid w:val="0033745A"/>
    <w:rsid w:val="00337513"/>
    <w:rsid w:val="003443E5"/>
    <w:rsid w:val="00350692"/>
    <w:rsid w:val="00353DBA"/>
    <w:rsid w:val="003565E5"/>
    <w:rsid w:val="00366CA7"/>
    <w:rsid w:val="00371853"/>
    <w:rsid w:val="003841B8"/>
    <w:rsid w:val="0038656E"/>
    <w:rsid w:val="0039277A"/>
    <w:rsid w:val="003937A6"/>
    <w:rsid w:val="003972E0"/>
    <w:rsid w:val="003A4B23"/>
    <w:rsid w:val="003B39CC"/>
    <w:rsid w:val="003C2CC4"/>
    <w:rsid w:val="003C32AD"/>
    <w:rsid w:val="003C3936"/>
    <w:rsid w:val="003D02C2"/>
    <w:rsid w:val="003D4B23"/>
    <w:rsid w:val="003D621B"/>
    <w:rsid w:val="003E1216"/>
    <w:rsid w:val="003E1B5B"/>
    <w:rsid w:val="003E2A39"/>
    <w:rsid w:val="003F0752"/>
    <w:rsid w:val="003F18A0"/>
    <w:rsid w:val="003F1ED3"/>
    <w:rsid w:val="003F7973"/>
    <w:rsid w:val="004160C6"/>
    <w:rsid w:val="004230C0"/>
    <w:rsid w:val="00426C9C"/>
    <w:rsid w:val="004325CB"/>
    <w:rsid w:val="00446DE4"/>
    <w:rsid w:val="0045333F"/>
    <w:rsid w:val="00460DD9"/>
    <w:rsid w:val="0048291A"/>
    <w:rsid w:val="004901B7"/>
    <w:rsid w:val="004A41CA"/>
    <w:rsid w:val="004A6C6E"/>
    <w:rsid w:val="004A7239"/>
    <w:rsid w:val="004B6733"/>
    <w:rsid w:val="004D5CB2"/>
    <w:rsid w:val="004D6E91"/>
    <w:rsid w:val="004E478E"/>
    <w:rsid w:val="004E5083"/>
    <w:rsid w:val="004E674C"/>
    <w:rsid w:val="004F4B24"/>
    <w:rsid w:val="004F65C1"/>
    <w:rsid w:val="00503228"/>
    <w:rsid w:val="00505384"/>
    <w:rsid w:val="00516318"/>
    <w:rsid w:val="0052543F"/>
    <w:rsid w:val="00532EF8"/>
    <w:rsid w:val="005356FB"/>
    <w:rsid w:val="00540DD6"/>
    <w:rsid w:val="005420F2"/>
    <w:rsid w:val="005504B6"/>
    <w:rsid w:val="00553222"/>
    <w:rsid w:val="00570364"/>
    <w:rsid w:val="00572B36"/>
    <w:rsid w:val="005777F3"/>
    <w:rsid w:val="00592D34"/>
    <w:rsid w:val="005B1F57"/>
    <w:rsid w:val="005B2C89"/>
    <w:rsid w:val="005B3DB3"/>
    <w:rsid w:val="005C4858"/>
    <w:rsid w:val="005C53DB"/>
    <w:rsid w:val="005D425A"/>
    <w:rsid w:val="005E743D"/>
    <w:rsid w:val="00602FF5"/>
    <w:rsid w:val="00603E59"/>
    <w:rsid w:val="00611FC4"/>
    <w:rsid w:val="006176FB"/>
    <w:rsid w:val="006218CD"/>
    <w:rsid w:val="00623353"/>
    <w:rsid w:val="006241C1"/>
    <w:rsid w:val="00624260"/>
    <w:rsid w:val="00627ED0"/>
    <w:rsid w:val="00634702"/>
    <w:rsid w:val="00640B26"/>
    <w:rsid w:val="00643E18"/>
    <w:rsid w:val="006632CE"/>
    <w:rsid w:val="00665595"/>
    <w:rsid w:val="006666F6"/>
    <w:rsid w:val="00691F20"/>
    <w:rsid w:val="00693543"/>
    <w:rsid w:val="00694E7D"/>
    <w:rsid w:val="006A7392"/>
    <w:rsid w:val="006A7757"/>
    <w:rsid w:val="006C0DC6"/>
    <w:rsid w:val="006C52B9"/>
    <w:rsid w:val="006E564B"/>
    <w:rsid w:val="006E7CEF"/>
    <w:rsid w:val="006F17B5"/>
    <w:rsid w:val="006F2413"/>
    <w:rsid w:val="00702BA6"/>
    <w:rsid w:val="0071349F"/>
    <w:rsid w:val="00717E07"/>
    <w:rsid w:val="00720DEB"/>
    <w:rsid w:val="00720E11"/>
    <w:rsid w:val="00721C1F"/>
    <w:rsid w:val="00725594"/>
    <w:rsid w:val="0072632A"/>
    <w:rsid w:val="0073084C"/>
    <w:rsid w:val="00733AAE"/>
    <w:rsid w:val="00745024"/>
    <w:rsid w:val="00752BD5"/>
    <w:rsid w:val="00754EE1"/>
    <w:rsid w:val="00763C11"/>
    <w:rsid w:val="0077406B"/>
    <w:rsid w:val="007750C3"/>
    <w:rsid w:val="00781A60"/>
    <w:rsid w:val="00787C77"/>
    <w:rsid w:val="00790122"/>
    <w:rsid w:val="007A3FBD"/>
    <w:rsid w:val="007A4977"/>
    <w:rsid w:val="007B6BA5"/>
    <w:rsid w:val="007C3390"/>
    <w:rsid w:val="007C4F4B"/>
    <w:rsid w:val="007F025F"/>
    <w:rsid w:val="007F0B83"/>
    <w:rsid w:val="007F48EF"/>
    <w:rsid w:val="007F4FCD"/>
    <w:rsid w:val="007F6611"/>
    <w:rsid w:val="0081732C"/>
    <w:rsid w:val="008175E9"/>
    <w:rsid w:val="00820370"/>
    <w:rsid w:val="008242D7"/>
    <w:rsid w:val="00826EFF"/>
    <w:rsid w:val="00827E05"/>
    <w:rsid w:val="008311A3"/>
    <w:rsid w:val="00836AF7"/>
    <w:rsid w:val="0086000D"/>
    <w:rsid w:val="00865A21"/>
    <w:rsid w:val="00870D13"/>
    <w:rsid w:val="00871FD5"/>
    <w:rsid w:val="00896186"/>
    <w:rsid w:val="008979B1"/>
    <w:rsid w:val="008A6B25"/>
    <w:rsid w:val="008A6C1B"/>
    <w:rsid w:val="008A6C4F"/>
    <w:rsid w:val="008B6E26"/>
    <w:rsid w:val="008C34B0"/>
    <w:rsid w:val="008E0E46"/>
    <w:rsid w:val="008E4C4C"/>
    <w:rsid w:val="00902BF1"/>
    <w:rsid w:val="00907AD2"/>
    <w:rsid w:val="00911047"/>
    <w:rsid w:val="009134D8"/>
    <w:rsid w:val="00921DF8"/>
    <w:rsid w:val="00927FFB"/>
    <w:rsid w:val="00930308"/>
    <w:rsid w:val="00933D9F"/>
    <w:rsid w:val="0093545E"/>
    <w:rsid w:val="00940847"/>
    <w:rsid w:val="00951778"/>
    <w:rsid w:val="00952BE3"/>
    <w:rsid w:val="009564E3"/>
    <w:rsid w:val="00957AD6"/>
    <w:rsid w:val="009612BF"/>
    <w:rsid w:val="00963CBA"/>
    <w:rsid w:val="009715EE"/>
    <w:rsid w:val="00974146"/>
    <w:rsid w:val="00974A8D"/>
    <w:rsid w:val="00974F4C"/>
    <w:rsid w:val="0098016B"/>
    <w:rsid w:val="00987072"/>
    <w:rsid w:val="0099001C"/>
    <w:rsid w:val="00991261"/>
    <w:rsid w:val="009A0D5F"/>
    <w:rsid w:val="009A23DA"/>
    <w:rsid w:val="009B55EC"/>
    <w:rsid w:val="009B71F3"/>
    <w:rsid w:val="009C31E7"/>
    <w:rsid w:val="009D0EC7"/>
    <w:rsid w:val="009D1B37"/>
    <w:rsid w:val="009E72B5"/>
    <w:rsid w:val="009E7885"/>
    <w:rsid w:val="009F3A17"/>
    <w:rsid w:val="00A103CC"/>
    <w:rsid w:val="00A1427D"/>
    <w:rsid w:val="00A1649D"/>
    <w:rsid w:val="00A3227A"/>
    <w:rsid w:val="00A429E3"/>
    <w:rsid w:val="00A52B4E"/>
    <w:rsid w:val="00A548BF"/>
    <w:rsid w:val="00A55FB2"/>
    <w:rsid w:val="00A665BE"/>
    <w:rsid w:val="00A67424"/>
    <w:rsid w:val="00A70749"/>
    <w:rsid w:val="00A71EC0"/>
    <w:rsid w:val="00A72F22"/>
    <w:rsid w:val="00A748A6"/>
    <w:rsid w:val="00A805EB"/>
    <w:rsid w:val="00A81711"/>
    <w:rsid w:val="00A8577D"/>
    <w:rsid w:val="00A879A4"/>
    <w:rsid w:val="00A91158"/>
    <w:rsid w:val="00A94CB3"/>
    <w:rsid w:val="00A958C8"/>
    <w:rsid w:val="00A972A2"/>
    <w:rsid w:val="00AA332B"/>
    <w:rsid w:val="00AA496B"/>
    <w:rsid w:val="00AB3FD6"/>
    <w:rsid w:val="00AC35ED"/>
    <w:rsid w:val="00B10465"/>
    <w:rsid w:val="00B10CA2"/>
    <w:rsid w:val="00B30179"/>
    <w:rsid w:val="00B33EC0"/>
    <w:rsid w:val="00B5742C"/>
    <w:rsid w:val="00B81E12"/>
    <w:rsid w:val="00B83093"/>
    <w:rsid w:val="00B839A7"/>
    <w:rsid w:val="00B845D6"/>
    <w:rsid w:val="00B85329"/>
    <w:rsid w:val="00B87CF1"/>
    <w:rsid w:val="00B90C56"/>
    <w:rsid w:val="00BA515F"/>
    <w:rsid w:val="00BB6799"/>
    <w:rsid w:val="00BC3830"/>
    <w:rsid w:val="00BC74E9"/>
    <w:rsid w:val="00BD2146"/>
    <w:rsid w:val="00BE4F74"/>
    <w:rsid w:val="00BE6017"/>
    <w:rsid w:val="00BE618E"/>
    <w:rsid w:val="00C07F9E"/>
    <w:rsid w:val="00C127CB"/>
    <w:rsid w:val="00C17699"/>
    <w:rsid w:val="00C1778D"/>
    <w:rsid w:val="00C25DDD"/>
    <w:rsid w:val="00C37443"/>
    <w:rsid w:val="00C41A28"/>
    <w:rsid w:val="00C463DD"/>
    <w:rsid w:val="00C505B2"/>
    <w:rsid w:val="00C527B3"/>
    <w:rsid w:val="00C564FA"/>
    <w:rsid w:val="00C67B25"/>
    <w:rsid w:val="00C745C3"/>
    <w:rsid w:val="00C9663B"/>
    <w:rsid w:val="00CA1321"/>
    <w:rsid w:val="00CA797A"/>
    <w:rsid w:val="00CB1281"/>
    <w:rsid w:val="00CE4A8F"/>
    <w:rsid w:val="00CF2FA9"/>
    <w:rsid w:val="00D1722D"/>
    <w:rsid w:val="00D2031B"/>
    <w:rsid w:val="00D24347"/>
    <w:rsid w:val="00D25FE2"/>
    <w:rsid w:val="00D279BB"/>
    <w:rsid w:val="00D317BB"/>
    <w:rsid w:val="00D3192B"/>
    <w:rsid w:val="00D31A35"/>
    <w:rsid w:val="00D35D8F"/>
    <w:rsid w:val="00D43252"/>
    <w:rsid w:val="00D45103"/>
    <w:rsid w:val="00D63AF3"/>
    <w:rsid w:val="00D74E9A"/>
    <w:rsid w:val="00D81A2B"/>
    <w:rsid w:val="00D978C6"/>
    <w:rsid w:val="00DA3054"/>
    <w:rsid w:val="00DA67AD"/>
    <w:rsid w:val="00DB5D0F"/>
    <w:rsid w:val="00DC3156"/>
    <w:rsid w:val="00DC3242"/>
    <w:rsid w:val="00DD5F36"/>
    <w:rsid w:val="00DD6DB6"/>
    <w:rsid w:val="00DE057D"/>
    <w:rsid w:val="00DF0A29"/>
    <w:rsid w:val="00DF12F7"/>
    <w:rsid w:val="00DF2C64"/>
    <w:rsid w:val="00DF6813"/>
    <w:rsid w:val="00E027C0"/>
    <w:rsid w:val="00E02BA9"/>
    <w:rsid w:val="00E02C81"/>
    <w:rsid w:val="00E06EAB"/>
    <w:rsid w:val="00E07263"/>
    <w:rsid w:val="00E130AB"/>
    <w:rsid w:val="00E259FD"/>
    <w:rsid w:val="00E26913"/>
    <w:rsid w:val="00E329E0"/>
    <w:rsid w:val="00E61F55"/>
    <w:rsid w:val="00E64376"/>
    <w:rsid w:val="00E7260F"/>
    <w:rsid w:val="00E80F5F"/>
    <w:rsid w:val="00E828B8"/>
    <w:rsid w:val="00E87921"/>
    <w:rsid w:val="00E96630"/>
    <w:rsid w:val="00E97F8A"/>
    <w:rsid w:val="00EA264E"/>
    <w:rsid w:val="00EA2D43"/>
    <w:rsid w:val="00EA3A41"/>
    <w:rsid w:val="00EB430E"/>
    <w:rsid w:val="00EC0D2D"/>
    <w:rsid w:val="00EC3AE0"/>
    <w:rsid w:val="00EC5C86"/>
    <w:rsid w:val="00ED5C86"/>
    <w:rsid w:val="00ED7A2A"/>
    <w:rsid w:val="00EF0A24"/>
    <w:rsid w:val="00EF1D7F"/>
    <w:rsid w:val="00EF3A31"/>
    <w:rsid w:val="00F05659"/>
    <w:rsid w:val="00F17440"/>
    <w:rsid w:val="00F23051"/>
    <w:rsid w:val="00F244F1"/>
    <w:rsid w:val="00F429EB"/>
    <w:rsid w:val="00F53EDA"/>
    <w:rsid w:val="00F618D8"/>
    <w:rsid w:val="00F7753D"/>
    <w:rsid w:val="00F85F34"/>
    <w:rsid w:val="00F96ABA"/>
    <w:rsid w:val="00FA06F7"/>
    <w:rsid w:val="00FA3A6F"/>
    <w:rsid w:val="00FB09F9"/>
    <w:rsid w:val="00FB171A"/>
    <w:rsid w:val="00FB48D5"/>
    <w:rsid w:val="00FC68B7"/>
    <w:rsid w:val="00FD4F7E"/>
    <w:rsid w:val="00FD7BF6"/>
    <w:rsid w:val="00FE57F9"/>
    <w:rsid w:val="00FF0A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027992D4"/>
  <w15:docId w15:val="{21AFF420-BFB2-4A33-A6DB-D0A1E655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1570575683">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A4C4F-8883-4E9A-AC0E-5567D2DB6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131</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Alibech Mireles Diaz</cp:lastModifiedBy>
  <cp:revision>17</cp:revision>
  <cp:lastPrinted>2019-06-14T13:25:00Z</cp:lastPrinted>
  <dcterms:created xsi:type="dcterms:W3CDTF">2019-03-29T10:00:00Z</dcterms:created>
  <dcterms:modified xsi:type="dcterms:W3CDTF">2019-07-05T13:15:00Z</dcterms:modified>
</cp:coreProperties>
</file>