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BA540C2" w14:textId="77777777" w:rsidTr="006476E1">
        <w:trPr>
          <w:trHeight w:val="851"/>
        </w:trPr>
        <w:tc>
          <w:tcPr>
            <w:tcW w:w="1259" w:type="dxa"/>
            <w:tcBorders>
              <w:top w:val="nil"/>
              <w:left w:val="nil"/>
              <w:bottom w:val="single" w:sz="4" w:space="0" w:color="auto"/>
              <w:right w:val="nil"/>
            </w:tcBorders>
          </w:tcPr>
          <w:p w14:paraId="71930C16" w14:textId="77777777" w:rsidR="00E52109" w:rsidRPr="002A32CB" w:rsidRDefault="00E52109" w:rsidP="004858F5"/>
        </w:tc>
        <w:tc>
          <w:tcPr>
            <w:tcW w:w="2236" w:type="dxa"/>
            <w:tcBorders>
              <w:top w:val="nil"/>
              <w:left w:val="nil"/>
              <w:bottom w:val="single" w:sz="4" w:space="0" w:color="auto"/>
              <w:right w:val="nil"/>
            </w:tcBorders>
            <w:vAlign w:val="bottom"/>
          </w:tcPr>
          <w:p w14:paraId="3143ABCB"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C2251B5" w14:textId="77777777" w:rsidR="00E52109" w:rsidRDefault="00D0321B" w:rsidP="00D0321B">
            <w:pPr>
              <w:suppressAutoHyphens w:val="0"/>
              <w:jc w:val="right"/>
            </w:pPr>
            <w:r w:rsidRPr="00D0321B">
              <w:rPr>
                <w:sz w:val="40"/>
              </w:rPr>
              <w:t>ST</w:t>
            </w:r>
            <w:r>
              <w:t>/SG/AC.10/C.4/2019/9</w:t>
            </w:r>
          </w:p>
        </w:tc>
      </w:tr>
      <w:tr w:rsidR="00E52109" w14:paraId="3B3E61B5" w14:textId="77777777" w:rsidTr="006476E1">
        <w:trPr>
          <w:trHeight w:val="2835"/>
        </w:trPr>
        <w:tc>
          <w:tcPr>
            <w:tcW w:w="1259" w:type="dxa"/>
            <w:tcBorders>
              <w:top w:val="single" w:sz="4" w:space="0" w:color="auto"/>
              <w:left w:val="nil"/>
              <w:bottom w:val="single" w:sz="12" w:space="0" w:color="auto"/>
              <w:right w:val="nil"/>
            </w:tcBorders>
          </w:tcPr>
          <w:p w14:paraId="2DB20834" w14:textId="77777777" w:rsidR="00E52109" w:rsidRDefault="00E52109" w:rsidP="006476E1">
            <w:pPr>
              <w:spacing w:before="120"/>
              <w:jc w:val="center"/>
            </w:pPr>
            <w:r>
              <w:rPr>
                <w:noProof/>
                <w:lang w:val="fr-CH" w:eastAsia="fr-CH"/>
              </w:rPr>
              <w:drawing>
                <wp:inline distT="0" distB="0" distL="0" distR="0" wp14:anchorId="3293EF75" wp14:editId="705621B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F16F6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64CC62C" w14:textId="77777777" w:rsidR="00D94B05" w:rsidRPr="000969B2" w:rsidRDefault="00D0321B" w:rsidP="00D0321B">
            <w:pPr>
              <w:suppressAutoHyphens w:val="0"/>
              <w:spacing w:before="240" w:line="240" w:lineRule="exact"/>
            </w:pPr>
            <w:r w:rsidRPr="000969B2">
              <w:t>Distr.: General</w:t>
            </w:r>
          </w:p>
          <w:p w14:paraId="0A5B5F74" w14:textId="77777777" w:rsidR="00D0321B" w:rsidRPr="000969B2" w:rsidRDefault="008D42E6" w:rsidP="00D0321B">
            <w:pPr>
              <w:suppressAutoHyphens w:val="0"/>
              <w:spacing w:line="240" w:lineRule="exact"/>
            </w:pPr>
            <w:r>
              <w:t>1</w:t>
            </w:r>
            <w:r w:rsidR="00C14410">
              <w:t>3</w:t>
            </w:r>
            <w:bookmarkStart w:id="0" w:name="_GoBack"/>
            <w:bookmarkEnd w:id="0"/>
            <w:r w:rsidR="000969B2" w:rsidRPr="000969B2">
              <w:t xml:space="preserve"> September</w:t>
            </w:r>
            <w:r w:rsidR="00D0321B" w:rsidRPr="000969B2">
              <w:t xml:space="preserve"> 2019</w:t>
            </w:r>
          </w:p>
          <w:p w14:paraId="6E6993F8" w14:textId="77777777" w:rsidR="00D0321B" w:rsidRPr="000969B2" w:rsidRDefault="00D0321B" w:rsidP="00D0321B">
            <w:pPr>
              <w:suppressAutoHyphens w:val="0"/>
              <w:spacing w:line="240" w:lineRule="exact"/>
            </w:pPr>
          </w:p>
          <w:p w14:paraId="635E7F16" w14:textId="77777777" w:rsidR="00D0321B" w:rsidRDefault="00D0321B" w:rsidP="00D0321B">
            <w:pPr>
              <w:suppressAutoHyphens w:val="0"/>
              <w:spacing w:line="240" w:lineRule="exact"/>
            </w:pPr>
            <w:r w:rsidRPr="000969B2">
              <w:t>Original: English</w:t>
            </w:r>
          </w:p>
        </w:tc>
      </w:tr>
    </w:tbl>
    <w:p w14:paraId="63373A1D" w14:textId="77777777" w:rsidR="00143743" w:rsidRPr="00283442" w:rsidRDefault="00143743" w:rsidP="00143743">
      <w:pPr>
        <w:spacing w:before="120"/>
        <w:rPr>
          <w:b/>
          <w:sz w:val="24"/>
          <w:szCs w:val="24"/>
          <w:lang w:val="en-US"/>
        </w:rPr>
      </w:pPr>
      <w:r w:rsidRPr="00283442">
        <w:rPr>
          <w:b/>
          <w:sz w:val="24"/>
          <w:szCs w:val="24"/>
          <w:lang w:val="en-US"/>
        </w:rPr>
        <w:t>Committee of Experts on the Transport of Dangerous Goods</w:t>
      </w:r>
      <w:r w:rsidRPr="00283442">
        <w:rPr>
          <w:b/>
          <w:sz w:val="24"/>
          <w:szCs w:val="24"/>
          <w:lang w:val="en-US"/>
        </w:rPr>
        <w:br/>
        <w:t>and on the Globally Harmonized System of Classification</w:t>
      </w:r>
      <w:r w:rsidRPr="00283442">
        <w:rPr>
          <w:b/>
          <w:sz w:val="24"/>
          <w:szCs w:val="24"/>
          <w:lang w:val="en-US"/>
        </w:rPr>
        <w:br/>
        <w:t>and Labelling of Chemicals</w:t>
      </w:r>
    </w:p>
    <w:p w14:paraId="58BD50D0" w14:textId="77777777" w:rsidR="00143743" w:rsidRPr="00283442" w:rsidRDefault="00143743" w:rsidP="00143743">
      <w:pPr>
        <w:spacing w:before="120"/>
        <w:rPr>
          <w:rFonts w:ascii="Helv" w:hAnsi="Helv" w:cs="Helv"/>
          <w:b/>
          <w:color w:val="000000"/>
          <w:lang w:val="en-US"/>
        </w:rPr>
      </w:pPr>
      <w:r w:rsidRPr="00283442">
        <w:rPr>
          <w:b/>
          <w:lang w:val="en-US"/>
        </w:rPr>
        <w:t>Sub-Committee of Experts on the Globally Harmonized</w:t>
      </w:r>
      <w:r w:rsidRPr="00283442">
        <w:rPr>
          <w:b/>
          <w:lang w:val="en-US"/>
        </w:rPr>
        <w:br/>
        <w:t>System of Classification and Labelling of Chemicals</w:t>
      </w:r>
    </w:p>
    <w:p w14:paraId="71D21313" w14:textId="77777777" w:rsidR="00143743" w:rsidRPr="00283442" w:rsidRDefault="00143743" w:rsidP="00143743">
      <w:pPr>
        <w:spacing w:before="120"/>
        <w:rPr>
          <w:b/>
        </w:rPr>
      </w:pPr>
      <w:r w:rsidRPr="00283442">
        <w:rPr>
          <w:b/>
          <w:bCs/>
        </w:rPr>
        <w:t>T</w:t>
      </w:r>
      <w:r>
        <w:rPr>
          <w:b/>
          <w:bCs/>
        </w:rPr>
        <w:t>hirty-eighth</w:t>
      </w:r>
      <w:r w:rsidRPr="00283442">
        <w:rPr>
          <w:b/>
          <w:bCs/>
        </w:rPr>
        <w:t xml:space="preserve"> session</w:t>
      </w:r>
    </w:p>
    <w:p w14:paraId="2332C61A" w14:textId="77777777" w:rsidR="00143743" w:rsidRPr="00283442" w:rsidRDefault="00143743" w:rsidP="00143743">
      <w:pPr>
        <w:jc w:val="both"/>
      </w:pPr>
      <w:r w:rsidRPr="00283442">
        <w:t xml:space="preserve">Geneva, </w:t>
      </w:r>
      <w:r>
        <w:t>11-13 December 2019</w:t>
      </w:r>
    </w:p>
    <w:p w14:paraId="6DE69335" w14:textId="77777777" w:rsidR="00143743" w:rsidRPr="00914005" w:rsidRDefault="00143743" w:rsidP="00143743">
      <w:pPr>
        <w:jc w:val="both"/>
        <w:rPr>
          <w:lang w:val="en-US"/>
        </w:rPr>
      </w:pPr>
      <w:r w:rsidRPr="00914005">
        <w:rPr>
          <w:lang w:val="en-US"/>
        </w:rPr>
        <w:t>Item 2 (h) of the provisional agenda</w:t>
      </w:r>
    </w:p>
    <w:p w14:paraId="41AA4832" w14:textId="77777777" w:rsidR="00143743" w:rsidRPr="00914005" w:rsidRDefault="00143743" w:rsidP="00143743">
      <w:pPr>
        <w:rPr>
          <w:b/>
          <w:bCs/>
        </w:rPr>
      </w:pPr>
      <w:r w:rsidRPr="00914005">
        <w:rPr>
          <w:b/>
          <w:bCs/>
        </w:rPr>
        <w:t xml:space="preserve">Classification criteria and related hazard communication: </w:t>
      </w:r>
    </w:p>
    <w:p w14:paraId="3CA08E64" w14:textId="77777777" w:rsidR="00AF5DE1" w:rsidRDefault="00143743" w:rsidP="00143743">
      <w:pPr>
        <w:rPr>
          <w:b/>
          <w:bCs/>
        </w:rPr>
      </w:pPr>
      <w:r w:rsidRPr="00914005">
        <w:rPr>
          <w:b/>
          <w:bCs/>
        </w:rPr>
        <w:t>other issues</w:t>
      </w:r>
    </w:p>
    <w:p w14:paraId="76835F34" w14:textId="77777777" w:rsidR="00143743" w:rsidRDefault="00D74143" w:rsidP="003937D2">
      <w:pPr>
        <w:pStyle w:val="H1G"/>
      </w:pPr>
      <w:r>
        <w:tab/>
      </w:r>
      <w:r>
        <w:tab/>
      </w:r>
      <w:r w:rsidR="002E1DF2">
        <w:t>Reference</w:t>
      </w:r>
      <w:r w:rsidR="00D109EF">
        <w:t>s</w:t>
      </w:r>
      <w:r w:rsidR="002E1DF2">
        <w:t xml:space="preserve"> to the Model Regulations, numbering of criteria in tables 2.3.1 and 3.2.2</w:t>
      </w:r>
      <w:r w:rsidR="000969B2">
        <w:t>, correction to Annex 7 (example 10)</w:t>
      </w:r>
      <w:r w:rsidR="002E1DF2">
        <w:t xml:space="preserve"> and </w:t>
      </w:r>
      <w:r w:rsidR="006B51D0">
        <w:t>design</w:t>
      </w:r>
      <w:r w:rsidR="002E1DF2">
        <w:t xml:space="preserve"> of decision logics</w:t>
      </w:r>
    </w:p>
    <w:p w14:paraId="28E835AB" w14:textId="77777777" w:rsidR="003937D2" w:rsidRPr="003937D2" w:rsidRDefault="003937D2" w:rsidP="003937D2">
      <w:pPr>
        <w:pStyle w:val="H23G"/>
      </w:pPr>
      <w:r>
        <w:tab/>
      </w:r>
      <w:r>
        <w:tab/>
        <w:t>Note by the secretariat</w:t>
      </w:r>
      <w:r w:rsidR="00D109EF">
        <w:rPr>
          <w:rStyle w:val="FootnoteReference"/>
          <w:lang w:val="en-US"/>
        </w:rPr>
        <w:footnoteReference w:customMarkFollows="1" w:id="2"/>
        <w:t>*</w:t>
      </w:r>
    </w:p>
    <w:p w14:paraId="6F5FAAA0" w14:textId="77777777" w:rsidR="00D74143" w:rsidRDefault="00D74143" w:rsidP="003937D2">
      <w:pPr>
        <w:pStyle w:val="H1G"/>
      </w:pPr>
      <w:r>
        <w:tab/>
      </w:r>
      <w:r w:rsidR="00410F10">
        <w:tab/>
      </w:r>
      <w:r>
        <w:t>Reference to the Model Regulations in the GHS</w:t>
      </w:r>
    </w:p>
    <w:p w14:paraId="44219D3B" w14:textId="77777777" w:rsidR="00D74143" w:rsidRDefault="00042D29" w:rsidP="00042D29">
      <w:pPr>
        <w:pStyle w:val="SingleTxtG"/>
      </w:pPr>
      <w:r>
        <w:t>1.</w:t>
      </w:r>
      <w:r>
        <w:tab/>
      </w:r>
      <w:r w:rsidR="00D74143">
        <w:t>Chapter 1.2 of the GHS contains the list of definitions and abbreviations most commonly used in the GHS.</w:t>
      </w:r>
      <w:r>
        <w:t xml:space="preserve"> </w:t>
      </w:r>
      <w:r w:rsidR="00D74143">
        <w:t xml:space="preserve">The </w:t>
      </w:r>
      <w:r>
        <w:t xml:space="preserve">references to the Model Regulations currently read: </w:t>
      </w:r>
    </w:p>
    <w:p w14:paraId="5899C9DB" w14:textId="77777777" w:rsidR="00042D29" w:rsidRDefault="00042D29" w:rsidP="00042D29">
      <w:pPr>
        <w:pStyle w:val="SingleTxtG"/>
        <w:ind w:left="1701"/>
        <w:rPr>
          <w:i/>
          <w:iCs/>
        </w:rPr>
      </w:pPr>
      <w:r>
        <w:t>“</w:t>
      </w:r>
      <w:r w:rsidRPr="00042D29">
        <w:rPr>
          <w:b/>
          <w:bCs/>
          <w:i/>
          <w:iCs/>
        </w:rPr>
        <w:t>Recommendations on the Transport of Dangerous Goods, Model Regulations</w:t>
      </w:r>
      <w:r>
        <w:rPr>
          <w:i/>
          <w:iCs/>
        </w:rPr>
        <w:t xml:space="preserve"> means the latest revised edition of the United Nations publication bearing this title, and any published amendment thereto.”</w:t>
      </w:r>
      <w:r w:rsidR="00B0526F">
        <w:rPr>
          <w:i/>
          <w:iCs/>
        </w:rPr>
        <w:t>.</w:t>
      </w:r>
    </w:p>
    <w:p w14:paraId="1EE1C634" w14:textId="77777777" w:rsidR="00042D29" w:rsidRDefault="00042D29" w:rsidP="00042D29">
      <w:pPr>
        <w:pStyle w:val="SingleTxtG"/>
      </w:pPr>
      <w:r>
        <w:t>2.</w:t>
      </w:r>
      <w:r>
        <w:tab/>
      </w:r>
      <w:r w:rsidR="00BA5F8B">
        <w:t>Throughout</w:t>
      </w:r>
      <w:r>
        <w:t xml:space="preserve"> the text of the GHS, </w:t>
      </w:r>
      <w:r w:rsidR="003937D2">
        <w:t xml:space="preserve">the Model Regulations are </w:t>
      </w:r>
      <w:r w:rsidR="00BA5F8B">
        <w:t xml:space="preserve">inconsistently </w:t>
      </w:r>
      <w:r>
        <w:t>referred to as:</w:t>
      </w:r>
    </w:p>
    <w:p w14:paraId="567D8517" w14:textId="77777777" w:rsidR="00042D29" w:rsidRPr="00042D29" w:rsidRDefault="00042D29" w:rsidP="002F032C">
      <w:pPr>
        <w:pStyle w:val="Bullet1G"/>
        <w:tabs>
          <w:tab w:val="clear" w:pos="1701"/>
          <w:tab w:val="num" w:pos="1985"/>
        </w:tabs>
        <w:spacing w:after="80" w:line="240" w:lineRule="auto"/>
        <w:ind w:left="1985" w:hanging="284"/>
      </w:pPr>
      <w:r w:rsidRPr="003937D2">
        <w:rPr>
          <w:i/>
          <w:iCs/>
        </w:rPr>
        <w:t>UN Recommendations on the Transport of Dangerous Goods, Model Regulations</w:t>
      </w:r>
      <w:r>
        <w:t>;</w:t>
      </w:r>
    </w:p>
    <w:p w14:paraId="2867B925" w14:textId="77777777" w:rsidR="00042D29" w:rsidRPr="00042D29" w:rsidRDefault="00042D29" w:rsidP="002F032C">
      <w:pPr>
        <w:pStyle w:val="Bullet1G"/>
        <w:tabs>
          <w:tab w:val="clear" w:pos="1701"/>
          <w:tab w:val="num" w:pos="1985"/>
        </w:tabs>
        <w:spacing w:after="80" w:line="240" w:lineRule="auto"/>
        <w:ind w:left="1985" w:hanging="284"/>
      </w:pPr>
      <w:r w:rsidRPr="003937D2">
        <w:rPr>
          <w:i/>
          <w:iCs/>
        </w:rPr>
        <w:t>Model Regulations</w:t>
      </w:r>
      <w:r>
        <w:t>;</w:t>
      </w:r>
    </w:p>
    <w:p w14:paraId="2E368899" w14:textId="77777777" w:rsidR="00042D29" w:rsidRPr="00042D29" w:rsidRDefault="00042D29" w:rsidP="002F032C">
      <w:pPr>
        <w:pStyle w:val="Bullet1G"/>
        <w:tabs>
          <w:tab w:val="clear" w:pos="1701"/>
          <w:tab w:val="num" w:pos="1985"/>
        </w:tabs>
        <w:spacing w:after="80" w:line="240" w:lineRule="auto"/>
        <w:ind w:left="1985" w:hanging="284"/>
      </w:pPr>
      <w:r w:rsidRPr="003937D2">
        <w:rPr>
          <w:i/>
          <w:iCs/>
        </w:rPr>
        <w:t>UN Model Regulations</w:t>
      </w:r>
      <w:r>
        <w:t>;</w:t>
      </w:r>
    </w:p>
    <w:p w14:paraId="7D232C58" w14:textId="77777777" w:rsidR="00042D29" w:rsidRPr="00042D29" w:rsidRDefault="00042D29" w:rsidP="00F914C7">
      <w:pPr>
        <w:pStyle w:val="Bullet1G"/>
        <w:tabs>
          <w:tab w:val="clear" w:pos="1701"/>
          <w:tab w:val="num" w:pos="1985"/>
        </w:tabs>
        <w:ind w:left="1985" w:hanging="284"/>
      </w:pPr>
      <w:r w:rsidRPr="003937D2">
        <w:rPr>
          <w:i/>
          <w:iCs/>
        </w:rPr>
        <w:t>UN Model Regulations on the Transport of Dangerous Goods. Model Regulations</w:t>
      </w:r>
      <w:r>
        <w:t>;</w:t>
      </w:r>
      <w:r w:rsidR="00BA5F8B">
        <w:t xml:space="preserve"> and</w:t>
      </w:r>
    </w:p>
    <w:p w14:paraId="49693935" w14:textId="77777777" w:rsidR="00042D29" w:rsidRDefault="00042D29" w:rsidP="00F914C7">
      <w:pPr>
        <w:pStyle w:val="Bullet1G"/>
        <w:tabs>
          <w:tab w:val="clear" w:pos="1701"/>
          <w:tab w:val="num" w:pos="1985"/>
        </w:tabs>
        <w:ind w:left="1985" w:hanging="284"/>
      </w:pPr>
      <w:r w:rsidRPr="003937D2">
        <w:rPr>
          <w:i/>
          <w:iCs/>
        </w:rPr>
        <w:t>UN Model Regulations on the Transport of Dangerous Goods</w:t>
      </w:r>
      <w:r w:rsidR="00BA5F8B">
        <w:t>.</w:t>
      </w:r>
    </w:p>
    <w:p w14:paraId="64C48F3A" w14:textId="77777777" w:rsidR="000D22F0" w:rsidRDefault="000D22F0" w:rsidP="000D22F0">
      <w:pPr>
        <w:pStyle w:val="SingleTxtG"/>
      </w:pPr>
      <w:r>
        <w:t>3.</w:t>
      </w:r>
      <w:r>
        <w:tab/>
        <w:t xml:space="preserve">In order to simplify, shorten and harmonise all references to this publication through the </w:t>
      </w:r>
      <w:r w:rsidR="00D063FC">
        <w:t>GHS</w:t>
      </w:r>
      <w:r>
        <w:t xml:space="preserve">, </w:t>
      </w:r>
      <w:r w:rsidR="00D063FC">
        <w:t xml:space="preserve">and to make them consistent </w:t>
      </w:r>
      <w:r w:rsidR="00D063FC" w:rsidRPr="00D063FC">
        <w:t xml:space="preserve">with the terminology used in other publications when referring to the Model Regulations, </w:t>
      </w:r>
      <w:r w:rsidRPr="00D063FC">
        <w:t>th</w:t>
      </w:r>
      <w:r>
        <w:t xml:space="preserve">e secretariat would like to invite the Sub-Committee to consider the proposal below. </w:t>
      </w:r>
    </w:p>
    <w:p w14:paraId="63B79044" w14:textId="77777777" w:rsidR="00BA5F8B" w:rsidRDefault="00BA5F8B" w:rsidP="00BA5F8B">
      <w:pPr>
        <w:pStyle w:val="H23G"/>
      </w:pPr>
      <w:r>
        <w:lastRenderedPageBreak/>
        <w:tab/>
      </w:r>
      <w:r>
        <w:tab/>
        <w:t>Proposal</w:t>
      </w:r>
    </w:p>
    <w:p w14:paraId="142665A2" w14:textId="77777777" w:rsidR="00BA5F8B" w:rsidRDefault="00BA5F8B" w:rsidP="00BA5F8B">
      <w:pPr>
        <w:pStyle w:val="SingleTxtG"/>
      </w:pPr>
      <w:r>
        <w:tab/>
        <w:t>4.</w:t>
      </w:r>
      <w:r>
        <w:tab/>
        <w:t>In Chapter 1.2, amend the definition of “</w:t>
      </w:r>
      <w:r w:rsidRPr="00BA5F8B">
        <w:rPr>
          <w:b/>
          <w:bCs/>
          <w:i/>
          <w:iCs/>
        </w:rPr>
        <w:t>Recommendations on the Transport of Dangerous Goods, Model Regulations</w:t>
      </w:r>
      <w:r>
        <w:t xml:space="preserve">” </w:t>
      </w:r>
      <w:r w:rsidRPr="00BA5F8B">
        <w:t xml:space="preserve">to read as follows: </w:t>
      </w:r>
    </w:p>
    <w:p w14:paraId="2015C508" w14:textId="77777777" w:rsidR="00BA5F8B" w:rsidRDefault="00BA5F8B" w:rsidP="00D063FC">
      <w:pPr>
        <w:pStyle w:val="SingleTxtG"/>
        <w:ind w:left="1701"/>
      </w:pPr>
      <w:r>
        <w:t>“</w:t>
      </w:r>
      <w:r w:rsidR="00E01D8B" w:rsidRPr="00E01D8B">
        <w:rPr>
          <w:b/>
          <w:bCs/>
          <w:i/>
          <w:iCs/>
        </w:rPr>
        <w:t>UN Model Regulations</w:t>
      </w:r>
      <w:r w:rsidR="00E01D8B">
        <w:t xml:space="preserve"> means the Model Regulations annexed to the </w:t>
      </w:r>
      <w:r w:rsidR="00EC5E3D">
        <w:t>latest revised edition of the Recommendations on the Transport of Dangerous Goods published by the United Nations”.</w:t>
      </w:r>
    </w:p>
    <w:p w14:paraId="7E347AD3" w14:textId="77777777" w:rsidR="00EC5E3D" w:rsidRDefault="00EC5E3D" w:rsidP="00EC5E3D">
      <w:pPr>
        <w:pStyle w:val="SingleTxtG"/>
        <w:rPr>
          <w:i/>
          <w:iCs/>
          <w:u w:val="single"/>
        </w:rPr>
      </w:pPr>
      <w:r w:rsidRPr="00EC5E3D">
        <w:rPr>
          <w:u w:val="single"/>
        </w:rPr>
        <w:t>Consequential amendment:</w:t>
      </w:r>
      <w:r>
        <w:rPr>
          <w:i/>
          <w:iCs/>
          <w:u w:val="single"/>
        </w:rPr>
        <w:t xml:space="preserve"> </w:t>
      </w:r>
    </w:p>
    <w:p w14:paraId="3E58F653" w14:textId="77777777" w:rsidR="00EC5E3D" w:rsidRDefault="00692A26" w:rsidP="00EC5E3D">
      <w:pPr>
        <w:pStyle w:val="SingleTxtG"/>
      </w:pPr>
      <w:r>
        <w:t>R</w:t>
      </w:r>
      <w:r w:rsidR="00EC5E3D" w:rsidRPr="00EC5E3D">
        <w:t xml:space="preserve">eplace all </w:t>
      </w:r>
      <w:r w:rsidR="00EC5E3D">
        <w:t xml:space="preserve">existing </w:t>
      </w:r>
      <w:r w:rsidR="00EC5E3D" w:rsidRPr="00EC5E3D">
        <w:t xml:space="preserve">references </w:t>
      </w:r>
      <w:r w:rsidR="00EC5E3D">
        <w:t>(see paragraph 2 above) with “UN Model Regulations”.</w:t>
      </w:r>
    </w:p>
    <w:p w14:paraId="75EEA9C9" w14:textId="77777777" w:rsidR="00EC5E3D" w:rsidRDefault="000D22F0" w:rsidP="000D22F0">
      <w:pPr>
        <w:pStyle w:val="H1G"/>
      </w:pPr>
      <w:r>
        <w:tab/>
      </w:r>
      <w:r>
        <w:tab/>
        <w:t>Numbering of criteria in tables 2.3.1 and 3.2.2</w:t>
      </w:r>
    </w:p>
    <w:p w14:paraId="5FF489D7" w14:textId="77777777" w:rsidR="000D22F0" w:rsidRDefault="000D22F0" w:rsidP="00F914C7">
      <w:pPr>
        <w:pStyle w:val="SingleTxtG"/>
        <w:spacing w:after="80"/>
      </w:pPr>
      <w:r>
        <w:t>5.</w:t>
      </w:r>
      <w:r>
        <w:tab/>
        <w:t>Criteria in the tables of each chapter of parts 1 to 4 of the GHS are usually numbered with letters to facilitate referencing when needed, while minimizing the risk of confusion with the numbering used to identify classification categories. This principle is applied consistently in the GHS except for tables 2.3.1 and 3.2.2. To solve this inconsistency, the secretariat would like to invite the Sub-Committee to consider the proposal below.</w:t>
      </w:r>
    </w:p>
    <w:p w14:paraId="4358E6D4" w14:textId="77777777" w:rsidR="000D22F0" w:rsidRDefault="000D22F0" w:rsidP="000D22F0">
      <w:pPr>
        <w:pStyle w:val="H23G"/>
      </w:pPr>
      <w:r>
        <w:tab/>
      </w:r>
      <w:r>
        <w:tab/>
        <w:t>Proposal</w:t>
      </w:r>
    </w:p>
    <w:p w14:paraId="449C382B" w14:textId="77777777" w:rsidR="000D22F0" w:rsidRPr="00D063FC" w:rsidRDefault="000D22F0" w:rsidP="00D063FC">
      <w:pPr>
        <w:pStyle w:val="SingleTxtG"/>
      </w:pPr>
      <w:r w:rsidRPr="00D063FC">
        <w:t>6.</w:t>
      </w:r>
      <w:r w:rsidRPr="00D063FC">
        <w:tab/>
        <w:t>In Chapter 2.3, table 2.3.1, under the column “Criteria”:</w:t>
      </w:r>
    </w:p>
    <w:p w14:paraId="3823ABB4" w14:textId="77777777" w:rsidR="000D22F0" w:rsidRPr="00D063FC" w:rsidRDefault="00D063FC" w:rsidP="002F032C">
      <w:pPr>
        <w:pStyle w:val="Bullet1G"/>
        <w:tabs>
          <w:tab w:val="clear" w:pos="1701"/>
          <w:tab w:val="num" w:pos="1985"/>
        </w:tabs>
        <w:spacing w:after="80"/>
        <w:ind w:left="1985" w:hanging="284"/>
      </w:pPr>
      <w:r>
        <w:t>R</w:t>
      </w:r>
      <w:r w:rsidR="000D22F0" w:rsidRPr="00D063FC">
        <w:t>eplace “(1)”, “(2)” and “(3)” with “(a)”, “(b)” and “(c)”</w:t>
      </w:r>
      <w:r>
        <w:t>;</w:t>
      </w:r>
    </w:p>
    <w:p w14:paraId="4B7EE950" w14:textId="77777777" w:rsidR="000D22F0" w:rsidRDefault="000D22F0" w:rsidP="002F032C">
      <w:pPr>
        <w:pStyle w:val="Bullet1G"/>
        <w:tabs>
          <w:tab w:val="clear" w:pos="1701"/>
          <w:tab w:val="num" w:pos="1985"/>
        </w:tabs>
        <w:ind w:left="1985" w:hanging="284"/>
      </w:pPr>
      <w:r>
        <w:t>Replace “</w:t>
      </w:r>
      <w:r w:rsidR="00D063FC">
        <w:t>(a)”, “(b)”, “(c)” with “(</w:t>
      </w:r>
      <w:proofErr w:type="spellStart"/>
      <w:r w:rsidR="00D063FC">
        <w:t>i</w:t>
      </w:r>
      <w:proofErr w:type="spellEnd"/>
      <w:r w:rsidR="00D063FC">
        <w:t>)”, “(ii)” and “(iii)”.</w:t>
      </w:r>
    </w:p>
    <w:p w14:paraId="5EC9827E" w14:textId="77777777" w:rsidR="00D063FC" w:rsidRDefault="00D063FC" w:rsidP="00D063FC">
      <w:pPr>
        <w:pStyle w:val="SingleTxtG"/>
      </w:pPr>
      <w:r>
        <w:t>7.</w:t>
      </w:r>
      <w:r>
        <w:tab/>
        <w:t>In Chapter 3.2, table 3.2.2, under the column “Criteria”:</w:t>
      </w:r>
    </w:p>
    <w:p w14:paraId="73A01335" w14:textId="77777777" w:rsidR="00D063FC" w:rsidRDefault="00D063FC" w:rsidP="00D063FC">
      <w:pPr>
        <w:pStyle w:val="Bullet1G"/>
        <w:tabs>
          <w:tab w:val="clear" w:pos="1701"/>
          <w:tab w:val="num" w:pos="1985"/>
        </w:tabs>
        <w:ind w:left="1985" w:hanging="284"/>
      </w:pPr>
      <w:r>
        <w:t>Replace “(1)”, “(2)” and “(3)” with “(a)”, “(b)” and “(c)”.</w:t>
      </w:r>
    </w:p>
    <w:p w14:paraId="5F0DC69F" w14:textId="77777777" w:rsidR="00410F10" w:rsidRDefault="00410F10" w:rsidP="00410F10">
      <w:pPr>
        <w:pStyle w:val="H1G"/>
      </w:pPr>
      <w:r>
        <w:tab/>
      </w:r>
      <w:r>
        <w:tab/>
        <w:t>Correction to Annex 7, example 10</w:t>
      </w:r>
    </w:p>
    <w:p w14:paraId="2E89B108" w14:textId="77777777" w:rsidR="00410F10" w:rsidRDefault="00410F10" w:rsidP="003F610E">
      <w:pPr>
        <w:pStyle w:val="SingleTxtG"/>
        <w:spacing w:after="80"/>
      </w:pPr>
      <w:r>
        <w:t>8.</w:t>
      </w:r>
      <w:r>
        <w:tab/>
        <w:t xml:space="preserve">The secretariat has been informed </w:t>
      </w:r>
      <w:r w:rsidR="00692A26">
        <w:t>of</w:t>
      </w:r>
      <w:r>
        <w:t xml:space="preserve"> a printing error in </w:t>
      </w:r>
      <w:r w:rsidR="000C4044">
        <w:t xml:space="preserve">example 10 of annex 7, in </w:t>
      </w:r>
      <w:r>
        <w:t xml:space="preserve">the figure showing </w:t>
      </w:r>
      <w:r w:rsidR="00692A26">
        <w:t xml:space="preserve">the </w:t>
      </w:r>
      <w:r>
        <w:t>inner receptacle label under case scenario B</w:t>
      </w:r>
      <w:r w:rsidR="00692A26">
        <w:t>, where i</w:t>
      </w:r>
      <w:r w:rsidR="000C4044">
        <w:t>t appears that the mention “Read full label enclosed” is missing</w:t>
      </w:r>
      <w:r w:rsidR="00692A26">
        <w:t xml:space="preserve"> (</w:t>
      </w:r>
      <w:r w:rsidR="003F610E">
        <w:t>f</w:t>
      </w:r>
      <w:r w:rsidR="00692A26">
        <w:t>or reference, see the consolidated list of amendments to the GHS</w:t>
      </w:r>
      <w:r w:rsidR="003F610E">
        <w:t xml:space="preserve"> in </w:t>
      </w:r>
      <w:r w:rsidR="00692A26">
        <w:t>document ST/SG/AC.10/46/Add.3).</w:t>
      </w:r>
    </w:p>
    <w:p w14:paraId="73594FA1" w14:textId="77777777" w:rsidR="000C4044" w:rsidRDefault="000C4044" w:rsidP="000C4044">
      <w:pPr>
        <w:pStyle w:val="SingleTxtG"/>
        <w:spacing w:after="80"/>
      </w:pPr>
      <w:r>
        <w:t>9.</w:t>
      </w:r>
      <w:r>
        <w:tab/>
        <w:t>The Sub-Committee is invited to note that the following correction will be included in a corrigendum to the eight</w:t>
      </w:r>
      <w:r w:rsidR="005E1FB6">
        <w:t>h</w:t>
      </w:r>
      <w:r>
        <w:t xml:space="preserve"> revised edition of the GHS.</w:t>
      </w:r>
      <w:r w:rsidR="005E1FB6">
        <w:t xml:space="preserve"> The correction does not apply to the French version.</w:t>
      </w:r>
    </w:p>
    <w:p w14:paraId="4450B785" w14:textId="77777777" w:rsidR="000C4044" w:rsidRDefault="000C4044" w:rsidP="00914005">
      <w:pPr>
        <w:pStyle w:val="H23G"/>
        <w:ind w:firstLine="0"/>
      </w:pPr>
      <w:r>
        <w:t>Correction</w:t>
      </w:r>
    </w:p>
    <w:p w14:paraId="679D2FAC" w14:textId="77777777" w:rsidR="000C4044" w:rsidRPr="000C4044" w:rsidRDefault="00914005" w:rsidP="00914005">
      <w:pPr>
        <w:spacing w:after="240"/>
        <w:ind w:left="1134"/>
      </w:pPr>
      <w:r>
        <w:t>“</w:t>
      </w:r>
      <w:r w:rsidR="000C4044" w:rsidRPr="005E1FB6">
        <w:rPr>
          <w:b/>
          <w:bCs/>
        </w:rPr>
        <w:t xml:space="preserve">Annex 7, example 10, </w:t>
      </w:r>
      <w:r w:rsidR="005E1FB6">
        <w:rPr>
          <w:b/>
          <w:bCs/>
        </w:rPr>
        <w:t xml:space="preserve">scenario </w:t>
      </w:r>
      <w:r w:rsidR="000C4044" w:rsidRPr="005E1FB6">
        <w:rPr>
          <w:b/>
          <w:bCs/>
        </w:rPr>
        <w:t>B</w:t>
      </w:r>
    </w:p>
    <w:p w14:paraId="143AC8D5" w14:textId="77777777" w:rsidR="000C4044" w:rsidRPr="00914005" w:rsidRDefault="000C4044" w:rsidP="00914005">
      <w:pPr>
        <w:pStyle w:val="SingleTxtG"/>
      </w:pPr>
      <w:r w:rsidRPr="00914005">
        <w:t xml:space="preserve">Replace the figure </w:t>
      </w:r>
      <w:r w:rsidR="00914005">
        <w:t>with</w:t>
      </w:r>
      <w:r w:rsidRPr="00914005">
        <w:t xml:space="preserve"> an example of an inner receptacle label </w:t>
      </w:r>
      <w:r w:rsidR="005E1FB6" w:rsidRPr="00914005">
        <w:t xml:space="preserve">for sample 1, </w:t>
      </w:r>
      <w:r w:rsidRPr="00914005">
        <w:t>with the figure below:</w:t>
      </w:r>
    </w:p>
    <w:p w14:paraId="2E3743B6" w14:textId="77777777" w:rsidR="000C4044" w:rsidRPr="000C4044" w:rsidRDefault="001E2096" w:rsidP="001E2096">
      <w:pPr>
        <w:pStyle w:val="SingleTxtG"/>
        <w:spacing w:after="80"/>
        <w:jc w:val="center"/>
      </w:pPr>
      <w:r w:rsidRPr="001E2096">
        <w:rPr>
          <w:noProof/>
        </w:rPr>
        <w:lastRenderedPageBreak/>
        <w:drawing>
          <wp:inline distT="0" distB="0" distL="0" distR="0" wp14:anchorId="33582486" wp14:editId="577E079D">
            <wp:extent cx="2645544" cy="2604578"/>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9907" cy="2628564"/>
                    </a:xfrm>
                    <a:prstGeom prst="rect">
                      <a:avLst/>
                    </a:prstGeom>
                    <a:noFill/>
                    <a:ln>
                      <a:noFill/>
                    </a:ln>
                  </pic:spPr>
                </pic:pic>
              </a:graphicData>
            </a:graphic>
          </wp:inline>
        </w:drawing>
      </w:r>
      <w:r w:rsidR="00914005">
        <w:t>”</w:t>
      </w:r>
    </w:p>
    <w:p w14:paraId="192D56AA" w14:textId="77777777" w:rsidR="00D063FC" w:rsidRDefault="00D063FC" w:rsidP="00D063FC">
      <w:pPr>
        <w:pStyle w:val="H1G"/>
      </w:pPr>
      <w:r>
        <w:tab/>
      </w:r>
      <w:r w:rsidR="00410F10">
        <w:tab/>
      </w:r>
      <w:r w:rsidR="00914005">
        <w:t>Design</w:t>
      </w:r>
      <w:r>
        <w:t xml:space="preserve"> of decision logics in the GHS</w:t>
      </w:r>
    </w:p>
    <w:p w14:paraId="7B627E69" w14:textId="77777777" w:rsidR="0013293C" w:rsidRDefault="00914005" w:rsidP="0013293C">
      <w:pPr>
        <w:pStyle w:val="SingleTxtG"/>
      </w:pPr>
      <w:r>
        <w:t>10</w:t>
      </w:r>
      <w:r w:rsidR="00D063FC">
        <w:t>.</w:t>
      </w:r>
      <w:r w:rsidR="00D063FC">
        <w:tab/>
        <w:t xml:space="preserve">Decision logics in the GHS </w:t>
      </w:r>
      <w:r>
        <w:t>are made of</w:t>
      </w:r>
      <w:r w:rsidR="00D063FC">
        <w:t xml:space="preserve"> shaded text boxes and arrows</w:t>
      </w:r>
      <w:r w:rsidR="0013293C">
        <w:t xml:space="preserve"> and t</w:t>
      </w:r>
      <w:r w:rsidR="00E13D1F">
        <w:t>heir design has been kept unchanged since the first edition of the GHS.</w:t>
      </w:r>
    </w:p>
    <w:p w14:paraId="0C988D5D" w14:textId="77777777" w:rsidR="002F032C" w:rsidRDefault="00914005" w:rsidP="002F032C">
      <w:pPr>
        <w:pStyle w:val="SingleTxtG"/>
      </w:pPr>
      <w:r>
        <w:t>11</w:t>
      </w:r>
      <w:r w:rsidR="0013293C">
        <w:t>.</w:t>
      </w:r>
      <w:r w:rsidR="0013293C">
        <w:tab/>
        <w:t>F</w:t>
      </w:r>
      <w:r w:rsidR="00E13D1F">
        <w:t xml:space="preserve">ollowing a series of software updates, the secretariat </w:t>
      </w:r>
      <w:r w:rsidR="0013293C">
        <w:t xml:space="preserve">started to experience difficulties with the decision logics already several years ago, when preparing </w:t>
      </w:r>
      <w:r w:rsidR="002F032C">
        <w:t xml:space="preserve">the consolidated revised editions of the GHS. These problems are due to file incompatibility issues between </w:t>
      </w:r>
      <w:r>
        <w:t xml:space="preserve">successive </w:t>
      </w:r>
      <w:r w:rsidR="002F032C">
        <w:t xml:space="preserve">versions of the </w:t>
      </w:r>
      <w:r w:rsidR="000969B2">
        <w:t>text processing program</w:t>
      </w:r>
      <w:r w:rsidR="002F032C">
        <w:t>.</w:t>
      </w:r>
    </w:p>
    <w:p w14:paraId="5373EF24" w14:textId="77777777" w:rsidR="00790193" w:rsidRDefault="00914005" w:rsidP="000969B2">
      <w:pPr>
        <w:pStyle w:val="SingleTxtG"/>
      </w:pPr>
      <w:r>
        <w:t>12</w:t>
      </w:r>
      <w:r w:rsidR="002F032C">
        <w:t>.</w:t>
      </w:r>
      <w:r w:rsidR="002F032C">
        <w:tab/>
      </w:r>
      <w:r>
        <w:t>Although until now</w:t>
      </w:r>
      <w:r w:rsidR="002F032C">
        <w:t xml:space="preserve"> the secretariat managed to overcome th</w:t>
      </w:r>
      <w:r w:rsidR="000969B2">
        <w:t>ese difficulties,</w:t>
      </w:r>
      <w:r w:rsidR="002F032C">
        <w:t xml:space="preserve"> </w:t>
      </w:r>
      <w:r w:rsidR="000969B2">
        <w:t xml:space="preserve">new incompatibility problems have appeared recently, and </w:t>
      </w:r>
      <w:r w:rsidR="002F032C">
        <w:t xml:space="preserve">the </w:t>
      </w:r>
      <w:r w:rsidR="00800BAB">
        <w:t>measures</w:t>
      </w:r>
      <w:r w:rsidR="000969B2">
        <w:t xml:space="preserve"> </w:t>
      </w:r>
      <w:r w:rsidR="00800BAB">
        <w:t>taken</w:t>
      </w:r>
      <w:r w:rsidR="000969B2">
        <w:t xml:space="preserve"> in the past </w:t>
      </w:r>
      <w:r w:rsidR="00800BAB">
        <w:t xml:space="preserve">to solve them </w:t>
      </w:r>
      <w:r w:rsidR="000969B2">
        <w:t>are</w:t>
      </w:r>
      <w:r w:rsidR="002F032C">
        <w:t xml:space="preserve"> </w:t>
      </w:r>
      <w:r w:rsidR="000969B2">
        <w:t>no longer valid</w:t>
      </w:r>
      <w:r w:rsidR="002F032C">
        <w:t>.</w:t>
      </w:r>
      <w:r w:rsidR="000969B2">
        <w:t xml:space="preserve"> An example of some of the problems encountered is shown in the figure below.</w:t>
      </w:r>
    </w:p>
    <w:p w14:paraId="21AA276C" w14:textId="77777777" w:rsidR="00790193" w:rsidRDefault="002360B8" w:rsidP="00790193">
      <w:pPr>
        <w:pStyle w:val="SingleTxtG"/>
        <w:jc w:val="center"/>
      </w:pPr>
      <w:r>
        <w:rPr>
          <w:noProof/>
        </w:rPr>
        <w:drawing>
          <wp:inline distT="0" distB="0" distL="0" distR="0" wp14:anchorId="18F6F132" wp14:editId="548FD8DD">
            <wp:extent cx="3504376" cy="3750049"/>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8004" cy="4010756"/>
                    </a:xfrm>
                    <a:prstGeom prst="rect">
                      <a:avLst/>
                    </a:prstGeom>
                  </pic:spPr>
                </pic:pic>
              </a:graphicData>
            </a:graphic>
          </wp:inline>
        </w:drawing>
      </w:r>
    </w:p>
    <w:p w14:paraId="17B730EE" w14:textId="77777777" w:rsidR="00FB2870" w:rsidRDefault="00FB2870" w:rsidP="000969B2">
      <w:pPr>
        <w:pStyle w:val="H23G"/>
      </w:pPr>
      <w:r>
        <w:lastRenderedPageBreak/>
        <w:tab/>
      </w:r>
      <w:r>
        <w:tab/>
        <w:t>Action requested</w:t>
      </w:r>
    </w:p>
    <w:p w14:paraId="69DCD401" w14:textId="77777777" w:rsidR="004F3094" w:rsidRDefault="00914005" w:rsidP="004F3094">
      <w:pPr>
        <w:pStyle w:val="SingleTxtG"/>
        <w:keepNext/>
        <w:keepLines/>
      </w:pPr>
      <w:r>
        <w:t>13</w:t>
      </w:r>
      <w:r w:rsidR="00790193">
        <w:t>.</w:t>
      </w:r>
      <w:r w:rsidR="00790193">
        <w:tab/>
        <w:t>In view of the above, the secretariat invite</w:t>
      </w:r>
      <w:r>
        <w:t>s</w:t>
      </w:r>
      <w:r w:rsidR="00790193">
        <w:t xml:space="preserve"> the Sub-Committee to note that</w:t>
      </w:r>
      <w:r>
        <w:t xml:space="preserve"> </w:t>
      </w:r>
      <w:r w:rsidR="004F3094">
        <w:t xml:space="preserve">for the next edition of the GHS, </w:t>
      </w:r>
      <w:r>
        <w:t xml:space="preserve">all decision logics will be </w:t>
      </w:r>
      <w:r w:rsidR="004F3094">
        <w:t xml:space="preserve">converted into a format compatible with the most recent version of </w:t>
      </w:r>
      <w:r w:rsidR="009C61E0">
        <w:t xml:space="preserve">text processing </w:t>
      </w:r>
      <w:r w:rsidR="004F3094">
        <w:t>program</w:t>
      </w:r>
      <w:r w:rsidR="009C61E0">
        <w:t xml:space="preserve"> in use</w:t>
      </w:r>
      <w:r w:rsidR="00B64FC5">
        <w:t xml:space="preserve"> and that this may </w:t>
      </w:r>
      <w:r w:rsidR="004F3094">
        <w:t xml:space="preserve">imply changes to the </w:t>
      </w:r>
      <w:r w:rsidR="00B64FC5">
        <w:t xml:space="preserve">current </w:t>
      </w:r>
      <w:r w:rsidR="009B6727">
        <w:t>design of the decision logics</w:t>
      </w:r>
      <w:r w:rsidR="00B64FC5">
        <w:t>.</w:t>
      </w:r>
    </w:p>
    <w:p w14:paraId="57BE1762" w14:textId="77777777" w:rsidR="00FB2870" w:rsidRPr="00FB2870" w:rsidRDefault="004F3094" w:rsidP="004F3094">
      <w:pPr>
        <w:spacing w:before="240"/>
        <w:jc w:val="center"/>
      </w:pPr>
      <w:r>
        <w:rPr>
          <w:u w:val="single"/>
        </w:rPr>
        <w:tab/>
      </w:r>
      <w:r>
        <w:rPr>
          <w:u w:val="single"/>
        </w:rPr>
        <w:tab/>
      </w:r>
      <w:r>
        <w:rPr>
          <w:u w:val="single"/>
        </w:rPr>
        <w:tab/>
      </w:r>
    </w:p>
    <w:sectPr w:rsidR="00FB2870" w:rsidRPr="00FB2870" w:rsidSect="00D0321B">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36CE" w14:textId="77777777" w:rsidR="00D0321B" w:rsidRPr="00C47B2E" w:rsidRDefault="00D0321B" w:rsidP="00C47B2E">
      <w:pPr>
        <w:pStyle w:val="Footer"/>
      </w:pPr>
    </w:p>
  </w:endnote>
  <w:endnote w:type="continuationSeparator" w:id="0">
    <w:p w14:paraId="0321D841" w14:textId="77777777" w:rsidR="00D0321B" w:rsidRPr="00C47B2E" w:rsidRDefault="00D0321B" w:rsidP="00C47B2E">
      <w:pPr>
        <w:pStyle w:val="Footer"/>
      </w:pPr>
    </w:p>
  </w:endnote>
  <w:endnote w:type="continuationNotice" w:id="1">
    <w:p w14:paraId="63946BAC" w14:textId="77777777" w:rsidR="00D0321B" w:rsidRPr="00C47B2E" w:rsidRDefault="00D0321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F71D" w14:textId="77777777" w:rsidR="00D94B05" w:rsidRPr="00D0321B" w:rsidRDefault="00D0321B" w:rsidP="00D0321B">
    <w:pPr>
      <w:pStyle w:val="Footer"/>
      <w:tabs>
        <w:tab w:val="right" w:pos="9598"/>
        <w:tab w:val="right" w:pos="9638"/>
      </w:tabs>
      <w:rPr>
        <w:sz w:val="18"/>
      </w:rPr>
    </w:pPr>
    <w:r w:rsidRPr="00D0321B">
      <w:rPr>
        <w:b/>
        <w:sz w:val="18"/>
      </w:rPr>
      <w:fldChar w:fldCharType="begin"/>
    </w:r>
    <w:r w:rsidRPr="00D0321B">
      <w:rPr>
        <w:b/>
        <w:sz w:val="18"/>
      </w:rPr>
      <w:instrText xml:space="preserve"> PAGE  \* MERGEFORMAT </w:instrText>
    </w:r>
    <w:r w:rsidRPr="00D0321B">
      <w:rPr>
        <w:b/>
        <w:sz w:val="18"/>
      </w:rPr>
      <w:fldChar w:fldCharType="separate"/>
    </w:r>
    <w:r w:rsidRPr="00D0321B">
      <w:rPr>
        <w:b/>
        <w:noProof/>
        <w:sz w:val="18"/>
      </w:rPr>
      <w:t>2</w:t>
    </w:r>
    <w:r w:rsidRPr="00D032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3BF6" w14:textId="77777777" w:rsidR="00D94B05" w:rsidRPr="00D0321B" w:rsidRDefault="00D0321B" w:rsidP="002360B8">
    <w:pPr>
      <w:pStyle w:val="Footer"/>
      <w:tabs>
        <w:tab w:val="left" w:pos="5775"/>
        <w:tab w:val="right" w:pos="9598"/>
        <w:tab w:val="right" w:pos="9638"/>
      </w:tabs>
      <w:jc w:val="right"/>
      <w:rPr>
        <w:sz w:val="18"/>
      </w:rPr>
    </w:pPr>
    <w:r>
      <w:rPr>
        <w:b/>
        <w:sz w:val="18"/>
      </w:rPr>
      <w:tab/>
    </w:r>
    <w:r w:rsidRPr="00D0321B">
      <w:rPr>
        <w:sz w:val="18"/>
      </w:rPr>
      <w:fldChar w:fldCharType="begin"/>
    </w:r>
    <w:r w:rsidRPr="00D0321B">
      <w:rPr>
        <w:sz w:val="18"/>
      </w:rPr>
      <w:instrText xml:space="preserve"> PAGE  \* MERGEFORMAT </w:instrText>
    </w:r>
    <w:r w:rsidRPr="00D0321B">
      <w:rPr>
        <w:sz w:val="18"/>
      </w:rPr>
      <w:fldChar w:fldCharType="separate"/>
    </w:r>
    <w:r w:rsidRPr="00D0321B">
      <w:rPr>
        <w:noProof/>
        <w:sz w:val="18"/>
      </w:rPr>
      <w:t>3</w:t>
    </w:r>
    <w:r w:rsidRPr="00D0321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7A0D" w14:textId="77777777" w:rsidR="00D94B05" w:rsidRPr="00D0321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3C793B9" wp14:editId="4A7B28B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11560" w14:textId="77777777" w:rsidR="00D0321B" w:rsidRPr="00C47B2E" w:rsidRDefault="00D0321B" w:rsidP="00C47B2E">
      <w:pPr>
        <w:tabs>
          <w:tab w:val="right" w:pos="2155"/>
        </w:tabs>
        <w:spacing w:after="80" w:line="240" w:lineRule="auto"/>
        <w:ind w:left="680"/>
      </w:pPr>
      <w:r>
        <w:rPr>
          <w:u w:val="single"/>
        </w:rPr>
        <w:tab/>
      </w:r>
    </w:p>
  </w:footnote>
  <w:footnote w:type="continuationSeparator" w:id="0">
    <w:p w14:paraId="15C961BD" w14:textId="77777777" w:rsidR="00D0321B" w:rsidRPr="00C47B2E" w:rsidRDefault="00D0321B" w:rsidP="005E716E">
      <w:pPr>
        <w:tabs>
          <w:tab w:val="right" w:pos="2155"/>
        </w:tabs>
        <w:spacing w:after="80" w:line="240" w:lineRule="auto"/>
        <w:ind w:left="680"/>
      </w:pPr>
      <w:r>
        <w:rPr>
          <w:u w:val="single"/>
        </w:rPr>
        <w:tab/>
      </w:r>
    </w:p>
  </w:footnote>
  <w:footnote w:type="continuationNotice" w:id="1">
    <w:p w14:paraId="3A549C52" w14:textId="77777777" w:rsidR="00D0321B" w:rsidRPr="00C47B2E" w:rsidRDefault="00D0321B" w:rsidP="00C47B2E">
      <w:pPr>
        <w:pStyle w:val="Footer"/>
      </w:pPr>
    </w:p>
  </w:footnote>
  <w:footnote w:id="2">
    <w:p w14:paraId="71D63F9C" w14:textId="77777777" w:rsidR="00D109EF" w:rsidRPr="004D0198" w:rsidRDefault="00D109EF" w:rsidP="00D109EF">
      <w:pPr>
        <w:pStyle w:val="FootnoteText"/>
        <w:tabs>
          <w:tab w:val="left" w:pos="1701"/>
        </w:tabs>
        <w:ind w:firstLine="0"/>
        <w:rPr>
          <w:lang w:val="fr-CH"/>
        </w:rPr>
      </w:pPr>
      <w:r>
        <w:rPr>
          <w:rStyle w:val="FootnoteReference"/>
        </w:rPr>
        <w:t>*</w:t>
      </w:r>
      <w:r>
        <w:t xml:space="preserve"> </w:t>
      </w:r>
      <w:r>
        <w:tab/>
      </w:r>
      <w:r w:rsidRPr="00B35579">
        <w:t>In accordance with the programme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5760" w14:textId="741FF9EF" w:rsidR="00D0321B" w:rsidRPr="00D0321B" w:rsidRDefault="00161732">
    <w:pPr>
      <w:pStyle w:val="Header"/>
    </w:pPr>
    <w:fldSimple w:instr=" TITLE  \* MERGEFORMAT ">
      <w:r w:rsidR="00C14410">
        <w:t>ST/SG/AC.10/C.4/2019/9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254F" w14:textId="49CDAB91" w:rsidR="00D94B05" w:rsidRPr="00D0321B" w:rsidRDefault="00161732" w:rsidP="00D0321B">
    <w:pPr>
      <w:pStyle w:val="Header"/>
      <w:jc w:val="right"/>
    </w:pPr>
    <w:fldSimple w:instr=" TITLE  \* MERGEFORMAT ">
      <w:r w:rsidR="00C14410">
        <w:t>ST/SG/AC.10/C.4/2019/9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1B"/>
    <w:rsid w:val="00042D29"/>
    <w:rsid w:val="00046E92"/>
    <w:rsid w:val="00063C90"/>
    <w:rsid w:val="000969B2"/>
    <w:rsid w:val="000C4044"/>
    <w:rsid w:val="000D22F0"/>
    <w:rsid w:val="00101B98"/>
    <w:rsid w:val="0013293C"/>
    <w:rsid w:val="00143743"/>
    <w:rsid w:val="00146643"/>
    <w:rsid w:val="001514D1"/>
    <w:rsid w:val="00161732"/>
    <w:rsid w:val="001E2096"/>
    <w:rsid w:val="002360B8"/>
    <w:rsid w:val="00247E2C"/>
    <w:rsid w:val="002A32CB"/>
    <w:rsid w:val="002D4A6F"/>
    <w:rsid w:val="002D5B2C"/>
    <w:rsid w:val="002D6C53"/>
    <w:rsid w:val="002E1DF2"/>
    <w:rsid w:val="002F032C"/>
    <w:rsid w:val="002F5595"/>
    <w:rsid w:val="00334F6A"/>
    <w:rsid w:val="00342AC8"/>
    <w:rsid w:val="00343302"/>
    <w:rsid w:val="003937D2"/>
    <w:rsid w:val="003979DE"/>
    <w:rsid w:val="003B4550"/>
    <w:rsid w:val="003D2A18"/>
    <w:rsid w:val="003F610E"/>
    <w:rsid w:val="00410F10"/>
    <w:rsid w:val="00413386"/>
    <w:rsid w:val="00461253"/>
    <w:rsid w:val="004856F5"/>
    <w:rsid w:val="004858F5"/>
    <w:rsid w:val="004A2814"/>
    <w:rsid w:val="004C0622"/>
    <w:rsid w:val="004F3094"/>
    <w:rsid w:val="005042C2"/>
    <w:rsid w:val="005E1FB6"/>
    <w:rsid w:val="005E716E"/>
    <w:rsid w:val="006476E1"/>
    <w:rsid w:val="006604DF"/>
    <w:rsid w:val="00671529"/>
    <w:rsid w:val="00692A26"/>
    <w:rsid w:val="006B51D0"/>
    <w:rsid w:val="0070489D"/>
    <w:rsid w:val="007268F9"/>
    <w:rsid w:val="00750282"/>
    <w:rsid w:val="00764440"/>
    <w:rsid w:val="0077101B"/>
    <w:rsid w:val="00790193"/>
    <w:rsid w:val="00791725"/>
    <w:rsid w:val="007C52B0"/>
    <w:rsid w:val="007C6033"/>
    <w:rsid w:val="00800BAB"/>
    <w:rsid w:val="008147C8"/>
    <w:rsid w:val="0081753A"/>
    <w:rsid w:val="00857D23"/>
    <w:rsid w:val="008D42E6"/>
    <w:rsid w:val="00914005"/>
    <w:rsid w:val="009411B4"/>
    <w:rsid w:val="00946F1D"/>
    <w:rsid w:val="009B6727"/>
    <w:rsid w:val="009C61E0"/>
    <w:rsid w:val="009D0139"/>
    <w:rsid w:val="009D717D"/>
    <w:rsid w:val="009F5CDC"/>
    <w:rsid w:val="00A072D7"/>
    <w:rsid w:val="00A775CF"/>
    <w:rsid w:val="00A9124C"/>
    <w:rsid w:val="00AD1A9C"/>
    <w:rsid w:val="00AF5DE1"/>
    <w:rsid w:val="00B0526F"/>
    <w:rsid w:val="00B06045"/>
    <w:rsid w:val="00B11990"/>
    <w:rsid w:val="00B206DD"/>
    <w:rsid w:val="00B52EF4"/>
    <w:rsid w:val="00B64FC5"/>
    <w:rsid w:val="00B777AD"/>
    <w:rsid w:val="00BA5F8B"/>
    <w:rsid w:val="00BD23D7"/>
    <w:rsid w:val="00C03015"/>
    <w:rsid w:val="00C0358D"/>
    <w:rsid w:val="00C14410"/>
    <w:rsid w:val="00C35A27"/>
    <w:rsid w:val="00C47B2E"/>
    <w:rsid w:val="00D0321B"/>
    <w:rsid w:val="00D063FC"/>
    <w:rsid w:val="00D109EF"/>
    <w:rsid w:val="00D63CD2"/>
    <w:rsid w:val="00D74143"/>
    <w:rsid w:val="00D87DC2"/>
    <w:rsid w:val="00D94B05"/>
    <w:rsid w:val="00E01D8B"/>
    <w:rsid w:val="00E02C2B"/>
    <w:rsid w:val="00E13D1F"/>
    <w:rsid w:val="00E21C27"/>
    <w:rsid w:val="00E26BCF"/>
    <w:rsid w:val="00E52109"/>
    <w:rsid w:val="00E75317"/>
    <w:rsid w:val="00E7574C"/>
    <w:rsid w:val="00EC0CE6"/>
    <w:rsid w:val="00EC5E3D"/>
    <w:rsid w:val="00EC7C1D"/>
    <w:rsid w:val="00ED6C48"/>
    <w:rsid w:val="00EE3045"/>
    <w:rsid w:val="00F65F5D"/>
    <w:rsid w:val="00F86A3A"/>
    <w:rsid w:val="00F914C7"/>
    <w:rsid w:val="00FB287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DFC586"/>
  <w15:docId w15:val="{BC4B112A-3FD3-4AF7-BD6E-033C9EEB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143743"/>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1AA7-6FA5-4D55-8864-913FB303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339</TotalTime>
  <Pages>4</Pages>
  <Words>723</Words>
  <Characters>4123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ST/SG/AC.10/C.4/2019/9</vt: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ST/SG/AC.10/C.4/2019/9</dc:title>
  <dc:subject/>
  <dc:creator>RGC</dc:creator>
  <cp:lastModifiedBy>Laurence Berthet</cp:lastModifiedBy>
  <cp:revision>21</cp:revision>
  <cp:lastPrinted>2019-09-12T14:24:00Z</cp:lastPrinted>
  <dcterms:created xsi:type="dcterms:W3CDTF">2019-08-22T09:32:00Z</dcterms:created>
  <dcterms:modified xsi:type="dcterms:W3CDTF">2019-09-12T14:24:00Z</dcterms:modified>
</cp:coreProperties>
</file>