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307"/>
        <w:gridCol w:w="2835"/>
      </w:tblGrid>
      <w:tr w:rsidR="005E0F7B" w:rsidRPr="00471D64" w14:paraId="0FFE53DE" w14:textId="77777777" w:rsidTr="00FE069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5D4E2367" w:rsidR="005E0F7B" w:rsidRDefault="00DC6892" w:rsidP="00DC049D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>
              <w:t>/SG/AC.10/C.4/2019/</w:t>
            </w:r>
            <w:r w:rsidR="00C83C77">
              <w:t>10</w:t>
            </w:r>
          </w:p>
        </w:tc>
      </w:tr>
      <w:tr w:rsidR="005E0F7B" w:rsidRPr="005E0F7B" w14:paraId="077A4DB1" w14:textId="77777777" w:rsidTr="004D0198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77777777" w:rsidR="005E0F7B" w:rsidRDefault="00FD21A9">
            <w:pPr>
              <w:spacing w:before="120"/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2AC8DDEE" w:rsidR="005E0F7B" w:rsidRPr="005C67A3" w:rsidRDefault="002A6810">
            <w:pPr>
              <w:suppressAutoHyphens w:val="0"/>
            </w:pPr>
            <w:r>
              <w:t>11</w:t>
            </w:r>
            <w:r w:rsidR="00FE0693">
              <w:t xml:space="preserve"> </w:t>
            </w:r>
            <w:r w:rsidR="00DC049D">
              <w:t>September</w:t>
            </w:r>
            <w:r w:rsidR="00A065BA">
              <w:t xml:space="preserve"> 201</w:t>
            </w:r>
            <w:r w:rsidR="00E91706">
              <w:t>9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394"/>
      </w:tblGrid>
      <w:tr w:rsidR="00A6743D" w:rsidRPr="00D76B09" w14:paraId="7F11AE8F" w14:textId="77777777" w:rsidTr="00F16CB6">
        <w:tc>
          <w:tcPr>
            <w:tcW w:w="5245" w:type="dxa"/>
            <w:shd w:val="clear" w:color="auto" w:fill="auto"/>
          </w:tcPr>
          <w:p w14:paraId="579A627B" w14:textId="39492A0A" w:rsidR="00A6743D" w:rsidRPr="00D76B09" w:rsidRDefault="00F16CB6" w:rsidP="00A6743D">
            <w:pPr>
              <w:spacing w:before="120" w:after="120"/>
              <w:rPr>
                <w:b/>
              </w:rPr>
            </w:pPr>
            <w:r w:rsidRPr="00D76B09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394" w:type="dxa"/>
            <w:shd w:val="clear" w:color="auto" w:fill="auto"/>
          </w:tcPr>
          <w:p w14:paraId="58C0FF5E" w14:textId="27EE1C7A" w:rsidR="00A6743D" w:rsidRPr="00D76B09" w:rsidRDefault="00A6743D" w:rsidP="00A6743D">
            <w:pPr>
              <w:spacing w:before="120"/>
              <w:rPr>
                <w:b/>
              </w:rPr>
            </w:pPr>
          </w:p>
        </w:tc>
      </w:tr>
      <w:tr w:rsidR="00A6743D" w:rsidRPr="00D76B09" w14:paraId="4C950D29" w14:textId="77777777" w:rsidTr="00F16CB6">
        <w:tc>
          <w:tcPr>
            <w:tcW w:w="5245" w:type="dxa"/>
            <w:shd w:val="clear" w:color="auto" w:fill="auto"/>
          </w:tcPr>
          <w:p w14:paraId="646295FD" w14:textId="022EED32" w:rsidR="00A6743D" w:rsidRPr="00D76B09" w:rsidRDefault="00F16CB6" w:rsidP="00DC049D">
            <w:pPr>
              <w:rPr>
                <w:b/>
              </w:rPr>
            </w:pPr>
            <w:r w:rsidRPr="00D76B09">
              <w:rPr>
                <w:b/>
              </w:rPr>
              <w:t>Thirty-</w:t>
            </w:r>
            <w:r>
              <w:rPr>
                <w:b/>
              </w:rPr>
              <w:t>eight</w:t>
            </w:r>
            <w:r w:rsidR="00FE1672">
              <w:rPr>
                <w:b/>
              </w:rPr>
              <w:t>h</w:t>
            </w:r>
            <w:r w:rsidRPr="00D76B09">
              <w:rPr>
                <w:b/>
              </w:rPr>
              <w:t xml:space="preserve"> session</w:t>
            </w:r>
          </w:p>
        </w:tc>
        <w:tc>
          <w:tcPr>
            <w:tcW w:w="4394" w:type="dxa"/>
            <w:shd w:val="clear" w:color="auto" w:fill="auto"/>
          </w:tcPr>
          <w:p w14:paraId="3520F649" w14:textId="71E85C68" w:rsidR="00A6743D" w:rsidRPr="00D76B09" w:rsidRDefault="00A6743D" w:rsidP="00DC049D">
            <w:pPr>
              <w:rPr>
                <w:b/>
              </w:rPr>
            </w:pPr>
          </w:p>
        </w:tc>
      </w:tr>
      <w:tr w:rsidR="00A6743D" w:rsidRPr="00012035" w14:paraId="1228EDAD" w14:textId="77777777" w:rsidTr="00F16CB6">
        <w:trPr>
          <w:trHeight w:val="1118"/>
        </w:trPr>
        <w:tc>
          <w:tcPr>
            <w:tcW w:w="5245" w:type="dxa"/>
            <w:shd w:val="clear" w:color="auto" w:fill="auto"/>
          </w:tcPr>
          <w:p w14:paraId="0D26B20B" w14:textId="64F7092C" w:rsidR="00A6743D" w:rsidRDefault="00F16CB6" w:rsidP="00A6743D">
            <w:pPr>
              <w:ind w:right="57"/>
            </w:pPr>
            <w:r>
              <w:t>Geneva, 11</w:t>
            </w:r>
            <w:r w:rsidR="00A6743D">
              <w:t>-</w:t>
            </w:r>
            <w:r>
              <w:t>13</w:t>
            </w:r>
            <w:r w:rsidR="00A6743D">
              <w:t xml:space="preserve"> </w:t>
            </w:r>
            <w:r w:rsidR="00DC049D">
              <w:t>December</w:t>
            </w:r>
            <w:r w:rsidR="00A6743D">
              <w:t xml:space="preserve"> 2019</w:t>
            </w:r>
          </w:p>
          <w:p w14:paraId="208902CD" w14:textId="41864163" w:rsidR="00A6743D" w:rsidRPr="005A0185" w:rsidRDefault="00A6743D" w:rsidP="00A6743D">
            <w:pPr>
              <w:ind w:right="57"/>
            </w:pPr>
            <w:r w:rsidRPr="005A0185">
              <w:t xml:space="preserve">Item </w:t>
            </w:r>
            <w:r>
              <w:t>2</w:t>
            </w:r>
            <w:r w:rsidRPr="005A0185">
              <w:t xml:space="preserve"> (</w:t>
            </w:r>
            <w:r w:rsidR="00F16CB6">
              <w:t>b</w:t>
            </w:r>
            <w:r w:rsidRPr="005A0185">
              <w:t>) of the provisional agenda</w:t>
            </w:r>
          </w:p>
          <w:p w14:paraId="347FF79B" w14:textId="77777777" w:rsidR="00F16CB6" w:rsidRDefault="00F16CB6" w:rsidP="00F16CB6">
            <w:pPr>
              <w:rPr>
                <w:b/>
                <w:bCs/>
              </w:rPr>
            </w:pPr>
            <w:r w:rsidRPr="00012035">
              <w:rPr>
                <w:b/>
                <w:bCs/>
              </w:rPr>
              <w:t>Classification criteria and related hazard communication:</w:t>
            </w:r>
          </w:p>
          <w:p w14:paraId="1CC5E2DD" w14:textId="3343B457" w:rsidR="00A570C0" w:rsidRPr="00277336" w:rsidRDefault="00BB6224" w:rsidP="00F16CB6">
            <w:pPr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A570C0">
              <w:rPr>
                <w:b/>
                <w:bCs/>
              </w:rPr>
              <w:t>eview of Chapter 2.1</w:t>
            </w:r>
          </w:p>
        </w:tc>
        <w:tc>
          <w:tcPr>
            <w:tcW w:w="4394" w:type="dxa"/>
            <w:shd w:val="clear" w:color="auto" w:fill="auto"/>
          </w:tcPr>
          <w:p w14:paraId="2466ADDE" w14:textId="496A7F79" w:rsidR="00A570C0" w:rsidRPr="00012035" w:rsidRDefault="00A570C0" w:rsidP="007607F5">
            <w:pPr>
              <w:rPr>
                <w:b/>
                <w:bCs/>
              </w:rPr>
            </w:pPr>
          </w:p>
        </w:tc>
      </w:tr>
    </w:tbl>
    <w:p w14:paraId="435AB9E1" w14:textId="5C3CB491" w:rsidR="00E41283" w:rsidRDefault="002A6810" w:rsidP="00C4121D">
      <w:pPr>
        <w:pStyle w:val="HChG"/>
      </w:pPr>
      <w:r>
        <w:tab/>
      </w:r>
      <w:r>
        <w:tab/>
      </w:r>
      <w:r w:rsidR="00A43A76">
        <w:t>R</w:t>
      </w:r>
      <w:r w:rsidR="008114A7">
        <w:t>evi</w:t>
      </w:r>
      <w:r w:rsidR="009A483B">
        <w:t>ew</w:t>
      </w:r>
      <w:r w:rsidR="008114A7">
        <w:t xml:space="preserve"> of GHS </w:t>
      </w:r>
      <w:r w:rsidR="00271C18" w:rsidRPr="00271C18">
        <w:t>Chapter 2.1</w:t>
      </w:r>
      <w:r w:rsidR="00A43A76">
        <w:t xml:space="preserve"> GHS (explosives)</w:t>
      </w:r>
      <w:r w:rsidR="00D70D76">
        <w:t xml:space="preserve"> – status report</w:t>
      </w:r>
      <w:r w:rsidR="00D86604">
        <w:t xml:space="preserve"> on the development of </w:t>
      </w:r>
      <w:r w:rsidR="00A43A76">
        <w:t>an</w:t>
      </w:r>
      <w:r w:rsidR="00D86604">
        <w:t xml:space="preserve"> </w:t>
      </w:r>
      <w:r w:rsidR="00A43A76">
        <w:t>extended</w:t>
      </w:r>
      <w:r w:rsidR="00D86604">
        <w:t xml:space="preserve"> classification system</w:t>
      </w:r>
    </w:p>
    <w:p w14:paraId="75FD3243" w14:textId="40C9E0F2" w:rsidR="00E41283" w:rsidRPr="00E41283" w:rsidRDefault="00E41283" w:rsidP="00E41283">
      <w:pPr>
        <w:pStyle w:val="H1G"/>
      </w:pPr>
      <w:r>
        <w:tab/>
      </w:r>
      <w:r>
        <w:tab/>
      </w:r>
      <w:r w:rsidR="006A5661" w:rsidRPr="0064541A">
        <w:rPr>
          <w:lang w:val="en-US"/>
        </w:rPr>
        <w:t xml:space="preserve">Transmitted by the </w:t>
      </w:r>
      <w:r w:rsidR="00271C18">
        <w:rPr>
          <w:lang w:val="en-US"/>
        </w:rPr>
        <w:t>expert from Sweden</w:t>
      </w:r>
      <w:r w:rsidR="004D0198">
        <w:rPr>
          <w:rStyle w:val="FootnoteReference"/>
          <w:lang w:val="en-US"/>
        </w:rPr>
        <w:footnoteReference w:customMarkFollows="1" w:id="2"/>
        <w:t>*</w:t>
      </w:r>
    </w:p>
    <w:p w14:paraId="74159490" w14:textId="4EEEA568" w:rsidR="00E41283" w:rsidRDefault="00E41283" w:rsidP="00C4121D">
      <w:pPr>
        <w:pStyle w:val="HChG"/>
        <w:rPr>
          <w:szCs w:val="28"/>
        </w:rPr>
      </w:pPr>
      <w:r>
        <w:tab/>
      </w:r>
      <w:r>
        <w:tab/>
      </w:r>
      <w:r w:rsidR="00271C18" w:rsidRPr="00F16CB6">
        <w:t>Background</w:t>
      </w:r>
    </w:p>
    <w:p w14:paraId="73162D9D" w14:textId="070F77ED" w:rsidR="0061237F" w:rsidRDefault="00793234" w:rsidP="009A483B">
      <w:pPr>
        <w:pStyle w:val="SingleTxtG"/>
        <w:tabs>
          <w:tab w:val="left" w:pos="1701"/>
        </w:tabs>
      </w:pPr>
      <w:r>
        <w:t>1</w:t>
      </w:r>
      <w:r w:rsidR="00271C18">
        <w:t>.</w:t>
      </w:r>
      <w:r w:rsidR="00271C18">
        <w:tab/>
      </w:r>
      <w:r w:rsidRPr="00793234">
        <w:t xml:space="preserve">The work on revising Chapter 2.1 for Explosives in the GHS has been going on since </w:t>
      </w:r>
      <w:r w:rsidR="00680481">
        <w:t xml:space="preserve">the </w:t>
      </w:r>
      <w:r w:rsidR="00325257">
        <w:t>twenty-ninth</w:t>
      </w:r>
      <w:r w:rsidRPr="00793234">
        <w:t xml:space="preserve"> session of the </w:t>
      </w:r>
      <w:r>
        <w:t>Sub-Committee of Experts on the Globally Harmonized System (</w:t>
      </w:r>
      <w:r w:rsidRPr="00793234">
        <w:t>SCEGHS</w:t>
      </w:r>
      <w:r>
        <w:t>)</w:t>
      </w:r>
      <w:r w:rsidR="001153C6">
        <w:t xml:space="preserve">. It is discussed within an </w:t>
      </w:r>
      <w:r w:rsidR="00867955">
        <w:t>I</w:t>
      </w:r>
      <w:r w:rsidR="001153C6">
        <w:t xml:space="preserve">nformal </w:t>
      </w:r>
      <w:r w:rsidR="00867955">
        <w:t>C</w:t>
      </w:r>
      <w:r w:rsidR="001153C6">
        <w:t xml:space="preserve">orrespondence </w:t>
      </w:r>
      <w:r w:rsidR="00867955">
        <w:t>G</w:t>
      </w:r>
      <w:r w:rsidR="001153C6">
        <w:t>roup (ICG)</w:t>
      </w:r>
      <w:r w:rsidR="006C46F2">
        <w:t xml:space="preserve"> le</w:t>
      </w:r>
      <w:r w:rsidR="006E3537">
        <w:t xml:space="preserve">d by the </w:t>
      </w:r>
      <w:r w:rsidRPr="00793234">
        <w:t>expert from Sweden</w:t>
      </w:r>
      <w:r w:rsidR="00E90014">
        <w:t>, and the progress</w:t>
      </w:r>
      <w:r w:rsidR="0061237F">
        <w:t xml:space="preserve"> of the work</w:t>
      </w:r>
      <w:r w:rsidR="00B824F3">
        <w:t xml:space="preserve"> has been reported</w:t>
      </w:r>
      <w:r w:rsidR="00E90014">
        <w:t xml:space="preserve"> in </w:t>
      </w:r>
      <w:r w:rsidR="00325257">
        <w:t>s</w:t>
      </w:r>
      <w:r w:rsidR="00E90014">
        <w:t xml:space="preserve">tatus </w:t>
      </w:r>
      <w:r w:rsidR="00325257">
        <w:t>r</w:t>
      </w:r>
      <w:r w:rsidR="00E90014">
        <w:t xml:space="preserve">eports since </w:t>
      </w:r>
      <w:r w:rsidR="00E16C68">
        <w:t>the</w:t>
      </w:r>
      <w:r w:rsidR="00E90014">
        <w:t xml:space="preserve"> </w:t>
      </w:r>
      <w:r w:rsidR="00325257">
        <w:t>thirtieth</w:t>
      </w:r>
      <w:r w:rsidR="00E90014">
        <w:t xml:space="preserve"> session of the SCEGHS</w:t>
      </w:r>
      <w:r w:rsidRPr="00793234">
        <w:t>.</w:t>
      </w:r>
      <w:r w:rsidR="004D0198">
        <w:rPr>
          <w:rStyle w:val="FootnoteReference"/>
        </w:rPr>
        <w:footnoteReference w:customMarkFollows="1" w:id="3"/>
        <w:t>1</w:t>
      </w:r>
      <w:r w:rsidR="00BE4AAC">
        <w:t xml:space="preserve"> The work has resulted in a</w:t>
      </w:r>
      <w:r w:rsidR="009A483B">
        <w:t xml:space="preserve"> possible</w:t>
      </w:r>
      <w:r w:rsidR="00D00D63">
        <w:t xml:space="preserve"> extended</w:t>
      </w:r>
      <w:r w:rsidR="00BE4AAC">
        <w:t xml:space="preserve"> classification system for the GHS, with developed criteria and with </w:t>
      </w:r>
      <w:r w:rsidR="009A483B">
        <w:t xml:space="preserve">associated </w:t>
      </w:r>
      <w:r w:rsidR="00BE4AAC">
        <w:t>hazard commu</w:t>
      </w:r>
      <w:r w:rsidR="009A483B">
        <w:t>nication elements under development</w:t>
      </w:r>
      <w:r w:rsidR="00BE4AAC">
        <w:t>.</w:t>
      </w:r>
      <w:r w:rsidR="00BE4AAC" w:rsidRPr="00BE4AAC">
        <w:t xml:space="preserve"> </w:t>
      </w:r>
      <w:r w:rsidR="00BE4AAC">
        <w:t>This</w:t>
      </w:r>
      <w:r w:rsidR="00BE4AAC" w:rsidRPr="00793234">
        <w:t xml:space="preserve"> new </w:t>
      </w:r>
      <w:r w:rsidR="00BE4AAC">
        <w:t xml:space="preserve">GHS </w:t>
      </w:r>
      <w:r w:rsidR="00BE4AAC" w:rsidRPr="00793234">
        <w:t xml:space="preserve">classification system </w:t>
      </w:r>
      <w:r w:rsidR="00BE4AAC">
        <w:t xml:space="preserve">was outlined in Annex 1 to document </w:t>
      </w:r>
      <w:r w:rsidR="00C4121D">
        <w:t>ST/SG/AC.10/C.4/</w:t>
      </w:r>
      <w:r w:rsidR="00BB6224">
        <w:t xml:space="preserve">2019/5 </w:t>
      </w:r>
      <w:r w:rsidR="00BE4AAC">
        <w:t>(GHS thirty-seventh session).</w:t>
      </w:r>
    </w:p>
    <w:p w14:paraId="351877FE" w14:textId="25825FEF" w:rsidR="00A14920" w:rsidRDefault="0061237F" w:rsidP="00A14920">
      <w:pPr>
        <w:pStyle w:val="SingleTxtG"/>
        <w:tabs>
          <w:tab w:val="left" w:pos="1701"/>
        </w:tabs>
      </w:pPr>
      <w:r>
        <w:t>2.</w:t>
      </w:r>
      <w:r>
        <w:tab/>
      </w:r>
      <w:r w:rsidR="00A14920">
        <w:t xml:space="preserve">The </w:t>
      </w:r>
      <w:r w:rsidR="00BE4AAC">
        <w:t xml:space="preserve">new classification </w:t>
      </w:r>
      <w:r w:rsidR="00D70D76">
        <w:t>system</w:t>
      </w:r>
      <w:r w:rsidR="00BE4AAC">
        <w:t>’s main feature is that it</w:t>
      </w:r>
      <w:r w:rsidR="00D70D76">
        <w:t xml:space="preserve"> overcomes the </w:t>
      </w:r>
      <w:r w:rsidR="00D8376F">
        <w:t xml:space="preserve">current </w:t>
      </w:r>
      <w:r w:rsidR="00D70D76">
        <w:t xml:space="preserve">dependence </w:t>
      </w:r>
      <w:r w:rsidR="00051A9D">
        <w:t xml:space="preserve">of the GHS hazard communication </w:t>
      </w:r>
      <w:r w:rsidR="00D70D76">
        <w:t xml:space="preserve">on a </w:t>
      </w:r>
      <w:proofErr w:type="gramStart"/>
      <w:r w:rsidR="00D70D76">
        <w:t>particular configuration</w:t>
      </w:r>
      <w:proofErr w:type="gramEnd"/>
      <w:r w:rsidR="00D70D76">
        <w:t>, normally that for transport</w:t>
      </w:r>
      <w:r w:rsidR="00973C67">
        <w:t>. It</w:t>
      </w:r>
      <w:r w:rsidR="00D8376F">
        <w:t xml:space="preserve"> remains largely based on </w:t>
      </w:r>
      <w:r w:rsidR="00D70D76">
        <w:t>the divisions</w:t>
      </w:r>
      <w:r w:rsidR="00D8376F">
        <w:t xml:space="preserve"> currently used</w:t>
      </w:r>
      <w:r w:rsidR="00A14920">
        <w:t xml:space="preserve"> in both the GHS and the UN Model </w:t>
      </w:r>
      <w:proofErr w:type="gramStart"/>
      <w:r w:rsidR="00A14920">
        <w:t>Regulations,</w:t>
      </w:r>
      <w:r w:rsidR="00D8376F">
        <w:t xml:space="preserve"> but</w:t>
      </w:r>
      <w:proofErr w:type="gramEnd"/>
      <w:r w:rsidR="00D8376F">
        <w:t xml:space="preserve"> </w:t>
      </w:r>
      <w:r w:rsidR="00D00D63">
        <w:t>evaluates</w:t>
      </w:r>
      <w:r w:rsidR="00D8376F">
        <w:t xml:space="preserve"> the explosive behaviour </w:t>
      </w:r>
      <w:r w:rsidR="00D00D63">
        <w:t xml:space="preserve">down </w:t>
      </w:r>
      <w:r w:rsidR="00D8376F">
        <w:t xml:space="preserve">to the level of the primary packaging (normally the innermost container) and </w:t>
      </w:r>
      <w:r w:rsidR="00D00D63">
        <w:t>validates</w:t>
      </w:r>
      <w:r w:rsidR="00D8376F">
        <w:t xml:space="preserve"> whether </w:t>
      </w:r>
      <w:r w:rsidR="00A14920">
        <w:t xml:space="preserve">or not </w:t>
      </w:r>
      <w:r w:rsidR="00D8376F">
        <w:t xml:space="preserve">the explosive effect </w:t>
      </w:r>
      <w:r w:rsidR="00D00D63">
        <w:t xml:space="preserve">as reflected by the division </w:t>
      </w:r>
      <w:r w:rsidR="00D8376F">
        <w:t xml:space="preserve">is also </w:t>
      </w:r>
      <w:r w:rsidR="00D00D63">
        <w:t>accurate</w:t>
      </w:r>
      <w:r w:rsidR="00D8376F">
        <w:t xml:space="preserve"> at that level. This removes the </w:t>
      </w:r>
      <w:r w:rsidR="00B824F3">
        <w:t xml:space="preserve">possible mitigating </w:t>
      </w:r>
      <w:r w:rsidR="00D8376F">
        <w:t xml:space="preserve">effect that the </w:t>
      </w:r>
      <w:r w:rsidR="00A14920">
        <w:t xml:space="preserve">(transport) </w:t>
      </w:r>
      <w:r w:rsidR="00D8376F">
        <w:t xml:space="preserve">configuration </w:t>
      </w:r>
      <w:r w:rsidR="00B824F3">
        <w:t>may have</w:t>
      </w:r>
      <w:r w:rsidR="004737AD">
        <w:t xml:space="preserve">, which can be </w:t>
      </w:r>
      <w:r w:rsidR="004737AD">
        <w:lastRenderedPageBreak/>
        <w:t xml:space="preserve">substantial, </w:t>
      </w:r>
      <w:r w:rsidR="00D00D63">
        <w:t>and thereby</w:t>
      </w:r>
      <w:r w:rsidR="004737AD">
        <w:t xml:space="preserve"> allow</w:t>
      </w:r>
      <w:r w:rsidR="00D00D63">
        <w:t>s</w:t>
      </w:r>
      <w:r w:rsidR="004737AD">
        <w:t xml:space="preserve"> for appropriate </w:t>
      </w:r>
      <w:r w:rsidR="00B824F3">
        <w:t xml:space="preserve">GHS </w:t>
      </w:r>
      <w:r w:rsidR="004737AD">
        <w:t xml:space="preserve">hazard communication </w:t>
      </w:r>
      <w:r w:rsidR="009A483B">
        <w:t>for</w:t>
      </w:r>
      <w:r w:rsidR="00D00D63">
        <w:t xml:space="preserve"> the primary packaging.</w:t>
      </w:r>
    </w:p>
    <w:p w14:paraId="130073D4" w14:textId="6299A588" w:rsidR="00793234" w:rsidRDefault="004737AD" w:rsidP="00A14920">
      <w:pPr>
        <w:pStyle w:val="SingleTxtG"/>
        <w:tabs>
          <w:tab w:val="left" w:pos="1701"/>
        </w:tabs>
      </w:pPr>
      <w:r>
        <w:t>3.</w:t>
      </w:r>
      <w:r>
        <w:tab/>
      </w:r>
      <w:r w:rsidR="00BE4AAC">
        <w:t xml:space="preserve">Another feature of the </w:t>
      </w:r>
      <w:r w:rsidR="00973C67">
        <w:t xml:space="preserve">new system </w:t>
      </w:r>
      <w:r w:rsidR="00BE4AAC">
        <w:t>is to provide</w:t>
      </w:r>
      <w:r w:rsidR="00973C67">
        <w:t xml:space="preserve"> a </w:t>
      </w:r>
      <w:r w:rsidR="00BE4AAC">
        <w:t>means</w:t>
      </w:r>
      <w:r w:rsidR="00973C67">
        <w:t xml:space="preserve"> to classify explosives not </w:t>
      </w:r>
      <w:r>
        <w:t xml:space="preserve">assigned to a division for reasons </w:t>
      </w:r>
      <w:r w:rsidR="00D00D63">
        <w:t xml:space="preserve">other </w:t>
      </w:r>
      <w:r>
        <w:t xml:space="preserve">than being too sensitive (i.e. for other than “unstable explosives”), which the current system does not. </w:t>
      </w:r>
      <w:r w:rsidR="00D00D63">
        <w:t xml:space="preserve">For example, in </w:t>
      </w:r>
      <w:r>
        <w:t xml:space="preserve">explosives manufacturing and processing there is no </w:t>
      </w:r>
      <w:r w:rsidR="00B824F3">
        <w:t>(transport) configuration that can be subjected to the appropriate tests for</w:t>
      </w:r>
      <w:r>
        <w:t xml:space="preserve"> assign</w:t>
      </w:r>
      <w:r w:rsidR="00B824F3">
        <w:t>ing</w:t>
      </w:r>
      <w:r>
        <w:t xml:space="preserve"> a division, and hence no GHS classification can currently be assigned (unless they are “unstable explosives”). The new system </w:t>
      </w:r>
      <w:proofErr w:type="gramStart"/>
      <w:r w:rsidR="00B824F3">
        <w:t>is able to</w:t>
      </w:r>
      <w:proofErr w:type="gramEnd"/>
      <w:r>
        <w:t xml:space="preserve"> classify explosives also in this situation and assign GHS hazard communication elements to them.</w:t>
      </w:r>
    </w:p>
    <w:p w14:paraId="1E0108AB" w14:textId="534F0887" w:rsidR="00662858" w:rsidRPr="00662858" w:rsidRDefault="002A6810" w:rsidP="002A6810">
      <w:pPr>
        <w:pStyle w:val="HChG"/>
      </w:pPr>
      <w:r>
        <w:tab/>
      </w:r>
      <w:r>
        <w:tab/>
      </w:r>
      <w:r w:rsidR="00662858" w:rsidRPr="00662858">
        <w:t>Status report</w:t>
      </w:r>
    </w:p>
    <w:p w14:paraId="75A8CBC6" w14:textId="42A15413" w:rsidR="00AB5775" w:rsidRDefault="004737AD" w:rsidP="00973C67">
      <w:pPr>
        <w:pStyle w:val="SingleTxtG"/>
        <w:tabs>
          <w:tab w:val="left" w:pos="1701"/>
        </w:tabs>
      </w:pPr>
      <w:r>
        <w:t>4</w:t>
      </w:r>
      <w:r w:rsidR="00793234">
        <w:t>.</w:t>
      </w:r>
      <w:r w:rsidR="00793234">
        <w:tab/>
      </w:r>
      <w:r w:rsidR="00271C18" w:rsidRPr="00271C18">
        <w:t>At th</w:t>
      </w:r>
      <w:r w:rsidR="00580306">
        <w:t xml:space="preserve">e </w:t>
      </w:r>
      <w:r w:rsidR="00325257">
        <w:t>thirty-sixth</w:t>
      </w:r>
      <w:r w:rsidR="00580306">
        <w:t xml:space="preserve"> session of the SCEGHS, new</w:t>
      </w:r>
      <w:r w:rsidR="008360FD">
        <w:t xml:space="preserve"> </w:t>
      </w:r>
      <w:r w:rsidR="00325257">
        <w:t>t</w:t>
      </w:r>
      <w:r w:rsidR="008360FD">
        <w:t xml:space="preserve">erms of </w:t>
      </w:r>
      <w:r w:rsidR="00325257">
        <w:t>r</w:t>
      </w:r>
      <w:r w:rsidR="008360FD">
        <w:t xml:space="preserve">eference </w:t>
      </w:r>
      <w:r w:rsidR="006C46F2">
        <w:t xml:space="preserve">and </w:t>
      </w:r>
      <w:r w:rsidR="008360FD">
        <w:t xml:space="preserve">a </w:t>
      </w:r>
      <w:r w:rsidR="00325257">
        <w:t>p</w:t>
      </w:r>
      <w:r w:rsidR="008360FD">
        <w:t xml:space="preserve">rogramme of </w:t>
      </w:r>
      <w:r w:rsidR="00325257">
        <w:t>w</w:t>
      </w:r>
      <w:r w:rsidR="008360FD">
        <w:t>ork</w:t>
      </w:r>
      <w:r w:rsidR="00271C18" w:rsidRPr="00271C18">
        <w:t xml:space="preserve"> </w:t>
      </w:r>
      <w:r w:rsidR="00580306">
        <w:t>were adopted</w:t>
      </w:r>
      <w:r w:rsidR="008360FD">
        <w:t xml:space="preserve"> as reflected in</w:t>
      </w:r>
      <w:r w:rsidR="00580306">
        <w:t xml:space="preserve"> </w:t>
      </w:r>
      <w:r w:rsidR="00BB6224">
        <w:t xml:space="preserve">informal document </w:t>
      </w:r>
      <w:r w:rsidR="008360FD">
        <w:t>INF.43/Rev.1</w:t>
      </w:r>
      <w:r w:rsidR="00325257">
        <w:t xml:space="preserve"> (GHS, thirty-sixth session)</w:t>
      </w:r>
      <w:r w:rsidR="00AE3AB1">
        <w:t>. The</w:t>
      </w:r>
      <w:r w:rsidR="008360FD">
        <w:t xml:space="preserve"> </w:t>
      </w:r>
      <w:r w:rsidR="00325257">
        <w:t>p</w:t>
      </w:r>
      <w:r w:rsidR="008360FD">
        <w:t xml:space="preserve">rogramme of </w:t>
      </w:r>
      <w:r w:rsidR="00325257">
        <w:t>w</w:t>
      </w:r>
      <w:r w:rsidR="008360FD">
        <w:t>ork</w:t>
      </w:r>
      <w:r w:rsidR="00271C18" w:rsidRPr="00271C18">
        <w:t xml:space="preserve"> set</w:t>
      </w:r>
      <w:r w:rsidR="008360FD">
        <w:t>s</w:t>
      </w:r>
      <w:r w:rsidR="00271C18" w:rsidRPr="00271C18">
        <w:t xml:space="preserve"> out to complete the task of </w:t>
      </w:r>
      <w:r w:rsidR="00310C35">
        <w:t>reviewing</w:t>
      </w:r>
      <w:r w:rsidR="00271C18" w:rsidRPr="00271C18">
        <w:t xml:space="preserve"> Chapter 2.1 within the</w:t>
      </w:r>
      <w:r w:rsidR="008360FD">
        <w:t xml:space="preserve"> 2019-</w:t>
      </w:r>
      <w:r w:rsidR="00BB6224">
        <w:t>20</w:t>
      </w:r>
      <w:r w:rsidR="008360FD">
        <w:t>20 biennium and describes</w:t>
      </w:r>
      <w:r w:rsidR="00271C18" w:rsidRPr="00271C18">
        <w:t xml:space="preserve"> the route</w:t>
      </w:r>
      <w:r w:rsidR="00AE3AB1">
        <w:t xml:space="preserve"> to this goal</w:t>
      </w:r>
      <w:r w:rsidR="00271C18" w:rsidRPr="00271C18">
        <w:t xml:space="preserve"> in terms of four </w:t>
      </w:r>
      <w:r w:rsidR="001153C6">
        <w:t>work i</w:t>
      </w:r>
      <w:r w:rsidR="00271C18" w:rsidRPr="00271C18">
        <w:t>tems</w:t>
      </w:r>
      <w:r w:rsidR="00973C67">
        <w:t xml:space="preserve">. </w:t>
      </w:r>
      <w:r w:rsidR="006434B2">
        <w:t xml:space="preserve">These items were addressed in document </w:t>
      </w:r>
      <w:r w:rsidR="00BB6224">
        <w:t>ST/SG/AC.10/C.4/2019/</w:t>
      </w:r>
      <w:proofErr w:type="gramStart"/>
      <w:r w:rsidR="00BB6224">
        <w:t xml:space="preserve">5 </w:t>
      </w:r>
      <w:r w:rsidR="006434B2">
        <w:t xml:space="preserve"> to</w:t>
      </w:r>
      <w:proofErr w:type="gramEnd"/>
      <w:r w:rsidR="006434B2">
        <w:t xml:space="preserve"> the thirty-seventh session of the SCEGHS. During that session and in the meeting of the Working Group on Explosives (EWG) in parallel to the </w:t>
      </w:r>
      <w:r w:rsidR="00BB6224">
        <w:t>fifty-fifth</w:t>
      </w:r>
      <w:r w:rsidR="006434B2">
        <w:t xml:space="preserve"> session of the Sub-Committee of Experts on the Transport of Dangerous Goods (SCETDG), there was substantial further progress. A status report in terms of the</w:t>
      </w:r>
      <w:r w:rsidR="00973C67">
        <w:t xml:space="preserve"> items </w:t>
      </w:r>
      <w:r w:rsidR="006434B2">
        <w:t xml:space="preserve">of the programme of work </w:t>
      </w:r>
      <w:r w:rsidR="00973C67">
        <w:t>is given</w:t>
      </w:r>
      <w:r w:rsidR="00AE3AB1">
        <w:t xml:space="preserve"> below.</w:t>
      </w:r>
    </w:p>
    <w:p w14:paraId="03BF9BBC" w14:textId="1CB81264" w:rsidR="00271C18" w:rsidRPr="002D2FAF" w:rsidRDefault="002A6810" w:rsidP="002A6810">
      <w:pPr>
        <w:pStyle w:val="H1G"/>
      </w:pPr>
      <w:r>
        <w:tab/>
      </w:r>
      <w:r>
        <w:tab/>
      </w:r>
      <w:r w:rsidR="00271C18" w:rsidRPr="002D2FAF">
        <w:t>Item 1 – Finalise the criteria for the new system</w:t>
      </w:r>
    </w:p>
    <w:p w14:paraId="2CFEE8D7" w14:textId="65BE66DE" w:rsidR="00AC12B0" w:rsidRDefault="004737AD" w:rsidP="00AC12B0">
      <w:pPr>
        <w:pStyle w:val="SingleTxtG"/>
        <w:tabs>
          <w:tab w:val="left" w:pos="1701"/>
        </w:tabs>
      </w:pPr>
      <w:r>
        <w:rPr>
          <w:lang w:val="en-US"/>
        </w:rPr>
        <w:t>5</w:t>
      </w:r>
      <w:r w:rsidR="00271C18">
        <w:rPr>
          <w:lang w:val="en-US"/>
        </w:rPr>
        <w:t>.</w:t>
      </w:r>
      <w:r w:rsidR="00271C18">
        <w:rPr>
          <w:lang w:val="en-US"/>
        </w:rPr>
        <w:tab/>
      </w:r>
      <w:r w:rsidR="00271C18" w:rsidRPr="00271C18">
        <w:t xml:space="preserve">The criteria for the various classifications within the new </w:t>
      </w:r>
      <w:r w:rsidR="008360FD">
        <w:t xml:space="preserve">GHS </w:t>
      </w:r>
      <w:r w:rsidR="00271C18" w:rsidRPr="00271C18">
        <w:t>system were</w:t>
      </w:r>
      <w:r w:rsidR="00DC049D">
        <w:t xml:space="preserve"> </w:t>
      </w:r>
      <w:r w:rsidR="00F40AC5">
        <w:t xml:space="preserve">essentially </w:t>
      </w:r>
      <w:r w:rsidR="00DC049D">
        <w:t xml:space="preserve">finalized </w:t>
      </w:r>
      <w:r w:rsidR="00AB5775">
        <w:t>in</w:t>
      </w:r>
      <w:r w:rsidR="00DC049D">
        <w:t xml:space="preserve"> the combined meeting of the ICG and the </w:t>
      </w:r>
      <w:r w:rsidR="006434B2">
        <w:t>EWG</w:t>
      </w:r>
      <w:r w:rsidR="00DC049D">
        <w:t xml:space="preserve"> held in parallel </w:t>
      </w:r>
      <w:r w:rsidR="00310C35">
        <w:t>to</w:t>
      </w:r>
      <w:r w:rsidR="00DC049D">
        <w:t xml:space="preserve"> the fifty-fifth </w:t>
      </w:r>
      <w:r w:rsidR="00DC049D" w:rsidRPr="00271C18">
        <w:t xml:space="preserve">session of the </w:t>
      </w:r>
      <w:r w:rsidR="006434B2">
        <w:t>SCETDG</w:t>
      </w:r>
      <w:r w:rsidR="00DC049D">
        <w:t xml:space="preserve">. </w:t>
      </w:r>
      <w:r w:rsidR="006B4FBA">
        <w:t>These criteria</w:t>
      </w:r>
      <w:r w:rsidR="00DC049D">
        <w:t xml:space="preserve"> are re</w:t>
      </w:r>
      <w:r w:rsidR="00310C35">
        <w:t>flected</w:t>
      </w:r>
      <w:r w:rsidR="00DC049D">
        <w:t xml:space="preserve"> in the report of the EWG</w:t>
      </w:r>
      <w:r w:rsidR="00C941C4">
        <w:rPr>
          <w:rStyle w:val="FootnoteReference"/>
        </w:rPr>
        <w:footnoteReference w:id="4"/>
      </w:r>
      <w:r w:rsidR="00C941C4">
        <w:t xml:space="preserve">, </w:t>
      </w:r>
      <w:r w:rsidR="00DC049D">
        <w:t xml:space="preserve">reproduced </w:t>
      </w:r>
      <w:r w:rsidR="00AB5775">
        <w:t>as</w:t>
      </w:r>
      <w:r w:rsidR="00DC049D">
        <w:t xml:space="preserve"> </w:t>
      </w:r>
      <w:r w:rsidR="00BB6224">
        <w:t xml:space="preserve">informal document </w:t>
      </w:r>
      <w:r w:rsidR="00DC049D">
        <w:t>INF.24</w:t>
      </w:r>
      <w:r w:rsidR="00C941C4">
        <w:t>,</w:t>
      </w:r>
      <w:r w:rsidR="00DC049D">
        <w:t xml:space="preserve"> and in </w:t>
      </w:r>
      <w:r w:rsidR="00BB6224">
        <w:t xml:space="preserve">informal document </w:t>
      </w:r>
      <w:r w:rsidR="00DC049D">
        <w:t>INF.21</w:t>
      </w:r>
      <w:r w:rsidR="00C941C4">
        <w:rPr>
          <w:rStyle w:val="FootnoteReference"/>
        </w:rPr>
        <w:footnoteReference w:id="5"/>
      </w:r>
      <w:r w:rsidR="00DC049D">
        <w:t xml:space="preserve"> (GHS thirty-seventh session).</w:t>
      </w:r>
      <w:r w:rsidR="006B4FBA">
        <w:t xml:space="preserve"> They were subsequently shown</w:t>
      </w:r>
      <w:r w:rsidR="00310C35">
        <w:t>, explained</w:t>
      </w:r>
      <w:r w:rsidR="006B4FBA">
        <w:t xml:space="preserve"> and illustrated at the meeting of the ICG that took </w:t>
      </w:r>
      <w:r w:rsidR="00AB5775">
        <w:t>place</w:t>
      </w:r>
      <w:r w:rsidR="006B4FBA">
        <w:t xml:space="preserve"> during the thirty-seventh session of SCEGHS.</w:t>
      </w:r>
    </w:p>
    <w:p w14:paraId="2117D28F" w14:textId="42233D09" w:rsidR="006B4FBA" w:rsidRDefault="004737AD" w:rsidP="00F06753">
      <w:pPr>
        <w:pStyle w:val="SingleTxtG"/>
        <w:tabs>
          <w:tab w:val="left" w:pos="1701"/>
        </w:tabs>
      </w:pPr>
      <w:r>
        <w:t>6</w:t>
      </w:r>
      <w:r w:rsidR="00AC12B0">
        <w:t>.</w:t>
      </w:r>
      <w:r w:rsidR="00AC12B0">
        <w:tab/>
      </w:r>
      <w:r w:rsidR="006B4FBA">
        <w:t xml:space="preserve">While the criteria were </w:t>
      </w:r>
      <w:r w:rsidR="00F40AC5">
        <w:t xml:space="preserve">essentially </w:t>
      </w:r>
      <w:r w:rsidR="006B4FBA">
        <w:t xml:space="preserve">finalized, the issue of whether an exclusion should be made for substances and mixtures in the research and development phase, and if so under what conditions, </w:t>
      </w:r>
      <w:r w:rsidR="009A483B">
        <w:t xml:space="preserve">was not fully </w:t>
      </w:r>
      <w:r w:rsidR="006B4FBA">
        <w:t xml:space="preserve">resolved. </w:t>
      </w:r>
      <w:proofErr w:type="gramStart"/>
      <w:r w:rsidR="00F40AC5">
        <w:t>Also</w:t>
      </w:r>
      <w:proofErr w:type="gramEnd"/>
      <w:r w:rsidR="00F40AC5">
        <w:t xml:space="preserve"> </w:t>
      </w:r>
      <w:r w:rsidR="009A483B">
        <w:t>regarding</w:t>
      </w:r>
      <w:r w:rsidR="00F40AC5">
        <w:t xml:space="preserve"> </w:t>
      </w:r>
      <w:r w:rsidR="009A483B">
        <w:t>the exclusion</w:t>
      </w:r>
      <w:r w:rsidR="00F40AC5">
        <w:t xml:space="preserve"> of </w:t>
      </w:r>
      <w:r w:rsidR="00F06753">
        <w:t xml:space="preserve">certain </w:t>
      </w:r>
      <w:r w:rsidR="00F40AC5">
        <w:t>substance</w:t>
      </w:r>
      <w:r w:rsidR="00F06753">
        <w:t>s,</w:t>
      </w:r>
      <w:r w:rsidR="00F40AC5">
        <w:t xml:space="preserve"> mixtures </w:t>
      </w:r>
      <w:r w:rsidR="00F06753">
        <w:t xml:space="preserve">and articles </w:t>
      </w:r>
      <w:r w:rsidR="00F40AC5">
        <w:t>that ha</w:t>
      </w:r>
      <w:r w:rsidR="00F06753">
        <w:t>ve been excluded from</w:t>
      </w:r>
      <w:r w:rsidR="00F40AC5">
        <w:t xml:space="preserve"> Class 1 </w:t>
      </w:r>
      <w:r w:rsidR="00F06753">
        <w:t>of the UN Model Regulations via specific UN</w:t>
      </w:r>
      <w:r w:rsidR="00BB6224">
        <w:t xml:space="preserve"> </w:t>
      </w:r>
      <w:r w:rsidR="00F06753">
        <w:t>numbers in the Dangerous Goods List</w:t>
      </w:r>
      <w:r w:rsidR="009A483B">
        <w:t>, the matter</w:t>
      </w:r>
      <w:r w:rsidR="00F06753">
        <w:t xml:space="preserve"> </w:t>
      </w:r>
      <w:r w:rsidR="00F40AC5">
        <w:t xml:space="preserve">was not completely settled. </w:t>
      </w:r>
      <w:r w:rsidR="006434B2">
        <w:t xml:space="preserve">Furthermore, </w:t>
      </w:r>
      <w:r w:rsidR="00973C67">
        <w:t xml:space="preserve">there </w:t>
      </w:r>
      <w:r w:rsidR="006434B2">
        <w:t>is still some work</w:t>
      </w:r>
      <w:r w:rsidR="00973C67">
        <w:t xml:space="preserve"> needed in order to </w:t>
      </w:r>
      <w:r w:rsidR="006434B2">
        <w:t>word the criteria</w:t>
      </w:r>
      <w:r w:rsidR="00F06753">
        <w:t xml:space="preserve"> clearly and</w:t>
      </w:r>
      <w:r w:rsidR="006434B2">
        <w:t xml:space="preserve"> present them in </w:t>
      </w:r>
      <w:r w:rsidR="00F06753">
        <w:t>a</w:t>
      </w:r>
      <w:r w:rsidR="006434B2">
        <w:t xml:space="preserve"> logical </w:t>
      </w:r>
      <w:r w:rsidR="00F06753">
        <w:t>way</w:t>
      </w:r>
      <w:r w:rsidR="00F40AC5">
        <w:t>.</w:t>
      </w:r>
    </w:p>
    <w:p w14:paraId="09589F2E" w14:textId="01659582" w:rsidR="00F40AC5" w:rsidRDefault="00A30277" w:rsidP="00271C18">
      <w:pPr>
        <w:pStyle w:val="SingleTxtG"/>
        <w:tabs>
          <w:tab w:val="left" w:pos="1701"/>
        </w:tabs>
      </w:pPr>
      <w:r>
        <w:t>7</w:t>
      </w:r>
      <w:r w:rsidR="00F40AC5">
        <w:t>.</w:t>
      </w:r>
      <w:r w:rsidR="00F40AC5">
        <w:tab/>
        <w:t xml:space="preserve">Discussions are on-going within the ICG </w:t>
      </w:r>
      <w:r w:rsidR="009A04CF">
        <w:t>t</w:t>
      </w:r>
      <w:r w:rsidR="00F06753">
        <w:t>o</w:t>
      </w:r>
      <w:r w:rsidR="009A04CF">
        <w:t xml:space="preserve"> address the above </w:t>
      </w:r>
      <w:r w:rsidR="00F06753">
        <w:t xml:space="preserve">issues </w:t>
      </w:r>
      <w:r w:rsidR="009A04CF">
        <w:t>and to develop appropriate guidance to aid in the practical application of the criteria</w:t>
      </w:r>
      <w:r w:rsidR="00F40AC5">
        <w:t xml:space="preserve">. As the EWG does not </w:t>
      </w:r>
      <w:r w:rsidR="00D30D68">
        <w:t>convene</w:t>
      </w:r>
      <w:r w:rsidR="0010388A">
        <w:t xml:space="preserve"> again</w:t>
      </w:r>
      <w:r w:rsidR="00F40AC5">
        <w:t xml:space="preserve"> until </w:t>
      </w:r>
      <w:r w:rsidR="00D30D68">
        <w:t>the fifty-seventh session of the SCETDG in the summer of</w:t>
      </w:r>
      <w:r w:rsidR="00F40AC5">
        <w:t xml:space="preserve"> 2020, the expert from Sweden hopes that </w:t>
      </w:r>
      <w:r w:rsidR="00F06753">
        <w:t xml:space="preserve">at least </w:t>
      </w:r>
      <w:proofErr w:type="gramStart"/>
      <w:r w:rsidR="00F40AC5">
        <w:t>the majority of</w:t>
      </w:r>
      <w:proofErr w:type="gramEnd"/>
      <w:r w:rsidR="00F40AC5">
        <w:t xml:space="preserve"> the remaining work can be done via correspondence and telephone conferences before that meeting</w:t>
      </w:r>
      <w:r w:rsidR="00F06753">
        <w:t xml:space="preserve"> takes place</w:t>
      </w:r>
      <w:r w:rsidR="00F40AC5">
        <w:t>.</w:t>
      </w:r>
    </w:p>
    <w:p w14:paraId="328C4AB0" w14:textId="6CA4EC66" w:rsidR="00271C18" w:rsidRPr="00271C18" w:rsidRDefault="002A6810" w:rsidP="002A6810">
      <w:pPr>
        <w:pStyle w:val="H1G"/>
        <w:spacing w:before="240" w:after="120"/>
      </w:pPr>
      <w:r>
        <w:lastRenderedPageBreak/>
        <w:tab/>
      </w:r>
      <w:r>
        <w:tab/>
      </w:r>
      <w:r w:rsidR="00271C18" w:rsidRPr="00271C18">
        <w:t xml:space="preserve">Item 2 – Assign appropriate hazard communication elements and </w:t>
      </w:r>
      <w:r w:rsidR="00271C18">
        <w:t>p</w:t>
      </w:r>
      <w:r w:rsidR="00271C18" w:rsidRPr="00271C18">
        <w:t>recautionary statements</w:t>
      </w:r>
    </w:p>
    <w:p w14:paraId="67CF609C" w14:textId="620D1899" w:rsidR="009A483B" w:rsidRDefault="00A30277" w:rsidP="00F40AC5">
      <w:pPr>
        <w:pStyle w:val="SingleTxtG"/>
        <w:tabs>
          <w:tab w:val="left" w:pos="1701"/>
        </w:tabs>
      </w:pPr>
      <w:r>
        <w:t>8</w:t>
      </w:r>
      <w:r w:rsidR="00271C18">
        <w:t>.</w:t>
      </w:r>
      <w:r w:rsidR="00271C18">
        <w:tab/>
      </w:r>
      <w:r w:rsidR="006B4FBA">
        <w:t xml:space="preserve">At the meeting of the ICG during the thirty-seventh </w:t>
      </w:r>
      <w:r w:rsidR="00F40AC5">
        <w:t xml:space="preserve">session of the </w:t>
      </w:r>
      <w:r w:rsidR="006B4FBA">
        <w:t xml:space="preserve">SCEGHS, </w:t>
      </w:r>
      <w:r w:rsidR="00F06753">
        <w:t>the main item for discussion was</w:t>
      </w:r>
      <w:r w:rsidR="006B4FBA">
        <w:t xml:space="preserve"> the hazard communication elements for the various classifications</w:t>
      </w:r>
      <w:r w:rsidR="009A483B">
        <w:t xml:space="preserve"> of the new classification system</w:t>
      </w:r>
      <w:r w:rsidR="006B4FBA">
        <w:t xml:space="preserve">. </w:t>
      </w:r>
      <w:r w:rsidR="00AC12B0">
        <w:t xml:space="preserve">The outcome of these discussions is presented in </w:t>
      </w:r>
      <w:r w:rsidR="00BB6224">
        <w:t xml:space="preserve">informal document </w:t>
      </w:r>
      <w:r w:rsidR="00AC12B0">
        <w:t>INF.2</w:t>
      </w:r>
      <w:r w:rsidR="001642EF">
        <w:t>6</w:t>
      </w:r>
      <w:r w:rsidR="00AC12B0">
        <w:t xml:space="preserve"> (GHS, thirty-seventh session). M</w:t>
      </w:r>
      <w:r w:rsidR="00C42743">
        <w:t>any</w:t>
      </w:r>
      <w:r w:rsidR="00AC12B0">
        <w:t xml:space="preserve"> of the hazard communication elements could be </w:t>
      </w:r>
      <w:r w:rsidR="009A04CF">
        <w:t xml:space="preserve">tentatively </w:t>
      </w:r>
      <w:r w:rsidR="00AC12B0">
        <w:t xml:space="preserve">agreed, but for some </w:t>
      </w:r>
      <w:r w:rsidR="009A04CF">
        <w:t xml:space="preserve">there is </w:t>
      </w:r>
      <w:r w:rsidR="001A7855">
        <w:t>additional</w:t>
      </w:r>
      <w:r w:rsidR="00AC12B0">
        <w:t xml:space="preserve"> work needed</w:t>
      </w:r>
      <w:r w:rsidR="009A483B">
        <w:t xml:space="preserve">. </w:t>
      </w:r>
    </w:p>
    <w:p w14:paraId="6620AA64" w14:textId="7FC18CDE" w:rsidR="00AB5775" w:rsidRDefault="009A483B" w:rsidP="00F40AC5">
      <w:pPr>
        <w:pStyle w:val="SingleTxtG"/>
        <w:tabs>
          <w:tab w:val="left" w:pos="1701"/>
        </w:tabs>
      </w:pPr>
      <w:proofErr w:type="gramStart"/>
      <w:r>
        <w:t>9.</w:t>
      </w:r>
      <w:r>
        <w:tab/>
        <w:t>In particular, the</w:t>
      </w:r>
      <w:proofErr w:type="gramEnd"/>
      <w:r>
        <w:t xml:space="preserve"> occurrence of a symbol or not for </w:t>
      </w:r>
      <w:r w:rsidR="00BB6224">
        <w:t>sub</w:t>
      </w:r>
      <w:r>
        <w:t>-category 2C, the additional hazard communication for “sensitive” explosives in Category 1</w:t>
      </w:r>
      <w:r w:rsidR="009242B5">
        <w:t>,</w:t>
      </w:r>
      <w:r>
        <w:t xml:space="preserve"> and the way to state the division on the label for at least </w:t>
      </w:r>
      <w:r w:rsidR="00BB6224">
        <w:t>sub</w:t>
      </w:r>
      <w:r>
        <w:t xml:space="preserve">-category 2A are items that </w:t>
      </w:r>
      <w:r w:rsidR="001A7855">
        <w:t xml:space="preserve">need further </w:t>
      </w:r>
      <w:r w:rsidR="00E95925">
        <w:t>deliberations</w:t>
      </w:r>
      <w:r w:rsidR="00AC12B0">
        <w:t>.</w:t>
      </w:r>
      <w:r w:rsidR="00B15CB0">
        <w:t xml:space="preserve"> </w:t>
      </w:r>
      <w:r w:rsidR="00CB37BE">
        <w:t xml:space="preserve">The hazard communication elements are </w:t>
      </w:r>
      <w:r w:rsidR="00F40AC5">
        <w:t>under discussion within the ICG</w:t>
      </w:r>
      <w:r w:rsidR="009A04CF">
        <w:t xml:space="preserve"> and can be expected to be further</w:t>
      </w:r>
      <w:r w:rsidR="009242B5">
        <w:t xml:space="preserve"> debated</w:t>
      </w:r>
      <w:r w:rsidR="009A04CF">
        <w:t xml:space="preserve"> at the thirty-eight session of the SCEGHS.</w:t>
      </w:r>
    </w:p>
    <w:p w14:paraId="458D905E" w14:textId="3F460E58" w:rsidR="00271C18" w:rsidRPr="00271C18" w:rsidRDefault="002A6810" w:rsidP="002A6810">
      <w:pPr>
        <w:pStyle w:val="H1G"/>
        <w:spacing w:before="240" w:after="120"/>
      </w:pPr>
      <w:r>
        <w:tab/>
      </w:r>
      <w:r>
        <w:tab/>
      </w:r>
      <w:r w:rsidR="00271C18" w:rsidRPr="00271C18">
        <w:t xml:space="preserve">Item 3 – Draft a new GHS Chapter 2.1 and review the Manual </w:t>
      </w:r>
      <w:r w:rsidR="00325257">
        <w:t xml:space="preserve">of </w:t>
      </w:r>
      <w:r w:rsidR="00BB6224">
        <w:t xml:space="preserve">Tests </w:t>
      </w:r>
      <w:r w:rsidR="00325257">
        <w:t xml:space="preserve">and Criteria </w:t>
      </w:r>
      <w:r w:rsidR="00271C18" w:rsidRPr="00271C18">
        <w:t>for associated amendments needed</w:t>
      </w:r>
    </w:p>
    <w:p w14:paraId="4A9922BF" w14:textId="28DB1F0C" w:rsidR="001642EF" w:rsidRDefault="009A483B" w:rsidP="00D21CD7">
      <w:pPr>
        <w:pStyle w:val="SingleTxtG"/>
        <w:tabs>
          <w:tab w:val="left" w:pos="1701"/>
        </w:tabs>
      </w:pPr>
      <w:r>
        <w:t>10</w:t>
      </w:r>
      <w:r w:rsidR="00271C18">
        <w:t>.</w:t>
      </w:r>
      <w:r w:rsidR="00271C18">
        <w:tab/>
      </w:r>
      <w:r w:rsidR="00CB37BE">
        <w:t>A draft</w:t>
      </w:r>
      <w:r w:rsidR="00524B19">
        <w:t xml:space="preserve"> new</w:t>
      </w:r>
      <w:r w:rsidR="00CB37BE">
        <w:t xml:space="preserve"> Chapter 2.1 based on the criteria and hazard communication elements as reported in</w:t>
      </w:r>
      <w:r w:rsidR="00F40AC5">
        <w:t xml:space="preserve"> the aforementioned </w:t>
      </w:r>
      <w:r w:rsidR="00BB6224">
        <w:t xml:space="preserve">documents </w:t>
      </w:r>
      <w:r w:rsidR="001642EF">
        <w:t>was put together by the expert from Sweden and sent out to the ICG in the beg</w:t>
      </w:r>
      <w:r w:rsidR="009A04CF">
        <w:t>inning of July 2019</w:t>
      </w:r>
      <w:r w:rsidR="00601455">
        <w:t>,</w:t>
      </w:r>
      <w:r w:rsidR="009A04CF">
        <w:t xml:space="preserve"> for commenting</w:t>
      </w:r>
      <w:r w:rsidR="001642EF">
        <w:t>. As July and August are summer vacation months for most members of the ICG, few comments have been received at the time of writing and</w:t>
      </w:r>
      <w:r w:rsidR="00F40AC5">
        <w:t xml:space="preserve"> further </w:t>
      </w:r>
      <w:r w:rsidR="009A04CF">
        <w:t>input is</w:t>
      </w:r>
      <w:r w:rsidR="00F40AC5">
        <w:t xml:space="preserve"> expected after the submission of</w:t>
      </w:r>
      <w:r w:rsidR="00D00D63">
        <w:t xml:space="preserve"> this</w:t>
      </w:r>
      <w:r w:rsidR="00F40AC5">
        <w:t xml:space="preserve"> document.</w:t>
      </w:r>
    </w:p>
    <w:p w14:paraId="6C0674D2" w14:textId="6730EA60" w:rsidR="001642EF" w:rsidRDefault="001642EF" w:rsidP="00D21CD7">
      <w:pPr>
        <w:pStyle w:val="SingleTxtG"/>
        <w:tabs>
          <w:tab w:val="left" w:pos="1701"/>
        </w:tabs>
      </w:pPr>
      <w:r>
        <w:t>1</w:t>
      </w:r>
      <w:r w:rsidR="009A483B">
        <w:t>1</w:t>
      </w:r>
      <w:r>
        <w:t>.</w:t>
      </w:r>
      <w:r>
        <w:tab/>
        <w:t xml:space="preserve">The expert from Sweden has also circulated a list of precautionary statements currently applied to </w:t>
      </w:r>
      <w:r w:rsidR="009A04CF">
        <w:t>e</w:t>
      </w:r>
      <w:r>
        <w:t>xplosives</w:t>
      </w:r>
      <w:r w:rsidR="003813FF">
        <w:t xml:space="preserve">, and asked members of the ICG to indicate how they </w:t>
      </w:r>
      <w:r w:rsidR="00841525">
        <w:t xml:space="preserve">think these </w:t>
      </w:r>
      <w:r w:rsidR="009A04CF">
        <w:t xml:space="preserve">should </w:t>
      </w:r>
      <w:r w:rsidR="003813FF">
        <w:t>be applied to the ne</w:t>
      </w:r>
      <w:r w:rsidR="00881657">
        <w:t>w</w:t>
      </w:r>
      <w:r w:rsidR="003813FF">
        <w:t xml:space="preserve"> classifications.</w:t>
      </w:r>
      <w:r w:rsidR="00881657">
        <w:t xml:space="preserve"> Also</w:t>
      </w:r>
      <w:r w:rsidR="00BB6224">
        <w:t>,</w:t>
      </w:r>
      <w:r w:rsidR="00881657">
        <w:t xml:space="preserve"> </w:t>
      </w:r>
      <w:r w:rsidR="00B822D6">
        <w:t>regarding</w:t>
      </w:r>
      <w:r w:rsidR="00881657">
        <w:t xml:space="preserve"> this, answers are expected to come </w:t>
      </w:r>
      <w:r w:rsidR="00601455">
        <w:t>after the submission of this document</w:t>
      </w:r>
      <w:r w:rsidR="00881657">
        <w:t>.</w:t>
      </w:r>
      <w:r w:rsidR="00841525">
        <w:t xml:space="preserve"> At the point of writing, no analysis has yet been made regarding any </w:t>
      </w:r>
      <w:r w:rsidR="00D00D63">
        <w:t>consequential</w:t>
      </w:r>
      <w:r w:rsidR="00841525">
        <w:t xml:space="preserve"> amendments needed to the Manual of Tests and Criteria.</w:t>
      </w:r>
    </w:p>
    <w:p w14:paraId="6494EB7B" w14:textId="051804D6" w:rsidR="00CB37BE" w:rsidRDefault="009A483B" w:rsidP="00662858">
      <w:pPr>
        <w:pStyle w:val="SingleTxtG"/>
        <w:tabs>
          <w:tab w:val="left" w:pos="1701"/>
        </w:tabs>
      </w:pPr>
      <w:r>
        <w:t>12</w:t>
      </w:r>
      <w:r w:rsidR="001642EF">
        <w:t>.</w:t>
      </w:r>
      <w:r w:rsidR="001642EF">
        <w:tab/>
        <w:t xml:space="preserve"> Discussions </w:t>
      </w:r>
      <w:r w:rsidR="00841525">
        <w:t>are assumed to</w:t>
      </w:r>
      <w:r w:rsidR="001642EF">
        <w:t xml:space="preserve"> follow </w:t>
      </w:r>
      <w:r w:rsidR="00841525">
        <w:t>with</w:t>
      </w:r>
      <w:r w:rsidR="001642EF">
        <w:t xml:space="preserve">in the ICG during the </w:t>
      </w:r>
      <w:r w:rsidR="00A30277">
        <w:t xml:space="preserve">autumn </w:t>
      </w:r>
      <w:r w:rsidR="003E4785">
        <w:t xml:space="preserve">of </w:t>
      </w:r>
      <w:r w:rsidR="00A30277">
        <w:t>2019,</w:t>
      </w:r>
      <w:r w:rsidR="001642EF">
        <w:t xml:space="preserve"> based on the comments received, with the aim of producing an advanced draft new Chapter 2.1 for presentation to the SCEGHS at its thirty-eight </w:t>
      </w:r>
      <w:r w:rsidR="009A04CF">
        <w:t>session</w:t>
      </w:r>
      <w:r w:rsidR="00841525">
        <w:t>. A</w:t>
      </w:r>
      <w:r w:rsidR="001642EF">
        <w:t xml:space="preserve">n informal document </w:t>
      </w:r>
      <w:r w:rsidR="009A04CF">
        <w:t>containing that draft</w:t>
      </w:r>
      <w:r w:rsidR="00841525">
        <w:t xml:space="preserve"> chapter</w:t>
      </w:r>
      <w:r w:rsidR="009A04CF">
        <w:t xml:space="preserve"> can be expected</w:t>
      </w:r>
      <w:r w:rsidR="00601455">
        <w:t xml:space="preserve"> to appear</w:t>
      </w:r>
      <w:r w:rsidR="009A04CF">
        <w:t xml:space="preserve"> in</w:t>
      </w:r>
      <w:r w:rsidR="00601455">
        <w:t xml:space="preserve"> early</w:t>
      </w:r>
      <w:r w:rsidR="009A04CF">
        <w:t xml:space="preserve"> November 2019, </w:t>
      </w:r>
      <w:r w:rsidR="00662858">
        <w:t>to</w:t>
      </w:r>
      <w:r w:rsidR="009A04CF" w:rsidRPr="009A04CF">
        <w:t xml:space="preserve"> </w:t>
      </w:r>
      <w:r w:rsidR="009A04CF">
        <w:t>supplement this working document</w:t>
      </w:r>
      <w:r w:rsidR="006A413A">
        <w:t>.</w:t>
      </w:r>
    </w:p>
    <w:p w14:paraId="5D4022E1" w14:textId="6573F52C" w:rsidR="00271C18" w:rsidRPr="007607F5" w:rsidRDefault="002A6810" w:rsidP="002A6810">
      <w:pPr>
        <w:pStyle w:val="H1G"/>
        <w:spacing w:before="240" w:after="120"/>
        <w:rPr>
          <w:lang w:val="en-US"/>
        </w:rPr>
      </w:pPr>
      <w:r>
        <w:tab/>
      </w:r>
      <w:r>
        <w:tab/>
      </w:r>
      <w:r w:rsidR="00271C18" w:rsidRPr="00104F50">
        <w:t xml:space="preserve">Item 4 – Propose a new Chapter 2.1 for inclusion in the </w:t>
      </w:r>
      <w:r w:rsidR="00325257">
        <w:t>ninth</w:t>
      </w:r>
      <w:r w:rsidR="00271C18" w:rsidRPr="00104F50">
        <w:t xml:space="preserve"> revised edition of the GHS, and the associated changes to the Manual</w:t>
      </w:r>
      <w:r w:rsidR="00325257">
        <w:t xml:space="preserve"> of Tests and Criteria</w:t>
      </w:r>
    </w:p>
    <w:p w14:paraId="408C95E6" w14:textId="060B3DAB" w:rsidR="00AE3AB1" w:rsidRDefault="009A483B" w:rsidP="003813FF">
      <w:pPr>
        <w:pStyle w:val="SingleTxtG"/>
        <w:tabs>
          <w:tab w:val="left" w:pos="1701"/>
        </w:tabs>
      </w:pPr>
      <w:r>
        <w:t>13</w:t>
      </w:r>
      <w:r w:rsidR="00271C18">
        <w:t>.</w:t>
      </w:r>
      <w:r w:rsidR="00271C18">
        <w:tab/>
      </w:r>
      <w:r w:rsidR="003813FF">
        <w:t xml:space="preserve">As indicated at the meeting of the ICG during the thirty-seventh session of the SCEGHS, an attempt will be made to present a firm proposal for a new </w:t>
      </w:r>
      <w:r w:rsidR="009A04CF">
        <w:t xml:space="preserve">GHS </w:t>
      </w:r>
      <w:r w:rsidR="003813FF">
        <w:t>Chapter 2.1 to the thirty-ninth session of the SCEGHS.</w:t>
      </w:r>
      <w:r w:rsidR="00841525">
        <w:t xml:space="preserve"> This will be based on the comments received to the draft chapter as </w:t>
      </w:r>
      <w:r w:rsidR="00662858">
        <w:t xml:space="preserve">presented </w:t>
      </w:r>
      <w:r w:rsidR="00841525">
        <w:t xml:space="preserve">in the forthcoming informal </w:t>
      </w:r>
      <w:r w:rsidR="00A30277">
        <w:t>paper mentioned above</w:t>
      </w:r>
      <w:r w:rsidR="003C3A95">
        <w:t xml:space="preserve">, and </w:t>
      </w:r>
      <w:r w:rsidR="003E4785">
        <w:t xml:space="preserve">members of the SCEGHS </w:t>
      </w:r>
      <w:r w:rsidR="00AE0BC1">
        <w:t>who</w:t>
      </w:r>
      <w:r w:rsidR="003E4785">
        <w:t xml:space="preserve"> have views </w:t>
      </w:r>
      <w:r w:rsidR="00A93D3B">
        <w:t xml:space="preserve">are encouraged </w:t>
      </w:r>
      <w:r w:rsidR="003E4785">
        <w:t>to bring them forward.</w:t>
      </w:r>
    </w:p>
    <w:p w14:paraId="1A5DCD02" w14:textId="632857BC" w:rsidR="00662858" w:rsidRPr="00662858" w:rsidRDefault="002A6810" w:rsidP="00C4121D">
      <w:pPr>
        <w:pStyle w:val="H1G"/>
      </w:pPr>
      <w:r>
        <w:tab/>
      </w:r>
      <w:r>
        <w:tab/>
      </w:r>
      <w:r w:rsidR="00662858" w:rsidRPr="00662858">
        <w:t>Upcoming discussions</w:t>
      </w:r>
    </w:p>
    <w:p w14:paraId="65554E48" w14:textId="7942CDEC" w:rsidR="00662858" w:rsidRPr="003813FF" w:rsidRDefault="009A483B" w:rsidP="003813FF">
      <w:pPr>
        <w:pStyle w:val="SingleTxtG"/>
        <w:tabs>
          <w:tab w:val="left" w:pos="1701"/>
        </w:tabs>
      </w:pPr>
      <w:r>
        <w:t>14</w:t>
      </w:r>
      <w:r w:rsidR="00662858">
        <w:t>.</w:t>
      </w:r>
      <w:r w:rsidR="00662858">
        <w:tab/>
        <w:t xml:space="preserve">It can be expected that a meeting of the ICG </w:t>
      </w:r>
      <w:r w:rsidR="003E4785">
        <w:t>on the</w:t>
      </w:r>
      <w:r w:rsidR="00662858">
        <w:t xml:space="preserve"> revi</w:t>
      </w:r>
      <w:r w:rsidR="003E4785">
        <w:t>ew of</w:t>
      </w:r>
      <w:r w:rsidR="00662858">
        <w:t xml:space="preserve"> GHS Chapter 2.1 will be held during, or in the margins of, the thirty-eight session of the SCEGHS. The expert from Sweden looks forward to these discussions and thanks the ICG</w:t>
      </w:r>
      <w:r w:rsidR="00BB6224">
        <w:t xml:space="preserve"> </w:t>
      </w:r>
      <w:r w:rsidR="00662858">
        <w:t>members that have worked hard thus far towards finalisation of this item before the biennium is over.</w:t>
      </w:r>
    </w:p>
    <w:p w14:paraId="3E41D562" w14:textId="3531A2B9" w:rsidR="00587FFB" w:rsidRPr="00051A9D" w:rsidRDefault="002A6810" w:rsidP="00C4121D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7FFB" w:rsidRPr="00051A9D" w:rsidSect="004D0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B38C" w14:textId="77777777" w:rsidR="00AB4C74" w:rsidRDefault="00AB4C74"/>
  </w:endnote>
  <w:endnote w:type="continuationSeparator" w:id="0">
    <w:p w14:paraId="64F69934" w14:textId="77777777" w:rsidR="00AB4C74" w:rsidRDefault="00AB4C74"/>
  </w:endnote>
  <w:endnote w:type="continuationNotice" w:id="1">
    <w:p w14:paraId="7E62834A" w14:textId="77777777" w:rsidR="00AB4C74" w:rsidRDefault="00AB4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6404" w14:textId="32250785" w:rsidR="00A6743D" w:rsidRPr="00556E07" w:rsidRDefault="00A6743D" w:rsidP="00556E07">
    <w:pPr>
      <w:pStyle w:val="Footer"/>
      <w:rPr>
        <w:sz w:val="18"/>
        <w:szCs w:val="22"/>
      </w:rPr>
    </w:pPr>
    <w:r w:rsidRPr="00556E07">
      <w:rPr>
        <w:b/>
        <w:sz w:val="18"/>
        <w:szCs w:val="22"/>
      </w:rPr>
      <w:fldChar w:fldCharType="begin"/>
    </w:r>
    <w:r w:rsidRPr="00556E07">
      <w:rPr>
        <w:b/>
        <w:sz w:val="18"/>
        <w:szCs w:val="22"/>
      </w:rPr>
      <w:instrText xml:space="preserve"> PAGE   \* MERGEFORMAT </w:instrText>
    </w:r>
    <w:r w:rsidRPr="00556E07">
      <w:rPr>
        <w:b/>
        <w:sz w:val="18"/>
        <w:szCs w:val="22"/>
      </w:rPr>
      <w:fldChar w:fldCharType="separate"/>
    </w:r>
    <w:r w:rsidR="0010388A">
      <w:rPr>
        <w:b/>
        <w:noProof/>
        <w:sz w:val="18"/>
        <w:szCs w:val="22"/>
      </w:rPr>
      <w:t>2</w:t>
    </w:r>
    <w:r w:rsidRPr="00556E07">
      <w:rPr>
        <w:b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A8CE" w14:textId="39D3C716" w:rsidR="00A6743D" w:rsidRPr="00432CFD" w:rsidRDefault="00A6743D" w:rsidP="00556E07">
    <w:pPr>
      <w:pStyle w:val="Footer"/>
      <w:jc w:val="right"/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237B3B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968F" w14:textId="77777777" w:rsidR="00AB4C74" w:rsidRPr="000B175B" w:rsidRDefault="00AB4C7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7DBEDF" w14:textId="77777777" w:rsidR="00AB4C74" w:rsidRPr="00FC68B7" w:rsidRDefault="00AB4C7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283DF2" w14:textId="77777777" w:rsidR="00AB4C74" w:rsidRDefault="00AB4C74"/>
  </w:footnote>
  <w:footnote w:id="2">
    <w:p w14:paraId="1BC7682D" w14:textId="3368AAB8" w:rsidR="004D0198" w:rsidRPr="004D0198" w:rsidRDefault="004D0198" w:rsidP="004D0198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B35579">
        <w:t>In accordance with the programme of work of the Sub-Committee for 2019-2020 approved by the Committee at its ninth session (see ST/SG/AC.10/C.3/108, paragraph 141 and ST/SG/AC.10/46, paragraph 14).</w:t>
      </w:r>
    </w:p>
  </w:footnote>
  <w:footnote w:id="3">
    <w:p w14:paraId="7E4C6842" w14:textId="3CDD43B8" w:rsidR="004D0198" w:rsidRPr="004D0198" w:rsidRDefault="004D0198" w:rsidP="004D0198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1</w:t>
      </w:r>
      <w:r>
        <w:t xml:space="preserve"> </w:t>
      </w:r>
      <w:r>
        <w:tab/>
        <w:t xml:space="preserve">These </w:t>
      </w:r>
      <w:r w:rsidR="00325257">
        <w:t>s</w:t>
      </w:r>
      <w:r>
        <w:t xml:space="preserve">tatus </w:t>
      </w:r>
      <w:r w:rsidR="00325257">
        <w:t>r</w:t>
      </w:r>
      <w:r>
        <w:t>eports have also been submitted to the Sub-Committee of Experts on the Transport of Dangerous Goods (SCETDG), in their capacity as focal point for the physical hazards of the GHS.</w:t>
      </w:r>
    </w:p>
  </w:footnote>
  <w:footnote w:id="4">
    <w:p w14:paraId="6FC94AEC" w14:textId="5E77AB88" w:rsidR="00C941C4" w:rsidRPr="00C941C4" w:rsidRDefault="00C941C4" w:rsidP="002A6810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 w:rsidR="002A6810">
        <w:tab/>
      </w:r>
      <w:r w:rsidRPr="00C941C4">
        <w:t xml:space="preserve">INF.55 to the SCETDG, fifty-fifth </w:t>
      </w:r>
      <w:r>
        <w:t>session.</w:t>
      </w:r>
    </w:p>
  </w:footnote>
  <w:footnote w:id="5">
    <w:p w14:paraId="05D77953" w14:textId="2FFC790B" w:rsidR="00C941C4" w:rsidRPr="00C941C4" w:rsidRDefault="00C941C4" w:rsidP="002A6810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 w:rsidR="002A6810">
        <w:tab/>
      </w:r>
      <w:r w:rsidRPr="00C941C4">
        <w:t xml:space="preserve">INF.56 to the SCETDG, fifty-fifth </w:t>
      </w:r>
      <w:r>
        <w:t>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00D1DDE9" w:rsidR="00A6743D" w:rsidRPr="000A6BBA" w:rsidRDefault="00DC6892" w:rsidP="00DC6892">
    <w:pPr>
      <w:pStyle w:val="Header"/>
    </w:pPr>
    <w:r w:rsidRPr="00C31773">
      <w:rPr>
        <w:iCs/>
      </w:rPr>
      <w:t>ST/SG/AC.10/C.4/2019/</w:t>
    </w:r>
    <w:r w:rsidR="002A6810">
      <w:rPr>
        <w:iCs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0980" w14:textId="764E00BA" w:rsidR="00A6743D" w:rsidRPr="00DC6892" w:rsidRDefault="00DC6892" w:rsidP="00DC6892">
    <w:pPr>
      <w:pStyle w:val="Header"/>
      <w:jc w:val="right"/>
    </w:pPr>
    <w:r w:rsidRPr="00AF6EE1">
      <w:rPr>
        <w:lang w:val="en-US"/>
      </w:rPr>
      <w:t>ST/SG/AC.10/C.4/2019/</w:t>
    </w:r>
    <w:r w:rsidR="002A6810">
      <w:rPr>
        <w:lang w:val="en-US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8D43" w14:textId="43008030" w:rsidR="00A6743D" w:rsidRPr="00F82A8B" w:rsidRDefault="00A6743D" w:rsidP="00F82A8B">
    <w:pPr>
      <w:pStyle w:val="Header"/>
      <w:pBdr>
        <w:bottom w:val="none" w:sz="0" w:space="0" w:color="auto"/>
      </w:pBdr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7469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89D32B8"/>
    <w:multiLevelType w:val="hybridMultilevel"/>
    <w:tmpl w:val="3CD889FE"/>
    <w:lvl w:ilvl="0" w:tplc="4664D14E">
      <w:start w:val="3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4A6171"/>
    <w:multiLevelType w:val="hybridMultilevel"/>
    <w:tmpl w:val="F572D808"/>
    <w:lvl w:ilvl="0" w:tplc="001C8B8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DF1450"/>
    <w:multiLevelType w:val="hybridMultilevel"/>
    <w:tmpl w:val="9AFAD11A"/>
    <w:lvl w:ilvl="0" w:tplc="4240DF22">
      <w:start w:val="9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298F191A"/>
    <w:multiLevelType w:val="hybridMultilevel"/>
    <w:tmpl w:val="2B1ADD9E"/>
    <w:lvl w:ilvl="0" w:tplc="B8BCB884">
      <w:start w:val="9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14934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ABE1E11"/>
    <w:multiLevelType w:val="hybridMultilevel"/>
    <w:tmpl w:val="367EF882"/>
    <w:lvl w:ilvl="0" w:tplc="C59A5018">
      <w:start w:val="9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B8157A2"/>
    <w:multiLevelType w:val="hybridMultilevel"/>
    <w:tmpl w:val="748E0422"/>
    <w:lvl w:ilvl="0" w:tplc="001C8B80">
      <w:start w:val="1"/>
      <w:numFmt w:val="lowerRoman"/>
      <w:lvlText w:val="(%1)"/>
      <w:lvlJc w:val="left"/>
      <w:pPr>
        <w:ind w:left="29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54" w:hanging="360"/>
      </w:pPr>
    </w:lvl>
    <w:lvl w:ilvl="2" w:tplc="0407001B" w:tentative="1">
      <w:start w:val="1"/>
      <w:numFmt w:val="lowerRoman"/>
      <w:lvlText w:val="%3."/>
      <w:lvlJc w:val="right"/>
      <w:pPr>
        <w:ind w:left="4374" w:hanging="180"/>
      </w:pPr>
    </w:lvl>
    <w:lvl w:ilvl="3" w:tplc="0407000F" w:tentative="1">
      <w:start w:val="1"/>
      <w:numFmt w:val="decimal"/>
      <w:lvlText w:val="%4."/>
      <w:lvlJc w:val="left"/>
      <w:pPr>
        <w:ind w:left="5094" w:hanging="360"/>
      </w:pPr>
    </w:lvl>
    <w:lvl w:ilvl="4" w:tplc="04070019" w:tentative="1">
      <w:start w:val="1"/>
      <w:numFmt w:val="lowerLetter"/>
      <w:lvlText w:val="%5."/>
      <w:lvlJc w:val="left"/>
      <w:pPr>
        <w:ind w:left="5814" w:hanging="360"/>
      </w:pPr>
    </w:lvl>
    <w:lvl w:ilvl="5" w:tplc="0407001B" w:tentative="1">
      <w:start w:val="1"/>
      <w:numFmt w:val="lowerRoman"/>
      <w:lvlText w:val="%6."/>
      <w:lvlJc w:val="right"/>
      <w:pPr>
        <w:ind w:left="6534" w:hanging="180"/>
      </w:pPr>
    </w:lvl>
    <w:lvl w:ilvl="6" w:tplc="0407000F" w:tentative="1">
      <w:start w:val="1"/>
      <w:numFmt w:val="decimal"/>
      <w:lvlText w:val="%7."/>
      <w:lvlJc w:val="left"/>
      <w:pPr>
        <w:ind w:left="7254" w:hanging="360"/>
      </w:pPr>
    </w:lvl>
    <w:lvl w:ilvl="7" w:tplc="04070019" w:tentative="1">
      <w:start w:val="1"/>
      <w:numFmt w:val="lowerLetter"/>
      <w:lvlText w:val="%8."/>
      <w:lvlJc w:val="left"/>
      <w:pPr>
        <w:ind w:left="7974" w:hanging="360"/>
      </w:pPr>
    </w:lvl>
    <w:lvl w:ilvl="8" w:tplc="0407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 w15:restartNumberingAfterBreak="0">
    <w:nsid w:val="4CA517BD"/>
    <w:multiLevelType w:val="multilevel"/>
    <w:tmpl w:val="6D30530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E76534F"/>
    <w:multiLevelType w:val="hybridMultilevel"/>
    <w:tmpl w:val="A572AA9C"/>
    <w:lvl w:ilvl="0" w:tplc="F0DCCFB0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C6E6D"/>
    <w:multiLevelType w:val="hybridMultilevel"/>
    <w:tmpl w:val="4D4CB4A6"/>
    <w:lvl w:ilvl="0" w:tplc="3F3AF5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F5FD1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35F448C"/>
    <w:multiLevelType w:val="hybridMultilevel"/>
    <w:tmpl w:val="55BC5F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ACE6750A">
      <w:start w:val="3"/>
      <w:numFmt w:val="lowerRoman"/>
      <w:lvlText w:val="(%4)"/>
      <w:lvlJc w:val="left"/>
      <w:pPr>
        <w:ind w:left="437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32A02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1"/>
  </w:num>
  <w:num w:numId="14">
    <w:abstractNumId w:val="25"/>
  </w:num>
  <w:num w:numId="15">
    <w:abstractNumId w:val="28"/>
  </w:num>
  <w:num w:numId="16">
    <w:abstractNumId w:val="17"/>
  </w:num>
  <w:num w:numId="17">
    <w:abstractNumId w:val="27"/>
  </w:num>
  <w:num w:numId="18">
    <w:abstractNumId w:val="13"/>
  </w:num>
  <w:num w:numId="19">
    <w:abstractNumId w:val="19"/>
  </w:num>
  <w:num w:numId="20">
    <w:abstractNumId w:val="26"/>
  </w:num>
  <w:num w:numId="21">
    <w:abstractNumId w:val="29"/>
  </w:num>
  <w:num w:numId="22">
    <w:abstractNumId w:val="18"/>
  </w:num>
  <w:num w:numId="23">
    <w:abstractNumId w:val="21"/>
  </w:num>
  <w:num w:numId="24">
    <w:abstractNumId w:val="20"/>
  </w:num>
  <w:num w:numId="25">
    <w:abstractNumId w:val="22"/>
  </w:num>
  <w:num w:numId="26">
    <w:abstractNumId w:val="10"/>
  </w:num>
  <w:num w:numId="27">
    <w:abstractNumId w:val="15"/>
  </w:num>
  <w:num w:numId="28">
    <w:abstractNumId w:val="12"/>
  </w:num>
  <w:num w:numId="29">
    <w:abstractNumId w:val="16"/>
  </w:num>
  <w:num w:numId="3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A34"/>
    <w:rsid w:val="000230A1"/>
    <w:rsid w:val="00025E4D"/>
    <w:rsid w:val="00026046"/>
    <w:rsid w:val="0002626C"/>
    <w:rsid w:val="00027FBE"/>
    <w:rsid w:val="00030CFD"/>
    <w:rsid w:val="00031FF3"/>
    <w:rsid w:val="00034B57"/>
    <w:rsid w:val="00037FD8"/>
    <w:rsid w:val="0004227B"/>
    <w:rsid w:val="00044A30"/>
    <w:rsid w:val="00044B65"/>
    <w:rsid w:val="00044DE9"/>
    <w:rsid w:val="00050F6B"/>
    <w:rsid w:val="00051062"/>
    <w:rsid w:val="00051A9D"/>
    <w:rsid w:val="00051EF4"/>
    <w:rsid w:val="00052876"/>
    <w:rsid w:val="000540AC"/>
    <w:rsid w:val="00056542"/>
    <w:rsid w:val="00057755"/>
    <w:rsid w:val="00060E74"/>
    <w:rsid w:val="00062F47"/>
    <w:rsid w:val="00064A74"/>
    <w:rsid w:val="00066A19"/>
    <w:rsid w:val="000675CC"/>
    <w:rsid w:val="00071BCB"/>
    <w:rsid w:val="00072C8C"/>
    <w:rsid w:val="0007360D"/>
    <w:rsid w:val="000737C7"/>
    <w:rsid w:val="00074065"/>
    <w:rsid w:val="000809F3"/>
    <w:rsid w:val="00080A0C"/>
    <w:rsid w:val="00086FBE"/>
    <w:rsid w:val="000900D2"/>
    <w:rsid w:val="00091419"/>
    <w:rsid w:val="000931C0"/>
    <w:rsid w:val="0009487E"/>
    <w:rsid w:val="00094B11"/>
    <w:rsid w:val="00097CA6"/>
    <w:rsid w:val="000A0FDB"/>
    <w:rsid w:val="000A22E9"/>
    <w:rsid w:val="000A25EF"/>
    <w:rsid w:val="000A47C9"/>
    <w:rsid w:val="000A57F2"/>
    <w:rsid w:val="000A6BBA"/>
    <w:rsid w:val="000B0A3E"/>
    <w:rsid w:val="000B175B"/>
    <w:rsid w:val="000B3A0F"/>
    <w:rsid w:val="000C0BD8"/>
    <w:rsid w:val="000C52A3"/>
    <w:rsid w:val="000C7CC1"/>
    <w:rsid w:val="000D1C3C"/>
    <w:rsid w:val="000D21CE"/>
    <w:rsid w:val="000D2DB2"/>
    <w:rsid w:val="000D5F16"/>
    <w:rsid w:val="000E0415"/>
    <w:rsid w:val="000E2643"/>
    <w:rsid w:val="000F2380"/>
    <w:rsid w:val="000F354C"/>
    <w:rsid w:val="000F5031"/>
    <w:rsid w:val="00100242"/>
    <w:rsid w:val="0010388A"/>
    <w:rsid w:val="00105D5C"/>
    <w:rsid w:val="0010735D"/>
    <w:rsid w:val="00115198"/>
    <w:rsid w:val="001153C6"/>
    <w:rsid w:val="00117787"/>
    <w:rsid w:val="00127BE5"/>
    <w:rsid w:val="00130B2B"/>
    <w:rsid w:val="00131714"/>
    <w:rsid w:val="00131767"/>
    <w:rsid w:val="00131D42"/>
    <w:rsid w:val="00131D60"/>
    <w:rsid w:val="001329B7"/>
    <w:rsid w:val="00134644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55CD9"/>
    <w:rsid w:val="0016239A"/>
    <w:rsid w:val="001633FB"/>
    <w:rsid w:val="001642EF"/>
    <w:rsid w:val="00167A95"/>
    <w:rsid w:val="00186AE8"/>
    <w:rsid w:val="0018709C"/>
    <w:rsid w:val="00187767"/>
    <w:rsid w:val="00191FC2"/>
    <w:rsid w:val="00194BF6"/>
    <w:rsid w:val="001A08B8"/>
    <w:rsid w:val="001A0D51"/>
    <w:rsid w:val="001A543B"/>
    <w:rsid w:val="001A7855"/>
    <w:rsid w:val="001B0047"/>
    <w:rsid w:val="001B0350"/>
    <w:rsid w:val="001B1A57"/>
    <w:rsid w:val="001B4B04"/>
    <w:rsid w:val="001C0122"/>
    <w:rsid w:val="001C08BC"/>
    <w:rsid w:val="001C144C"/>
    <w:rsid w:val="001C3F03"/>
    <w:rsid w:val="001C4992"/>
    <w:rsid w:val="001C6663"/>
    <w:rsid w:val="001C70FB"/>
    <w:rsid w:val="001C7895"/>
    <w:rsid w:val="001D029A"/>
    <w:rsid w:val="001D26DF"/>
    <w:rsid w:val="001D2FDC"/>
    <w:rsid w:val="001D510E"/>
    <w:rsid w:val="001D5121"/>
    <w:rsid w:val="001D5BCE"/>
    <w:rsid w:val="001D5C1E"/>
    <w:rsid w:val="001E39CC"/>
    <w:rsid w:val="001E5B82"/>
    <w:rsid w:val="001F55F0"/>
    <w:rsid w:val="001F7DAC"/>
    <w:rsid w:val="00202885"/>
    <w:rsid w:val="00204D75"/>
    <w:rsid w:val="002054BE"/>
    <w:rsid w:val="0020640F"/>
    <w:rsid w:val="00206E2E"/>
    <w:rsid w:val="00211E0B"/>
    <w:rsid w:val="00212046"/>
    <w:rsid w:val="002213FA"/>
    <w:rsid w:val="0022355B"/>
    <w:rsid w:val="0022446F"/>
    <w:rsid w:val="002262D3"/>
    <w:rsid w:val="002309A7"/>
    <w:rsid w:val="00230CED"/>
    <w:rsid w:val="00230F2E"/>
    <w:rsid w:val="00235937"/>
    <w:rsid w:val="00235CD8"/>
    <w:rsid w:val="002370FA"/>
    <w:rsid w:val="0023741D"/>
    <w:rsid w:val="00237785"/>
    <w:rsid w:val="00237B3B"/>
    <w:rsid w:val="00241466"/>
    <w:rsid w:val="002417A0"/>
    <w:rsid w:val="0024188D"/>
    <w:rsid w:val="00244BA0"/>
    <w:rsid w:val="00253374"/>
    <w:rsid w:val="00255B38"/>
    <w:rsid w:val="002568BA"/>
    <w:rsid w:val="00265251"/>
    <w:rsid w:val="00265A8C"/>
    <w:rsid w:val="00271844"/>
    <w:rsid w:val="00271C18"/>
    <w:rsid w:val="00271FD4"/>
    <w:rsid w:val="002725CA"/>
    <w:rsid w:val="00273765"/>
    <w:rsid w:val="00276189"/>
    <w:rsid w:val="00276796"/>
    <w:rsid w:val="00277336"/>
    <w:rsid w:val="0027776D"/>
    <w:rsid w:val="002807B9"/>
    <w:rsid w:val="00280EB7"/>
    <w:rsid w:val="00283B0C"/>
    <w:rsid w:val="002845E7"/>
    <w:rsid w:val="00285581"/>
    <w:rsid w:val="00287C9D"/>
    <w:rsid w:val="00291742"/>
    <w:rsid w:val="00297FDB"/>
    <w:rsid w:val="002A2457"/>
    <w:rsid w:val="002A3034"/>
    <w:rsid w:val="002A60CE"/>
    <w:rsid w:val="002A60F8"/>
    <w:rsid w:val="002A6810"/>
    <w:rsid w:val="002A6E0B"/>
    <w:rsid w:val="002A7BC0"/>
    <w:rsid w:val="002B1A41"/>
    <w:rsid w:val="002B1CDA"/>
    <w:rsid w:val="002B26CF"/>
    <w:rsid w:val="002B37F5"/>
    <w:rsid w:val="002C56EC"/>
    <w:rsid w:val="002C638D"/>
    <w:rsid w:val="002D027D"/>
    <w:rsid w:val="002D1466"/>
    <w:rsid w:val="002D19D2"/>
    <w:rsid w:val="002D2FAF"/>
    <w:rsid w:val="002D30CC"/>
    <w:rsid w:val="002D476E"/>
    <w:rsid w:val="002D767C"/>
    <w:rsid w:val="002E0A46"/>
    <w:rsid w:val="002E10DE"/>
    <w:rsid w:val="002E1F2B"/>
    <w:rsid w:val="002F0ACF"/>
    <w:rsid w:val="002F21B2"/>
    <w:rsid w:val="002F69B6"/>
    <w:rsid w:val="002F7AAF"/>
    <w:rsid w:val="002F7F51"/>
    <w:rsid w:val="00301F46"/>
    <w:rsid w:val="003065AD"/>
    <w:rsid w:val="003107FA"/>
    <w:rsid w:val="00310C35"/>
    <w:rsid w:val="00316CDE"/>
    <w:rsid w:val="003229D8"/>
    <w:rsid w:val="00323A0C"/>
    <w:rsid w:val="00323B8F"/>
    <w:rsid w:val="00325257"/>
    <w:rsid w:val="00341621"/>
    <w:rsid w:val="00350C40"/>
    <w:rsid w:val="00363CCA"/>
    <w:rsid w:val="00364DED"/>
    <w:rsid w:val="00366F4B"/>
    <w:rsid w:val="00374AA4"/>
    <w:rsid w:val="00374C1F"/>
    <w:rsid w:val="00375203"/>
    <w:rsid w:val="00376216"/>
    <w:rsid w:val="003765E7"/>
    <w:rsid w:val="0037785D"/>
    <w:rsid w:val="0037787A"/>
    <w:rsid w:val="00381151"/>
    <w:rsid w:val="003813FF"/>
    <w:rsid w:val="00383CC3"/>
    <w:rsid w:val="003923B4"/>
    <w:rsid w:val="0039277A"/>
    <w:rsid w:val="00395BB7"/>
    <w:rsid w:val="003972E0"/>
    <w:rsid w:val="003A2736"/>
    <w:rsid w:val="003A4A7A"/>
    <w:rsid w:val="003A5075"/>
    <w:rsid w:val="003B1AC3"/>
    <w:rsid w:val="003B5E83"/>
    <w:rsid w:val="003C247C"/>
    <w:rsid w:val="003C2CC4"/>
    <w:rsid w:val="003C3A95"/>
    <w:rsid w:val="003C3E7E"/>
    <w:rsid w:val="003D151A"/>
    <w:rsid w:val="003D4B23"/>
    <w:rsid w:val="003D75C6"/>
    <w:rsid w:val="003E4785"/>
    <w:rsid w:val="003E5E81"/>
    <w:rsid w:val="003F347E"/>
    <w:rsid w:val="003F3F2A"/>
    <w:rsid w:val="003F66B7"/>
    <w:rsid w:val="004028F0"/>
    <w:rsid w:val="0041748B"/>
    <w:rsid w:val="004227F2"/>
    <w:rsid w:val="0042740D"/>
    <w:rsid w:val="00430BC1"/>
    <w:rsid w:val="004314D5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3298"/>
    <w:rsid w:val="00454036"/>
    <w:rsid w:val="00454348"/>
    <w:rsid w:val="00457ED8"/>
    <w:rsid w:val="00462EB7"/>
    <w:rsid w:val="00463344"/>
    <w:rsid w:val="00471D64"/>
    <w:rsid w:val="0047206D"/>
    <w:rsid w:val="004737AD"/>
    <w:rsid w:val="00474B1C"/>
    <w:rsid w:val="0048040E"/>
    <w:rsid w:val="00480880"/>
    <w:rsid w:val="004815BC"/>
    <w:rsid w:val="00486F0C"/>
    <w:rsid w:val="004906B4"/>
    <w:rsid w:val="00495374"/>
    <w:rsid w:val="00496F4B"/>
    <w:rsid w:val="004A39F9"/>
    <w:rsid w:val="004A411D"/>
    <w:rsid w:val="004A72B1"/>
    <w:rsid w:val="004B2C9D"/>
    <w:rsid w:val="004B4C10"/>
    <w:rsid w:val="004C008C"/>
    <w:rsid w:val="004C3287"/>
    <w:rsid w:val="004C5AF0"/>
    <w:rsid w:val="004C6CF4"/>
    <w:rsid w:val="004C7D23"/>
    <w:rsid w:val="004D0198"/>
    <w:rsid w:val="004D0FBF"/>
    <w:rsid w:val="004D4698"/>
    <w:rsid w:val="004E2C23"/>
    <w:rsid w:val="004E795A"/>
    <w:rsid w:val="00503B9C"/>
    <w:rsid w:val="0050432B"/>
    <w:rsid w:val="005123DA"/>
    <w:rsid w:val="00515F83"/>
    <w:rsid w:val="00516993"/>
    <w:rsid w:val="00517A3F"/>
    <w:rsid w:val="005203EB"/>
    <w:rsid w:val="00522004"/>
    <w:rsid w:val="00522D44"/>
    <w:rsid w:val="00524600"/>
    <w:rsid w:val="00524B19"/>
    <w:rsid w:val="00527910"/>
    <w:rsid w:val="00532908"/>
    <w:rsid w:val="00534DA8"/>
    <w:rsid w:val="005420F2"/>
    <w:rsid w:val="00547520"/>
    <w:rsid w:val="00553BE1"/>
    <w:rsid w:val="00553F25"/>
    <w:rsid w:val="00553FEF"/>
    <w:rsid w:val="00555BB3"/>
    <w:rsid w:val="00556E07"/>
    <w:rsid w:val="005616F9"/>
    <w:rsid w:val="00572388"/>
    <w:rsid w:val="005725A0"/>
    <w:rsid w:val="0057266D"/>
    <w:rsid w:val="00573567"/>
    <w:rsid w:val="00574827"/>
    <w:rsid w:val="005802FE"/>
    <w:rsid w:val="00580306"/>
    <w:rsid w:val="00581D79"/>
    <w:rsid w:val="005872A8"/>
    <w:rsid w:val="00587FFB"/>
    <w:rsid w:val="00590144"/>
    <w:rsid w:val="005931F4"/>
    <w:rsid w:val="005962B5"/>
    <w:rsid w:val="00596AFB"/>
    <w:rsid w:val="005A4D8F"/>
    <w:rsid w:val="005A585F"/>
    <w:rsid w:val="005A58DB"/>
    <w:rsid w:val="005B39EB"/>
    <w:rsid w:val="005B3DB3"/>
    <w:rsid w:val="005C216B"/>
    <w:rsid w:val="005C5058"/>
    <w:rsid w:val="005C67A3"/>
    <w:rsid w:val="005D0823"/>
    <w:rsid w:val="005D1CA6"/>
    <w:rsid w:val="005D476B"/>
    <w:rsid w:val="005D5296"/>
    <w:rsid w:val="005D5E45"/>
    <w:rsid w:val="005E0F7B"/>
    <w:rsid w:val="005E482E"/>
    <w:rsid w:val="005E5BFE"/>
    <w:rsid w:val="005E6FB9"/>
    <w:rsid w:val="005F16B8"/>
    <w:rsid w:val="00600D24"/>
    <w:rsid w:val="00601025"/>
    <w:rsid w:val="00601455"/>
    <w:rsid w:val="006014D2"/>
    <w:rsid w:val="006033C3"/>
    <w:rsid w:val="00606BD8"/>
    <w:rsid w:val="006119AE"/>
    <w:rsid w:val="00611FC4"/>
    <w:rsid w:val="0061237F"/>
    <w:rsid w:val="0061691B"/>
    <w:rsid w:val="006176FB"/>
    <w:rsid w:val="00626159"/>
    <w:rsid w:val="0063419C"/>
    <w:rsid w:val="00640B26"/>
    <w:rsid w:val="00641CE9"/>
    <w:rsid w:val="006420B1"/>
    <w:rsid w:val="006434B2"/>
    <w:rsid w:val="00643F7D"/>
    <w:rsid w:val="006500BA"/>
    <w:rsid w:val="00650DBA"/>
    <w:rsid w:val="006514B0"/>
    <w:rsid w:val="006557B4"/>
    <w:rsid w:val="006612FE"/>
    <w:rsid w:val="00662858"/>
    <w:rsid w:val="00663B47"/>
    <w:rsid w:val="00675C0A"/>
    <w:rsid w:val="00675EEF"/>
    <w:rsid w:val="00680481"/>
    <w:rsid w:val="006804E7"/>
    <w:rsid w:val="00680EC5"/>
    <w:rsid w:val="00681546"/>
    <w:rsid w:val="00681628"/>
    <w:rsid w:val="00681744"/>
    <w:rsid w:val="00681766"/>
    <w:rsid w:val="0068403D"/>
    <w:rsid w:val="00684E8C"/>
    <w:rsid w:val="00687D2F"/>
    <w:rsid w:val="0069492F"/>
    <w:rsid w:val="0069552B"/>
    <w:rsid w:val="00696595"/>
    <w:rsid w:val="00697525"/>
    <w:rsid w:val="006A17B4"/>
    <w:rsid w:val="006A3BD5"/>
    <w:rsid w:val="006A413A"/>
    <w:rsid w:val="006A5661"/>
    <w:rsid w:val="006A7392"/>
    <w:rsid w:val="006B4FBA"/>
    <w:rsid w:val="006B7933"/>
    <w:rsid w:val="006C0D34"/>
    <w:rsid w:val="006C1CA0"/>
    <w:rsid w:val="006C46F2"/>
    <w:rsid w:val="006C7E11"/>
    <w:rsid w:val="006D247B"/>
    <w:rsid w:val="006D5191"/>
    <w:rsid w:val="006D5AAE"/>
    <w:rsid w:val="006D5B78"/>
    <w:rsid w:val="006E31BF"/>
    <w:rsid w:val="006E3537"/>
    <w:rsid w:val="006E564B"/>
    <w:rsid w:val="006E6FBD"/>
    <w:rsid w:val="006F021A"/>
    <w:rsid w:val="006F4D74"/>
    <w:rsid w:val="006F4ED5"/>
    <w:rsid w:val="007012C4"/>
    <w:rsid w:val="0070311F"/>
    <w:rsid w:val="00704A7F"/>
    <w:rsid w:val="00704F3F"/>
    <w:rsid w:val="007102D9"/>
    <w:rsid w:val="00712FCE"/>
    <w:rsid w:val="0071747D"/>
    <w:rsid w:val="00721502"/>
    <w:rsid w:val="00721A06"/>
    <w:rsid w:val="00722589"/>
    <w:rsid w:val="007227B6"/>
    <w:rsid w:val="00725848"/>
    <w:rsid w:val="0072632A"/>
    <w:rsid w:val="007267E0"/>
    <w:rsid w:val="00727BB6"/>
    <w:rsid w:val="0073039D"/>
    <w:rsid w:val="007319D5"/>
    <w:rsid w:val="00731BEA"/>
    <w:rsid w:val="007348BB"/>
    <w:rsid w:val="00741915"/>
    <w:rsid w:val="007505BC"/>
    <w:rsid w:val="0075116C"/>
    <w:rsid w:val="00753201"/>
    <w:rsid w:val="007548D5"/>
    <w:rsid w:val="007607F5"/>
    <w:rsid w:val="00760D1B"/>
    <w:rsid w:val="007612E0"/>
    <w:rsid w:val="00761389"/>
    <w:rsid w:val="00762706"/>
    <w:rsid w:val="007665DE"/>
    <w:rsid w:val="00771113"/>
    <w:rsid w:val="007713F2"/>
    <w:rsid w:val="00775393"/>
    <w:rsid w:val="00776CA4"/>
    <w:rsid w:val="00777356"/>
    <w:rsid w:val="00777BB4"/>
    <w:rsid w:val="00780921"/>
    <w:rsid w:val="0078270D"/>
    <w:rsid w:val="007857CD"/>
    <w:rsid w:val="00790791"/>
    <w:rsid w:val="00791404"/>
    <w:rsid w:val="0079264E"/>
    <w:rsid w:val="00793234"/>
    <w:rsid w:val="007A3B27"/>
    <w:rsid w:val="007A66B2"/>
    <w:rsid w:val="007B0FC0"/>
    <w:rsid w:val="007B6BA5"/>
    <w:rsid w:val="007B6FE6"/>
    <w:rsid w:val="007C3390"/>
    <w:rsid w:val="007C4F4B"/>
    <w:rsid w:val="007C54FD"/>
    <w:rsid w:val="007C698E"/>
    <w:rsid w:val="007E3A92"/>
    <w:rsid w:val="007E51DE"/>
    <w:rsid w:val="007F25B3"/>
    <w:rsid w:val="007F28CB"/>
    <w:rsid w:val="007F6611"/>
    <w:rsid w:val="00800138"/>
    <w:rsid w:val="0080387F"/>
    <w:rsid w:val="008041BA"/>
    <w:rsid w:val="008114A7"/>
    <w:rsid w:val="00811614"/>
    <w:rsid w:val="008124A5"/>
    <w:rsid w:val="0081251D"/>
    <w:rsid w:val="008129F0"/>
    <w:rsid w:val="008175E9"/>
    <w:rsid w:val="008213BB"/>
    <w:rsid w:val="00822225"/>
    <w:rsid w:val="008242D7"/>
    <w:rsid w:val="0083337A"/>
    <w:rsid w:val="008360FD"/>
    <w:rsid w:val="00841525"/>
    <w:rsid w:val="00841A1B"/>
    <w:rsid w:val="00841AB4"/>
    <w:rsid w:val="00846136"/>
    <w:rsid w:val="00850841"/>
    <w:rsid w:val="00853FAE"/>
    <w:rsid w:val="008548B3"/>
    <w:rsid w:val="008554E7"/>
    <w:rsid w:val="00855967"/>
    <w:rsid w:val="00861ACC"/>
    <w:rsid w:val="00866523"/>
    <w:rsid w:val="00867955"/>
    <w:rsid w:val="00871F18"/>
    <w:rsid w:val="00871FD5"/>
    <w:rsid w:val="00874782"/>
    <w:rsid w:val="00874C3C"/>
    <w:rsid w:val="008803A8"/>
    <w:rsid w:val="00880DE7"/>
    <w:rsid w:val="00881657"/>
    <w:rsid w:val="008828E0"/>
    <w:rsid w:val="00884631"/>
    <w:rsid w:val="00884B25"/>
    <w:rsid w:val="00885E87"/>
    <w:rsid w:val="00887213"/>
    <w:rsid w:val="008876A7"/>
    <w:rsid w:val="00893347"/>
    <w:rsid w:val="00893828"/>
    <w:rsid w:val="008947E2"/>
    <w:rsid w:val="00894C13"/>
    <w:rsid w:val="008978DB"/>
    <w:rsid w:val="008979B1"/>
    <w:rsid w:val="008A1350"/>
    <w:rsid w:val="008A29F7"/>
    <w:rsid w:val="008A394B"/>
    <w:rsid w:val="008A5C06"/>
    <w:rsid w:val="008A670C"/>
    <w:rsid w:val="008A6B25"/>
    <w:rsid w:val="008A6B52"/>
    <w:rsid w:val="008A6C4F"/>
    <w:rsid w:val="008B174F"/>
    <w:rsid w:val="008B1843"/>
    <w:rsid w:val="008C0C4E"/>
    <w:rsid w:val="008C3133"/>
    <w:rsid w:val="008C4A16"/>
    <w:rsid w:val="008C518D"/>
    <w:rsid w:val="008C5195"/>
    <w:rsid w:val="008C7398"/>
    <w:rsid w:val="008C7AD3"/>
    <w:rsid w:val="008D16E8"/>
    <w:rsid w:val="008D16EF"/>
    <w:rsid w:val="008D5AB6"/>
    <w:rsid w:val="008D67AF"/>
    <w:rsid w:val="008D69AE"/>
    <w:rsid w:val="008D6FE1"/>
    <w:rsid w:val="008D713B"/>
    <w:rsid w:val="008D7973"/>
    <w:rsid w:val="008D7AB3"/>
    <w:rsid w:val="008E0E46"/>
    <w:rsid w:val="008E3B3C"/>
    <w:rsid w:val="008E5E1A"/>
    <w:rsid w:val="008E6500"/>
    <w:rsid w:val="008E6B22"/>
    <w:rsid w:val="008F596C"/>
    <w:rsid w:val="008F671F"/>
    <w:rsid w:val="009019F7"/>
    <w:rsid w:val="00904592"/>
    <w:rsid w:val="00910F3B"/>
    <w:rsid w:val="009119D3"/>
    <w:rsid w:val="009128F8"/>
    <w:rsid w:val="0091444D"/>
    <w:rsid w:val="00915A89"/>
    <w:rsid w:val="00916F49"/>
    <w:rsid w:val="009213A3"/>
    <w:rsid w:val="0092169C"/>
    <w:rsid w:val="00921A36"/>
    <w:rsid w:val="00921FDE"/>
    <w:rsid w:val="009242B5"/>
    <w:rsid w:val="00924C9C"/>
    <w:rsid w:val="00927142"/>
    <w:rsid w:val="0093272D"/>
    <w:rsid w:val="009338EE"/>
    <w:rsid w:val="009346DE"/>
    <w:rsid w:val="00940479"/>
    <w:rsid w:val="0094213D"/>
    <w:rsid w:val="00943B65"/>
    <w:rsid w:val="00945553"/>
    <w:rsid w:val="00945A26"/>
    <w:rsid w:val="00945A38"/>
    <w:rsid w:val="00945A5D"/>
    <w:rsid w:val="009502B6"/>
    <w:rsid w:val="00950F48"/>
    <w:rsid w:val="00953FD3"/>
    <w:rsid w:val="00955158"/>
    <w:rsid w:val="009552E5"/>
    <w:rsid w:val="00956CAD"/>
    <w:rsid w:val="00957C6D"/>
    <w:rsid w:val="00963CBA"/>
    <w:rsid w:val="00964B10"/>
    <w:rsid w:val="009652C7"/>
    <w:rsid w:val="00967AC9"/>
    <w:rsid w:val="00971136"/>
    <w:rsid w:val="00973C67"/>
    <w:rsid w:val="00975C15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96E57"/>
    <w:rsid w:val="009A04CF"/>
    <w:rsid w:val="009A06E4"/>
    <w:rsid w:val="009A3CB7"/>
    <w:rsid w:val="009A478E"/>
    <w:rsid w:val="009A483B"/>
    <w:rsid w:val="009A681A"/>
    <w:rsid w:val="009A75FA"/>
    <w:rsid w:val="009B007F"/>
    <w:rsid w:val="009B0251"/>
    <w:rsid w:val="009B0ED1"/>
    <w:rsid w:val="009B35D8"/>
    <w:rsid w:val="009B3CAF"/>
    <w:rsid w:val="009B4111"/>
    <w:rsid w:val="009B47DE"/>
    <w:rsid w:val="009C25D5"/>
    <w:rsid w:val="009C2953"/>
    <w:rsid w:val="009C3671"/>
    <w:rsid w:val="009C46C7"/>
    <w:rsid w:val="009C67CC"/>
    <w:rsid w:val="009C767D"/>
    <w:rsid w:val="009D58C1"/>
    <w:rsid w:val="009F0F06"/>
    <w:rsid w:val="00A02556"/>
    <w:rsid w:val="00A04323"/>
    <w:rsid w:val="00A065BA"/>
    <w:rsid w:val="00A07C0C"/>
    <w:rsid w:val="00A120B4"/>
    <w:rsid w:val="00A13C36"/>
    <w:rsid w:val="00A1427D"/>
    <w:rsid w:val="00A14920"/>
    <w:rsid w:val="00A14C8F"/>
    <w:rsid w:val="00A158D4"/>
    <w:rsid w:val="00A176C2"/>
    <w:rsid w:val="00A22DA5"/>
    <w:rsid w:val="00A23130"/>
    <w:rsid w:val="00A23A0D"/>
    <w:rsid w:val="00A250A4"/>
    <w:rsid w:val="00A25786"/>
    <w:rsid w:val="00A25A9D"/>
    <w:rsid w:val="00A27434"/>
    <w:rsid w:val="00A27707"/>
    <w:rsid w:val="00A30277"/>
    <w:rsid w:val="00A37F8B"/>
    <w:rsid w:val="00A40024"/>
    <w:rsid w:val="00A43A76"/>
    <w:rsid w:val="00A47091"/>
    <w:rsid w:val="00A47B65"/>
    <w:rsid w:val="00A570C0"/>
    <w:rsid w:val="00A60EB5"/>
    <w:rsid w:val="00A6743D"/>
    <w:rsid w:val="00A67BA6"/>
    <w:rsid w:val="00A67C50"/>
    <w:rsid w:val="00A72F22"/>
    <w:rsid w:val="00A7341F"/>
    <w:rsid w:val="00A748A6"/>
    <w:rsid w:val="00A74F3D"/>
    <w:rsid w:val="00A75EC9"/>
    <w:rsid w:val="00A76456"/>
    <w:rsid w:val="00A8154E"/>
    <w:rsid w:val="00A855F6"/>
    <w:rsid w:val="00A879A4"/>
    <w:rsid w:val="00A93D3B"/>
    <w:rsid w:val="00AA7910"/>
    <w:rsid w:val="00AB48E3"/>
    <w:rsid w:val="00AB4C74"/>
    <w:rsid w:val="00AB521F"/>
    <w:rsid w:val="00AB5775"/>
    <w:rsid w:val="00AB5F59"/>
    <w:rsid w:val="00AB6C65"/>
    <w:rsid w:val="00AB79D3"/>
    <w:rsid w:val="00AC12B0"/>
    <w:rsid w:val="00AC1947"/>
    <w:rsid w:val="00AC47CB"/>
    <w:rsid w:val="00AC71C1"/>
    <w:rsid w:val="00AD06C7"/>
    <w:rsid w:val="00AD29A4"/>
    <w:rsid w:val="00AD6445"/>
    <w:rsid w:val="00AE0BC1"/>
    <w:rsid w:val="00AE3AB1"/>
    <w:rsid w:val="00AE5607"/>
    <w:rsid w:val="00AE71B9"/>
    <w:rsid w:val="00AE79B9"/>
    <w:rsid w:val="00AF2A45"/>
    <w:rsid w:val="00AF2B6B"/>
    <w:rsid w:val="00AF3B55"/>
    <w:rsid w:val="00AF6EE1"/>
    <w:rsid w:val="00B045D1"/>
    <w:rsid w:val="00B062A6"/>
    <w:rsid w:val="00B07928"/>
    <w:rsid w:val="00B15CB0"/>
    <w:rsid w:val="00B24CC6"/>
    <w:rsid w:val="00B253B8"/>
    <w:rsid w:val="00B27DFF"/>
    <w:rsid w:val="00B30179"/>
    <w:rsid w:val="00B32C5C"/>
    <w:rsid w:val="00B3317B"/>
    <w:rsid w:val="00B35579"/>
    <w:rsid w:val="00B355CF"/>
    <w:rsid w:val="00B3750B"/>
    <w:rsid w:val="00B417FE"/>
    <w:rsid w:val="00B41EB4"/>
    <w:rsid w:val="00B43E15"/>
    <w:rsid w:val="00B44874"/>
    <w:rsid w:val="00B44D1E"/>
    <w:rsid w:val="00B501B7"/>
    <w:rsid w:val="00B50F43"/>
    <w:rsid w:val="00B6429F"/>
    <w:rsid w:val="00B656F0"/>
    <w:rsid w:val="00B7094F"/>
    <w:rsid w:val="00B725B8"/>
    <w:rsid w:val="00B73FEA"/>
    <w:rsid w:val="00B742CD"/>
    <w:rsid w:val="00B74841"/>
    <w:rsid w:val="00B77E99"/>
    <w:rsid w:val="00B81005"/>
    <w:rsid w:val="00B81E12"/>
    <w:rsid w:val="00B822D6"/>
    <w:rsid w:val="00B824F3"/>
    <w:rsid w:val="00B837AE"/>
    <w:rsid w:val="00B83CFE"/>
    <w:rsid w:val="00B85580"/>
    <w:rsid w:val="00B91DEF"/>
    <w:rsid w:val="00B920A4"/>
    <w:rsid w:val="00B93068"/>
    <w:rsid w:val="00BA3E96"/>
    <w:rsid w:val="00BA7A37"/>
    <w:rsid w:val="00BB0818"/>
    <w:rsid w:val="00BB418D"/>
    <w:rsid w:val="00BB6224"/>
    <w:rsid w:val="00BB7FCC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D4010"/>
    <w:rsid w:val="00BD4883"/>
    <w:rsid w:val="00BE3C13"/>
    <w:rsid w:val="00BE447C"/>
    <w:rsid w:val="00BE4AAC"/>
    <w:rsid w:val="00BE5B7F"/>
    <w:rsid w:val="00BE618E"/>
    <w:rsid w:val="00BE78E7"/>
    <w:rsid w:val="00BF0564"/>
    <w:rsid w:val="00BF0B6C"/>
    <w:rsid w:val="00BF5F47"/>
    <w:rsid w:val="00BF6D59"/>
    <w:rsid w:val="00BF7A1A"/>
    <w:rsid w:val="00C029EA"/>
    <w:rsid w:val="00C02B2A"/>
    <w:rsid w:val="00C0407C"/>
    <w:rsid w:val="00C07F40"/>
    <w:rsid w:val="00C11095"/>
    <w:rsid w:val="00C13534"/>
    <w:rsid w:val="00C13800"/>
    <w:rsid w:val="00C14780"/>
    <w:rsid w:val="00C15D9D"/>
    <w:rsid w:val="00C16149"/>
    <w:rsid w:val="00C208C6"/>
    <w:rsid w:val="00C20967"/>
    <w:rsid w:val="00C214B4"/>
    <w:rsid w:val="00C21501"/>
    <w:rsid w:val="00C223FD"/>
    <w:rsid w:val="00C26657"/>
    <w:rsid w:val="00C302B4"/>
    <w:rsid w:val="00C31773"/>
    <w:rsid w:val="00C35AE7"/>
    <w:rsid w:val="00C4121D"/>
    <w:rsid w:val="00C42743"/>
    <w:rsid w:val="00C44685"/>
    <w:rsid w:val="00C463DD"/>
    <w:rsid w:val="00C4716A"/>
    <w:rsid w:val="00C47173"/>
    <w:rsid w:val="00C47787"/>
    <w:rsid w:val="00C51052"/>
    <w:rsid w:val="00C52B1C"/>
    <w:rsid w:val="00C53C82"/>
    <w:rsid w:val="00C56B6A"/>
    <w:rsid w:val="00C622ED"/>
    <w:rsid w:val="00C62F76"/>
    <w:rsid w:val="00C638AC"/>
    <w:rsid w:val="00C65026"/>
    <w:rsid w:val="00C662AA"/>
    <w:rsid w:val="00C665E8"/>
    <w:rsid w:val="00C66831"/>
    <w:rsid w:val="00C675D8"/>
    <w:rsid w:val="00C72005"/>
    <w:rsid w:val="00C72E02"/>
    <w:rsid w:val="00C740DA"/>
    <w:rsid w:val="00C745C3"/>
    <w:rsid w:val="00C74A11"/>
    <w:rsid w:val="00C768F9"/>
    <w:rsid w:val="00C76C20"/>
    <w:rsid w:val="00C76F83"/>
    <w:rsid w:val="00C81BA2"/>
    <w:rsid w:val="00C8384C"/>
    <w:rsid w:val="00C83C77"/>
    <w:rsid w:val="00C83E52"/>
    <w:rsid w:val="00C85F8B"/>
    <w:rsid w:val="00C91693"/>
    <w:rsid w:val="00C927AC"/>
    <w:rsid w:val="00C941C4"/>
    <w:rsid w:val="00CA1183"/>
    <w:rsid w:val="00CA1B48"/>
    <w:rsid w:val="00CA1F88"/>
    <w:rsid w:val="00CA516D"/>
    <w:rsid w:val="00CB03EB"/>
    <w:rsid w:val="00CB12A8"/>
    <w:rsid w:val="00CB26B3"/>
    <w:rsid w:val="00CB37BE"/>
    <w:rsid w:val="00CB51FE"/>
    <w:rsid w:val="00CB699B"/>
    <w:rsid w:val="00CC2702"/>
    <w:rsid w:val="00CC78A6"/>
    <w:rsid w:val="00CD20A1"/>
    <w:rsid w:val="00CD3225"/>
    <w:rsid w:val="00CD64B5"/>
    <w:rsid w:val="00CD747F"/>
    <w:rsid w:val="00CE1355"/>
    <w:rsid w:val="00CE1382"/>
    <w:rsid w:val="00CE265D"/>
    <w:rsid w:val="00CE4A8F"/>
    <w:rsid w:val="00CF03F4"/>
    <w:rsid w:val="00CF0AEF"/>
    <w:rsid w:val="00CF0D7F"/>
    <w:rsid w:val="00CF3DF4"/>
    <w:rsid w:val="00CF657E"/>
    <w:rsid w:val="00D00D63"/>
    <w:rsid w:val="00D01A4C"/>
    <w:rsid w:val="00D038EE"/>
    <w:rsid w:val="00D03A8F"/>
    <w:rsid w:val="00D064AE"/>
    <w:rsid w:val="00D06940"/>
    <w:rsid w:val="00D102AE"/>
    <w:rsid w:val="00D1075E"/>
    <w:rsid w:val="00D16FDE"/>
    <w:rsid w:val="00D17118"/>
    <w:rsid w:val="00D2031B"/>
    <w:rsid w:val="00D20EF4"/>
    <w:rsid w:val="00D21AA4"/>
    <w:rsid w:val="00D21CD7"/>
    <w:rsid w:val="00D234A9"/>
    <w:rsid w:val="00D2544D"/>
    <w:rsid w:val="00D25FE2"/>
    <w:rsid w:val="00D30D68"/>
    <w:rsid w:val="00D34FB3"/>
    <w:rsid w:val="00D351EB"/>
    <w:rsid w:val="00D3727A"/>
    <w:rsid w:val="00D37904"/>
    <w:rsid w:val="00D42F53"/>
    <w:rsid w:val="00D43252"/>
    <w:rsid w:val="00D4764D"/>
    <w:rsid w:val="00D50452"/>
    <w:rsid w:val="00D64401"/>
    <w:rsid w:val="00D673BA"/>
    <w:rsid w:val="00D673D9"/>
    <w:rsid w:val="00D70D76"/>
    <w:rsid w:val="00D72DC1"/>
    <w:rsid w:val="00D753D8"/>
    <w:rsid w:val="00D76673"/>
    <w:rsid w:val="00D76841"/>
    <w:rsid w:val="00D80431"/>
    <w:rsid w:val="00D80A99"/>
    <w:rsid w:val="00D8153A"/>
    <w:rsid w:val="00D8376F"/>
    <w:rsid w:val="00D86516"/>
    <w:rsid w:val="00D86604"/>
    <w:rsid w:val="00D87F4C"/>
    <w:rsid w:val="00D94B0C"/>
    <w:rsid w:val="00D96CC5"/>
    <w:rsid w:val="00D978C6"/>
    <w:rsid w:val="00DA67AD"/>
    <w:rsid w:val="00DA6941"/>
    <w:rsid w:val="00DA7BDD"/>
    <w:rsid w:val="00DB0CD3"/>
    <w:rsid w:val="00DB0CF8"/>
    <w:rsid w:val="00DB1F53"/>
    <w:rsid w:val="00DC049D"/>
    <w:rsid w:val="00DC1449"/>
    <w:rsid w:val="00DC1AA4"/>
    <w:rsid w:val="00DC5166"/>
    <w:rsid w:val="00DC5FBA"/>
    <w:rsid w:val="00DC6892"/>
    <w:rsid w:val="00DD2BDB"/>
    <w:rsid w:val="00DD5C8B"/>
    <w:rsid w:val="00DD6E77"/>
    <w:rsid w:val="00DE0613"/>
    <w:rsid w:val="00DE112D"/>
    <w:rsid w:val="00DF1BF7"/>
    <w:rsid w:val="00DF2772"/>
    <w:rsid w:val="00DF2823"/>
    <w:rsid w:val="00DF3CF2"/>
    <w:rsid w:val="00DF453A"/>
    <w:rsid w:val="00DF498E"/>
    <w:rsid w:val="00DF662C"/>
    <w:rsid w:val="00DF6A4F"/>
    <w:rsid w:val="00E000AD"/>
    <w:rsid w:val="00E07564"/>
    <w:rsid w:val="00E1169F"/>
    <w:rsid w:val="00E130AB"/>
    <w:rsid w:val="00E147D5"/>
    <w:rsid w:val="00E14CFE"/>
    <w:rsid w:val="00E16C68"/>
    <w:rsid w:val="00E201D5"/>
    <w:rsid w:val="00E23AA7"/>
    <w:rsid w:val="00E241E1"/>
    <w:rsid w:val="00E24D7E"/>
    <w:rsid w:val="00E26278"/>
    <w:rsid w:val="00E328FE"/>
    <w:rsid w:val="00E335A4"/>
    <w:rsid w:val="00E35C1C"/>
    <w:rsid w:val="00E35D65"/>
    <w:rsid w:val="00E41283"/>
    <w:rsid w:val="00E43CE3"/>
    <w:rsid w:val="00E549B7"/>
    <w:rsid w:val="00E5644E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38AA"/>
    <w:rsid w:val="00E8535A"/>
    <w:rsid w:val="00E856CE"/>
    <w:rsid w:val="00E90014"/>
    <w:rsid w:val="00E9059F"/>
    <w:rsid w:val="00E90F23"/>
    <w:rsid w:val="00E91706"/>
    <w:rsid w:val="00E9327B"/>
    <w:rsid w:val="00E95925"/>
    <w:rsid w:val="00E96630"/>
    <w:rsid w:val="00EA392B"/>
    <w:rsid w:val="00EA6C65"/>
    <w:rsid w:val="00EA772F"/>
    <w:rsid w:val="00EB18D7"/>
    <w:rsid w:val="00EB30C3"/>
    <w:rsid w:val="00EB33F6"/>
    <w:rsid w:val="00EB5EFC"/>
    <w:rsid w:val="00EB6832"/>
    <w:rsid w:val="00EB70E2"/>
    <w:rsid w:val="00EC5BC7"/>
    <w:rsid w:val="00EC7146"/>
    <w:rsid w:val="00ED355F"/>
    <w:rsid w:val="00ED58E4"/>
    <w:rsid w:val="00ED6D82"/>
    <w:rsid w:val="00ED7A2A"/>
    <w:rsid w:val="00EE16CC"/>
    <w:rsid w:val="00EE5771"/>
    <w:rsid w:val="00EE639C"/>
    <w:rsid w:val="00EF0B5A"/>
    <w:rsid w:val="00EF14E7"/>
    <w:rsid w:val="00EF1D7F"/>
    <w:rsid w:val="00EF2383"/>
    <w:rsid w:val="00EF497D"/>
    <w:rsid w:val="00EF6834"/>
    <w:rsid w:val="00F02B07"/>
    <w:rsid w:val="00F05C2D"/>
    <w:rsid w:val="00F06753"/>
    <w:rsid w:val="00F13EC4"/>
    <w:rsid w:val="00F14AAA"/>
    <w:rsid w:val="00F14E08"/>
    <w:rsid w:val="00F16818"/>
    <w:rsid w:val="00F16CB6"/>
    <w:rsid w:val="00F179DE"/>
    <w:rsid w:val="00F20E52"/>
    <w:rsid w:val="00F236CE"/>
    <w:rsid w:val="00F30065"/>
    <w:rsid w:val="00F30427"/>
    <w:rsid w:val="00F345D5"/>
    <w:rsid w:val="00F36C76"/>
    <w:rsid w:val="00F3711E"/>
    <w:rsid w:val="00F40AC5"/>
    <w:rsid w:val="00F40E75"/>
    <w:rsid w:val="00F41498"/>
    <w:rsid w:val="00F42066"/>
    <w:rsid w:val="00F45837"/>
    <w:rsid w:val="00F51379"/>
    <w:rsid w:val="00F516EE"/>
    <w:rsid w:val="00F518F7"/>
    <w:rsid w:val="00F532F9"/>
    <w:rsid w:val="00F54674"/>
    <w:rsid w:val="00F55A1F"/>
    <w:rsid w:val="00F55FD3"/>
    <w:rsid w:val="00F5673A"/>
    <w:rsid w:val="00F61B05"/>
    <w:rsid w:val="00F623B0"/>
    <w:rsid w:val="00F6529B"/>
    <w:rsid w:val="00F66F59"/>
    <w:rsid w:val="00F670E3"/>
    <w:rsid w:val="00F701A2"/>
    <w:rsid w:val="00F70522"/>
    <w:rsid w:val="00F71453"/>
    <w:rsid w:val="00F7224B"/>
    <w:rsid w:val="00F729F2"/>
    <w:rsid w:val="00F74CAF"/>
    <w:rsid w:val="00F75373"/>
    <w:rsid w:val="00F76BC5"/>
    <w:rsid w:val="00F778FA"/>
    <w:rsid w:val="00F81292"/>
    <w:rsid w:val="00F826CB"/>
    <w:rsid w:val="00F82A8B"/>
    <w:rsid w:val="00F83406"/>
    <w:rsid w:val="00F85B4A"/>
    <w:rsid w:val="00F85DBE"/>
    <w:rsid w:val="00F91C7F"/>
    <w:rsid w:val="00F91D77"/>
    <w:rsid w:val="00F942CB"/>
    <w:rsid w:val="00F94942"/>
    <w:rsid w:val="00F954BA"/>
    <w:rsid w:val="00FA19D1"/>
    <w:rsid w:val="00FA4B97"/>
    <w:rsid w:val="00FA6738"/>
    <w:rsid w:val="00FB016C"/>
    <w:rsid w:val="00FB09F1"/>
    <w:rsid w:val="00FB2719"/>
    <w:rsid w:val="00FB3438"/>
    <w:rsid w:val="00FB4352"/>
    <w:rsid w:val="00FC2B0A"/>
    <w:rsid w:val="00FC5E08"/>
    <w:rsid w:val="00FC68B7"/>
    <w:rsid w:val="00FD199B"/>
    <w:rsid w:val="00FD21A9"/>
    <w:rsid w:val="00FD59E3"/>
    <w:rsid w:val="00FD6B2B"/>
    <w:rsid w:val="00FD70A5"/>
    <w:rsid w:val="00FE0693"/>
    <w:rsid w:val="00FE1672"/>
    <w:rsid w:val="00FE26FA"/>
    <w:rsid w:val="00FE40BE"/>
    <w:rsid w:val="00FE4AFB"/>
    <w:rsid w:val="00FE7A43"/>
    <w:rsid w:val="00FF0169"/>
    <w:rsid w:val="00FF03BB"/>
    <w:rsid w:val="00FF437D"/>
    <w:rsid w:val="00FF4C77"/>
    <w:rsid w:val="00FF687E"/>
    <w:rsid w:val="00FF7519"/>
    <w:rsid w:val="00FF785B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8A794F"/>
  <w15:docId w15:val="{2CA1BFA7-4449-4E8E-B468-523E5B0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1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6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paragraph" w:styleId="Caption">
    <w:name w:val="caption"/>
    <w:basedOn w:val="Normal"/>
    <w:next w:val="Normal"/>
    <w:unhideWhenUsed/>
    <w:qFormat/>
    <w:rsid w:val="00FA4B9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6662-BFA4-4E14-A472-4C01A17B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9</cp:revision>
  <cp:lastPrinted>2019-09-11T08:48:00Z</cp:lastPrinted>
  <dcterms:created xsi:type="dcterms:W3CDTF">2019-09-06T13:48:00Z</dcterms:created>
  <dcterms:modified xsi:type="dcterms:W3CDTF">2019-09-11T09:05:00Z</dcterms:modified>
</cp:coreProperties>
</file>