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63C331C" w14:textId="77777777" w:rsidTr="00F01738">
        <w:trPr>
          <w:trHeight w:hRule="exact" w:val="851"/>
        </w:trPr>
        <w:tc>
          <w:tcPr>
            <w:tcW w:w="1276" w:type="dxa"/>
            <w:tcBorders>
              <w:bottom w:val="single" w:sz="4" w:space="0" w:color="auto"/>
            </w:tcBorders>
          </w:tcPr>
          <w:p w14:paraId="7E0DB494" w14:textId="77777777" w:rsidR="00132EA9" w:rsidRPr="00DB58B5" w:rsidRDefault="00132EA9" w:rsidP="00036A84">
            <w:bookmarkStart w:id="0" w:name="_GoBack"/>
            <w:bookmarkEnd w:id="0"/>
          </w:p>
        </w:tc>
        <w:tc>
          <w:tcPr>
            <w:tcW w:w="2268" w:type="dxa"/>
            <w:tcBorders>
              <w:bottom w:val="single" w:sz="4" w:space="0" w:color="auto"/>
            </w:tcBorders>
            <w:vAlign w:val="bottom"/>
          </w:tcPr>
          <w:p w14:paraId="6ED5A0A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810F7F" w14:textId="77777777" w:rsidR="00132EA9" w:rsidRPr="00DB58B5" w:rsidRDefault="00036A84" w:rsidP="00036A84">
            <w:pPr>
              <w:jc w:val="right"/>
            </w:pPr>
            <w:r w:rsidRPr="00036A84">
              <w:rPr>
                <w:sz w:val="40"/>
              </w:rPr>
              <w:t>ST</w:t>
            </w:r>
            <w:r>
              <w:t>/SG/AC.10/C.4/2019/3</w:t>
            </w:r>
          </w:p>
        </w:tc>
      </w:tr>
      <w:tr w:rsidR="00132EA9" w:rsidRPr="00DB58B5" w14:paraId="58B5648F" w14:textId="77777777" w:rsidTr="00F01738">
        <w:trPr>
          <w:trHeight w:hRule="exact" w:val="2835"/>
        </w:trPr>
        <w:tc>
          <w:tcPr>
            <w:tcW w:w="1276" w:type="dxa"/>
            <w:tcBorders>
              <w:top w:val="single" w:sz="4" w:space="0" w:color="auto"/>
              <w:bottom w:val="single" w:sz="12" w:space="0" w:color="auto"/>
            </w:tcBorders>
          </w:tcPr>
          <w:p w14:paraId="3E8186F3" w14:textId="77777777" w:rsidR="00132EA9" w:rsidRPr="00DB58B5" w:rsidRDefault="00132EA9" w:rsidP="00F01738">
            <w:pPr>
              <w:spacing w:before="120"/>
              <w:jc w:val="center"/>
            </w:pPr>
            <w:r>
              <w:rPr>
                <w:noProof/>
                <w:lang w:eastAsia="fr-CH"/>
              </w:rPr>
              <w:drawing>
                <wp:inline distT="0" distB="0" distL="0" distR="0" wp14:anchorId="21042075" wp14:editId="365DE1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22E09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70E98D4" w14:textId="77777777" w:rsidR="00132EA9" w:rsidRDefault="00036A84" w:rsidP="00F01738">
            <w:pPr>
              <w:spacing w:before="240"/>
            </w:pPr>
            <w:proofErr w:type="spellStart"/>
            <w:r>
              <w:t>Distr</w:t>
            </w:r>
            <w:proofErr w:type="spellEnd"/>
            <w:r>
              <w:t xml:space="preserve">. </w:t>
            </w:r>
            <w:proofErr w:type="gramStart"/>
            <w:r>
              <w:t>générale</w:t>
            </w:r>
            <w:proofErr w:type="gramEnd"/>
          </w:p>
          <w:p w14:paraId="060A0204" w14:textId="77777777" w:rsidR="00036A84" w:rsidRDefault="00036A84" w:rsidP="00036A84">
            <w:pPr>
              <w:spacing w:line="240" w:lineRule="exact"/>
            </w:pPr>
            <w:r>
              <w:t>3 avril 2019</w:t>
            </w:r>
          </w:p>
          <w:p w14:paraId="48FC16D0" w14:textId="77777777" w:rsidR="00036A84" w:rsidRDefault="00036A84" w:rsidP="00036A84">
            <w:pPr>
              <w:spacing w:line="240" w:lineRule="exact"/>
            </w:pPr>
            <w:r>
              <w:t>Français</w:t>
            </w:r>
          </w:p>
          <w:p w14:paraId="0A040EB8" w14:textId="77777777" w:rsidR="00036A84" w:rsidRPr="00DB58B5" w:rsidRDefault="00036A84" w:rsidP="00036A84">
            <w:pPr>
              <w:spacing w:line="240" w:lineRule="exact"/>
            </w:pPr>
            <w:r>
              <w:t>Original : anglais</w:t>
            </w:r>
          </w:p>
        </w:tc>
      </w:tr>
    </w:tbl>
    <w:p w14:paraId="41DFB93C" w14:textId="77777777" w:rsidR="00036A84" w:rsidRPr="00CA0680" w:rsidRDefault="00036A8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ED2133B" w14:textId="77777777" w:rsidR="00036A84" w:rsidRPr="00CA0680" w:rsidRDefault="00036A84"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1C388F82" w14:textId="77777777" w:rsidR="00036A84" w:rsidRDefault="00321292" w:rsidP="000305D3">
      <w:pPr>
        <w:spacing w:before="120"/>
        <w:rPr>
          <w:b/>
        </w:rPr>
      </w:pPr>
      <w:r>
        <w:rPr>
          <w:b/>
          <w:bCs/>
          <w:lang w:val="fr-FR"/>
        </w:rPr>
        <w:t>Trente-septième</w:t>
      </w:r>
      <w:r w:rsidR="00036A84" w:rsidRPr="00CA0680">
        <w:rPr>
          <w:b/>
        </w:rPr>
        <w:t xml:space="preserve"> session</w:t>
      </w:r>
    </w:p>
    <w:p w14:paraId="40E6363C" w14:textId="77777777" w:rsidR="00036A84" w:rsidRDefault="00036A84" w:rsidP="000305D3">
      <w:r>
        <w:t>Genève,</w:t>
      </w:r>
      <w:r w:rsidR="00321292">
        <w:t xml:space="preserve"> </w:t>
      </w:r>
      <w:r w:rsidR="00321292">
        <w:rPr>
          <w:lang w:val="fr-FR"/>
        </w:rPr>
        <w:t>8-10 juillet 2019</w:t>
      </w:r>
    </w:p>
    <w:p w14:paraId="5ABB64A0" w14:textId="77777777" w:rsidR="00321292" w:rsidRPr="00624897" w:rsidRDefault="00321292" w:rsidP="00321292">
      <w:r>
        <w:rPr>
          <w:lang w:val="fr-FR"/>
        </w:rPr>
        <w:t>Point 3 b) de l’ordre du jour provisoire</w:t>
      </w:r>
    </w:p>
    <w:p w14:paraId="62103D3E" w14:textId="77777777" w:rsidR="00036A84" w:rsidRDefault="00321292" w:rsidP="00AC3823">
      <w:r w:rsidRPr="003C6650">
        <w:rPr>
          <w:b/>
          <w:lang w:val="fr-FR"/>
        </w:rPr>
        <w:t>Questions relatives à la communication des dangers</w:t>
      </w:r>
      <w:r w:rsidR="00135224">
        <w:rPr>
          <w:b/>
          <w:lang w:val="fr-FR"/>
        </w:rPr>
        <w:t> </w:t>
      </w:r>
      <w:r w:rsidRPr="003C6650">
        <w:rPr>
          <w:b/>
          <w:lang w:val="fr-FR"/>
        </w:rPr>
        <w:t xml:space="preserve">: </w:t>
      </w:r>
      <w:r w:rsidRPr="003C6650">
        <w:rPr>
          <w:b/>
          <w:lang w:val="fr-FR"/>
        </w:rPr>
        <w:br/>
        <w:t xml:space="preserve">amélioration des annexes 1 à 3 et poursuite </w:t>
      </w:r>
      <w:r w:rsidRPr="003C6650">
        <w:rPr>
          <w:b/>
          <w:lang w:val="fr-FR"/>
        </w:rPr>
        <w:br/>
        <w:t>de la rationalisation des conseils de prudence</w:t>
      </w:r>
    </w:p>
    <w:p w14:paraId="240A5BAD" w14:textId="77777777" w:rsidR="00036A84" w:rsidRPr="00624897" w:rsidRDefault="00036A84" w:rsidP="00321292">
      <w:pPr>
        <w:pStyle w:val="HChG"/>
        <w:rPr>
          <w:rFonts w:eastAsia="MS Mincho"/>
        </w:rPr>
      </w:pPr>
      <w:r>
        <w:rPr>
          <w:lang w:val="fr-FR"/>
        </w:rPr>
        <w:tab/>
      </w:r>
      <w:r>
        <w:rPr>
          <w:lang w:val="fr-FR"/>
        </w:rPr>
        <w:tab/>
        <w:t xml:space="preserve">Modifications qu’il est proposé d’apporter à la présentation des catégories et sous-catégories de gaz inflammables </w:t>
      </w:r>
      <w:r w:rsidR="00135224">
        <w:rPr>
          <w:lang w:val="fr-FR"/>
        </w:rPr>
        <w:br/>
      </w:r>
      <w:proofErr w:type="gramStart"/>
      <w:r>
        <w:rPr>
          <w:lang w:val="fr-FR"/>
        </w:rPr>
        <w:t>à</w:t>
      </w:r>
      <w:proofErr w:type="gramEnd"/>
      <w:r>
        <w:rPr>
          <w:lang w:val="fr-FR"/>
        </w:rPr>
        <w:t xml:space="preserve"> l’annexe 3</w:t>
      </w:r>
    </w:p>
    <w:p w14:paraId="3C6BC1C2" w14:textId="77777777" w:rsidR="00036A84" w:rsidRPr="00624897" w:rsidRDefault="00036A84" w:rsidP="00321292">
      <w:pPr>
        <w:pStyle w:val="H1G"/>
      </w:pPr>
      <w:r>
        <w:rPr>
          <w:lang w:val="fr-FR"/>
        </w:rPr>
        <w:tab/>
      </w:r>
      <w:r>
        <w:rPr>
          <w:lang w:val="fr-FR"/>
        </w:rPr>
        <w:tab/>
        <w:t xml:space="preserve">Communication de l’expert du Royaume-Uni au nom du groupe de travail informel par correspondance </w:t>
      </w:r>
      <w:r w:rsidRPr="00595224">
        <w:rPr>
          <w:lang w:val="fr-FR"/>
        </w:rPr>
        <w:t>chargé de la révision des</w:t>
      </w:r>
      <w:r>
        <w:rPr>
          <w:lang w:val="fr-FR"/>
        </w:rPr>
        <w:t> annexes 1, 2 et 3 du SGH</w:t>
      </w:r>
      <w:r w:rsidRPr="003C6650">
        <w:rPr>
          <w:sz w:val="8"/>
          <w:szCs w:val="16"/>
          <w:lang w:val="fr-FR"/>
        </w:rPr>
        <w:t> </w:t>
      </w:r>
      <w:r w:rsidR="00321292" w:rsidRPr="00321292">
        <w:rPr>
          <w:rStyle w:val="FootnoteReference"/>
          <w:sz w:val="20"/>
          <w:szCs w:val="16"/>
          <w:vertAlign w:val="baseline"/>
        </w:rPr>
        <w:footnoteReference w:customMarkFollows="1" w:id="2"/>
        <w:t>*</w:t>
      </w:r>
    </w:p>
    <w:p w14:paraId="0CF4F503" w14:textId="77777777" w:rsidR="00036A84" w:rsidRPr="00624897" w:rsidRDefault="00036A84" w:rsidP="00321292">
      <w:pPr>
        <w:pStyle w:val="HChG"/>
        <w:rPr>
          <w:rFonts w:eastAsia="MS Mincho"/>
        </w:rPr>
      </w:pPr>
      <w:r>
        <w:rPr>
          <w:lang w:val="fr-FR"/>
        </w:rPr>
        <w:tab/>
      </w:r>
      <w:r>
        <w:rPr>
          <w:lang w:val="fr-FR"/>
        </w:rPr>
        <w:tab/>
        <w:t>Cadre général</w:t>
      </w:r>
    </w:p>
    <w:p w14:paraId="2C683D25" w14:textId="77777777" w:rsidR="00036A84" w:rsidRPr="00624897" w:rsidRDefault="00036A84" w:rsidP="00321292">
      <w:pPr>
        <w:pStyle w:val="SingleTxtG"/>
      </w:pPr>
      <w:r>
        <w:rPr>
          <w:lang w:val="fr-FR"/>
        </w:rPr>
        <w:t>1.</w:t>
      </w:r>
      <w:r>
        <w:rPr>
          <w:lang w:val="fr-FR"/>
        </w:rPr>
        <w:tab/>
        <w:t>Conformément à son mandat pour la période biennale 2019-2020, le groupe de travail informel</w:t>
      </w:r>
      <w:r w:rsidRPr="00624897">
        <w:t xml:space="preserve"> </w:t>
      </w:r>
      <w:r w:rsidRPr="003C6650">
        <w:rPr>
          <w:lang w:val="fr-FR"/>
        </w:rPr>
        <w:t xml:space="preserve">par correspondance </w:t>
      </w:r>
      <w:r w:rsidRPr="00595224">
        <w:rPr>
          <w:lang w:val="fr-FR"/>
        </w:rPr>
        <w:t xml:space="preserve">chargé de la révision </w:t>
      </w:r>
      <w:r w:rsidRPr="003C6650">
        <w:rPr>
          <w:lang w:val="fr-FR"/>
        </w:rPr>
        <w:t>des annexes 1, 2 et 3 du SGH</w:t>
      </w:r>
      <w:r>
        <w:rPr>
          <w:lang w:val="fr-FR"/>
        </w:rPr>
        <w:t xml:space="preserve"> a poursuivi ses activités au titre du domaine d’intervention b), à savoir « éliminer les incohérences dans la présentation des conseils de prudence dans l’annexe</w:t>
      </w:r>
      <w:r w:rsidR="00135224">
        <w:rPr>
          <w:lang w:val="fr-FR"/>
        </w:rPr>
        <w:t> </w:t>
      </w:r>
      <w:r>
        <w:rPr>
          <w:lang w:val="fr-FR"/>
        </w:rPr>
        <w:t xml:space="preserve">3, et notamment examiner les disparités dans l’application des conseils de prudence pour différentes classes et catégories de danger ». </w:t>
      </w:r>
    </w:p>
    <w:p w14:paraId="35FE921A" w14:textId="77777777" w:rsidR="00036A84" w:rsidRPr="00624897" w:rsidRDefault="00036A84" w:rsidP="00321292">
      <w:pPr>
        <w:pStyle w:val="SingleTxtG"/>
      </w:pPr>
      <w:r>
        <w:rPr>
          <w:lang w:val="fr-FR"/>
        </w:rPr>
        <w:t>2.</w:t>
      </w:r>
      <w:r>
        <w:rPr>
          <w:lang w:val="fr-FR"/>
        </w:rPr>
        <w:tab/>
        <w:t>On trouvera exposés dans le présent document les résultats des travaux sur le point</w:t>
      </w:r>
      <w:r w:rsidR="00135224">
        <w:rPr>
          <w:lang w:val="fr-FR"/>
        </w:rPr>
        <w:t> </w:t>
      </w:r>
      <w:r>
        <w:rPr>
          <w:lang w:val="fr-FR"/>
        </w:rPr>
        <w:t>7 du plan de travail du groupe de travail informel (document informel INF.25, trente-sixième session), qui porte sur le problème de « la présentation des catégories de danger en ce qui concerne les gaz chimiquement instables ».</w:t>
      </w:r>
    </w:p>
    <w:p w14:paraId="0237CB3D" w14:textId="77777777" w:rsidR="00036A84" w:rsidRPr="00624897" w:rsidRDefault="00036A84" w:rsidP="00321292">
      <w:pPr>
        <w:pStyle w:val="SingleTxtG"/>
      </w:pPr>
      <w:r>
        <w:rPr>
          <w:lang w:val="fr-FR"/>
        </w:rPr>
        <w:t>3.</w:t>
      </w:r>
      <w:r>
        <w:rPr>
          <w:lang w:val="fr-FR"/>
        </w:rPr>
        <w:tab/>
        <w:t>Au cours de cet examen, le groupe de travail informel a noté la nécessité d’apporter des modifications de présentation au tableau A3.2.2 de l’annexe 3 pour la classe de danger des gaz inflammables de la catégorie de danger 1A, afin de le préciser et d’éliminer les incohérences.</w:t>
      </w:r>
    </w:p>
    <w:p w14:paraId="317C83D5" w14:textId="77777777" w:rsidR="00036A84" w:rsidRPr="00624897" w:rsidRDefault="00036A84" w:rsidP="008E6322">
      <w:pPr>
        <w:pStyle w:val="HChG"/>
        <w:rPr>
          <w:rFonts w:eastAsia="MS Mincho"/>
        </w:rPr>
      </w:pPr>
      <w:r>
        <w:rPr>
          <w:lang w:val="fr-FR"/>
        </w:rPr>
        <w:lastRenderedPageBreak/>
        <w:tab/>
      </w:r>
      <w:r>
        <w:rPr>
          <w:lang w:val="fr-FR"/>
        </w:rPr>
        <w:tab/>
        <w:t>Analyse et proposition</w:t>
      </w:r>
    </w:p>
    <w:p w14:paraId="10DA3D5A" w14:textId="77777777" w:rsidR="00036A84" w:rsidRPr="00624897" w:rsidRDefault="00036A84" w:rsidP="008E6322">
      <w:pPr>
        <w:pStyle w:val="SingleTxtG"/>
      </w:pPr>
      <w:r>
        <w:rPr>
          <w:lang w:val="fr-FR"/>
        </w:rPr>
        <w:t>4.</w:t>
      </w:r>
      <w:r>
        <w:rPr>
          <w:lang w:val="fr-FR"/>
        </w:rPr>
        <w:tab/>
        <w:t>Les critères de classement du tableau 2.2.1 du chapitre 2.2 « Gaz inflammables » énoncent les sous-catégories de la catégorie de danger 1A des gaz inflammables. Ces sous</w:t>
      </w:r>
      <w:r w:rsidR="00135224">
        <w:rPr>
          <w:lang w:val="fr-FR"/>
        </w:rPr>
        <w:noBreakHyphen/>
      </w:r>
      <w:r>
        <w:rPr>
          <w:lang w:val="fr-FR"/>
        </w:rPr>
        <w:t>catégories de danger sont les suivantes</w:t>
      </w:r>
      <w:r w:rsidR="00135224">
        <w:rPr>
          <w:lang w:val="fr-FR"/>
        </w:rPr>
        <w:t> </w:t>
      </w:r>
      <w:r>
        <w:rPr>
          <w:lang w:val="fr-FR"/>
        </w:rPr>
        <w:t>: gaz inflammable</w:t>
      </w:r>
      <w:r w:rsidRPr="00624897">
        <w:t> </w:t>
      </w:r>
      <w:r>
        <w:rPr>
          <w:lang w:val="fr-FR"/>
        </w:rPr>
        <w:t>; gaz pyrophorique</w:t>
      </w:r>
      <w:r w:rsidR="00135224">
        <w:rPr>
          <w:lang w:val="fr-FR"/>
        </w:rPr>
        <w:t> </w:t>
      </w:r>
      <w:r>
        <w:rPr>
          <w:lang w:val="fr-FR"/>
        </w:rPr>
        <w:t>; gaz chimiquement instable A</w:t>
      </w:r>
      <w:r w:rsidR="00135224">
        <w:rPr>
          <w:lang w:val="fr-FR"/>
        </w:rPr>
        <w:t> </w:t>
      </w:r>
      <w:r>
        <w:rPr>
          <w:lang w:val="fr-FR"/>
        </w:rPr>
        <w:t>; et gaz chimiquement instable</w:t>
      </w:r>
      <w:r w:rsidR="00135224">
        <w:rPr>
          <w:lang w:val="fr-FR"/>
        </w:rPr>
        <w:t> </w:t>
      </w:r>
      <w:r>
        <w:rPr>
          <w:lang w:val="fr-FR"/>
        </w:rPr>
        <w:t>B.</w:t>
      </w:r>
    </w:p>
    <w:p w14:paraId="1F706E4E" w14:textId="77777777" w:rsidR="00036A84" w:rsidRPr="00624897" w:rsidRDefault="00036A84" w:rsidP="008E6322">
      <w:pPr>
        <w:pStyle w:val="SingleTxtG"/>
      </w:pPr>
      <w:r>
        <w:rPr>
          <w:lang w:val="fr-FR"/>
        </w:rPr>
        <w:t>5.</w:t>
      </w:r>
      <w:r>
        <w:rPr>
          <w:lang w:val="fr-FR"/>
        </w:rPr>
        <w:tab/>
        <w:t>Le groupe de travail informel chargé de la révision des annexes 1 à 3 a discerné deux domaines dans lesquels des modifications doivent être apportées pour améliorer la clarté et la cohérence des sous-catégories de la catégorie de danger 1A des gaz inflammables présentées dans le tableau A3.2.2 de l’annexe 3, conformément au tableau 2.2.1 et aux tableaux de la section 3 de l’annexe 3. Plus précisément, les problèmes décelés dans le tableau A3.2.2 sont les suivants</w:t>
      </w:r>
      <w:r w:rsidR="008E6322">
        <w:rPr>
          <w:lang w:val="fr-FR"/>
        </w:rPr>
        <w:t> </w:t>
      </w:r>
      <w:r>
        <w:rPr>
          <w:lang w:val="fr-FR"/>
        </w:rPr>
        <w:t>:</w:t>
      </w:r>
    </w:p>
    <w:p w14:paraId="37445A30" w14:textId="77777777" w:rsidR="00036A84" w:rsidRPr="00624897" w:rsidRDefault="00036A84" w:rsidP="008E6322">
      <w:pPr>
        <w:pStyle w:val="Bullet1G"/>
      </w:pPr>
      <w:r>
        <w:rPr>
          <w:lang w:val="fr-FR"/>
        </w:rPr>
        <w:t>En ce qui concerne les conseils de prudence relatifs aux instructions d’emballage P203 (introduits dans la huitième édition révisée du SGH), P222 et P280</w:t>
      </w:r>
      <w:r w:rsidR="00135224">
        <w:rPr>
          <w:lang w:val="fr-FR"/>
        </w:rPr>
        <w:t> </w:t>
      </w:r>
      <w:r>
        <w:rPr>
          <w:lang w:val="fr-FR"/>
        </w:rPr>
        <w:t>: la catégorie de danger énonce « A, B (gaz chimiquement instables) » ou « gaz pyrophoriques », sans indiquer que ce sont des sous-catégories de la catégorie de danger 1A des gaz inflammables ;</w:t>
      </w:r>
    </w:p>
    <w:p w14:paraId="5444B196" w14:textId="77777777" w:rsidR="00036A84" w:rsidRPr="00624897" w:rsidRDefault="00036A84" w:rsidP="008E6322">
      <w:pPr>
        <w:pStyle w:val="Bullet1G"/>
      </w:pPr>
      <w:r w:rsidRPr="00850B2F">
        <w:rPr>
          <w:lang w:val="fr-FR"/>
        </w:rPr>
        <w:t xml:space="preserve">En ce qui concerne les conseils de prudence relatifs aux </w:t>
      </w:r>
      <w:r w:rsidRPr="00D07DBD">
        <w:rPr>
          <w:lang w:val="fr-FR"/>
        </w:rPr>
        <w:t>instructions d</w:t>
      </w:r>
      <w:r>
        <w:rPr>
          <w:lang w:val="fr-FR"/>
        </w:rPr>
        <w:t>’</w:t>
      </w:r>
      <w:r w:rsidRPr="00D07DBD">
        <w:rPr>
          <w:lang w:val="fr-FR"/>
        </w:rPr>
        <w:t>emballage</w:t>
      </w:r>
      <w:r>
        <w:rPr>
          <w:lang w:val="fr-FR"/>
        </w:rPr>
        <w:t xml:space="preserve"> P210, P377, P381 et P403 dans le tableau A3.2.2, la catégorie de danger renvoie uniquement à « 1A, 1B, 2 » plutôt que d’énumérer toutes les sous-catégories de danger de la catégorie 1A, telles que définies dans le tableau 2.2.1 et énoncées dans les tableaux de conseils de prudence pour les « gaz inflammables », les « gaz chimiquement instables A ou B » et les « gaz pyrophoriques ».</w:t>
      </w:r>
    </w:p>
    <w:p w14:paraId="6A5DB2A3" w14:textId="77777777" w:rsidR="00036A84" w:rsidRPr="00624897" w:rsidRDefault="00036A84" w:rsidP="008E6322">
      <w:pPr>
        <w:pStyle w:val="SingleTxtG"/>
      </w:pPr>
      <w:r>
        <w:rPr>
          <w:lang w:val="fr-FR"/>
        </w:rPr>
        <w:t>6.</w:t>
      </w:r>
      <w:r>
        <w:rPr>
          <w:lang w:val="fr-FR"/>
        </w:rPr>
        <w:tab/>
        <w:t>Afin de rendre plus clairs et plus cohérents le tableau 2.2.1, le tableau A3.2.2 et le tableau des conseils de prudence, il est proposé de modifier les rubriques de la catégorie de danger 1A des gaz inflammables au tableau A3.2.2 de la section 2 de l’annexe</w:t>
      </w:r>
      <w:r w:rsidR="00135224">
        <w:rPr>
          <w:lang w:val="fr-FR"/>
        </w:rPr>
        <w:t> </w:t>
      </w:r>
      <w:r>
        <w:rPr>
          <w:lang w:val="fr-FR"/>
        </w:rPr>
        <w:t>3 pour les instructions d’emballage P203, P210, P222, P280, P377, P381 et P403, comme suit</w:t>
      </w:r>
      <w:r w:rsidR="00BB30B3">
        <w:rPr>
          <w:lang w:val="fr-FR"/>
        </w:rPr>
        <w:t> </w:t>
      </w:r>
      <w:r>
        <w:rPr>
          <w:lang w:val="fr-FR"/>
        </w:rPr>
        <w:t>:</w:t>
      </w:r>
    </w:p>
    <w:p w14:paraId="279B0DAE" w14:textId="77777777" w:rsidR="00036A84" w:rsidRPr="00624897" w:rsidRDefault="00036A84" w:rsidP="008E6322">
      <w:pPr>
        <w:pStyle w:val="Bullet1G"/>
      </w:pPr>
      <w:r>
        <w:rPr>
          <w:lang w:val="fr-FR"/>
        </w:rPr>
        <w:t>P203 : Remplacer la rubrique « A, B (gaz chimiquement instables) » par</w:t>
      </w:r>
      <w:r w:rsidR="00DC7571">
        <w:rPr>
          <w:lang w:val="fr-FR"/>
        </w:rPr>
        <w:t> </w:t>
      </w:r>
      <w:r>
        <w:rPr>
          <w:lang w:val="fr-FR"/>
        </w:rPr>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4752"/>
      </w:tblGrid>
      <w:tr w:rsidR="0000094B" w:rsidRPr="0000094B" w14:paraId="7EF72919" w14:textId="77777777" w:rsidTr="00DC7571">
        <w:trPr>
          <w:tblHeader/>
        </w:trPr>
        <w:tc>
          <w:tcPr>
            <w:tcW w:w="4673" w:type="dxa"/>
            <w:gridSpan w:val="2"/>
            <w:tcBorders>
              <w:top w:val="single" w:sz="4" w:space="0" w:color="auto"/>
              <w:bottom w:val="single" w:sz="12" w:space="0" w:color="auto"/>
            </w:tcBorders>
            <w:shd w:val="clear" w:color="auto" w:fill="auto"/>
            <w:vAlign w:val="bottom"/>
          </w:tcPr>
          <w:p w14:paraId="0268865C" w14:textId="77777777" w:rsidR="00036A84" w:rsidRPr="0000094B" w:rsidRDefault="00036A84" w:rsidP="0000094B">
            <w:pPr>
              <w:spacing w:before="80" w:after="80" w:line="200" w:lineRule="exact"/>
              <w:ind w:right="113"/>
              <w:rPr>
                <w:i/>
                <w:sz w:val="16"/>
                <w:szCs w:val="18"/>
              </w:rPr>
            </w:pPr>
            <w:r w:rsidRPr="0000094B">
              <w:rPr>
                <w:i/>
                <w:sz w:val="16"/>
                <w:lang w:val="fr-FR"/>
              </w:rPr>
              <w:t>Catégorie de danger (4)</w:t>
            </w:r>
          </w:p>
        </w:tc>
      </w:tr>
      <w:tr w:rsidR="0000094B" w:rsidRPr="0000094B" w14:paraId="2991332A" w14:textId="77777777" w:rsidTr="00DC7571">
        <w:trPr>
          <w:trHeight w:hRule="exact" w:val="113"/>
        </w:trPr>
        <w:tc>
          <w:tcPr>
            <w:tcW w:w="4673" w:type="dxa"/>
            <w:gridSpan w:val="2"/>
            <w:tcBorders>
              <w:top w:val="single" w:sz="12" w:space="0" w:color="auto"/>
            </w:tcBorders>
            <w:shd w:val="clear" w:color="auto" w:fill="auto"/>
          </w:tcPr>
          <w:p w14:paraId="6AF08E55" w14:textId="77777777" w:rsidR="0000094B" w:rsidRPr="0000094B" w:rsidRDefault="0000094B" w:rsidP="0000094B">
            <w:pPr>
              <w:spacing w:before="40" w:after="120"/>
              <w:ind w:right="113"/>
              <w:rPr>
                <w:lang w:val="fr-FR"/>
              </w:rPr>
            </w:pPr>
          </w:p>
        </w:tc>
      </w:tr>
      <w:tr w:rsidR="0000094B" w:rsidRPr="0000094B" w14:paraId="16843686" w14:textId="77777777" w:rsidTr="00DC7571">
        <w:tc>
          <w:tcPr>
            <w:tcW w:w="1409" w:type="dxa"/>
            <w:vMerge w:val="restart"/>
            <w:shd w:val="clear" w:color="auto" w:fill="auto"/>
          </w:tcPr>
          <w:p w14:paraId="42649578" w14:textId="77777777" w:rsidR="00036A84" w:rsidRPr="0000094B" w:rsidRDefault="00036A84" w:rsidP="0000094B">
            <w:pPr>
              <w:spacing w:before="40" w:after="120"/>
              <w:ind w:right="113"/>
              <w:rPr>
                <w:szCs w:val="18"/>
              </w:rPr>
            </w:pPr>
            <w:r w:rsidRPr="0000094B">
              <w:rPr>
                <w:lang w:val="fr-FR"/>
              </w:rPr>
              <w:t>1A</w:t>
            </w:r>
          </w:p>
        </w:tc>
        <w:tc>
          <w:tcPr>
            <w:tcW w:w="3264" w:type="dxa"/>
            <w:shd w:val="clear" w:color="auto" w:fill="auto"/>
          </w:tcPr>
          <w:p w14:paraId="27C6F3D0" w14:textId="77777777" w:rsidR="00036A84" w:rsidRPr="0000094B" w:rsidRDefault="00036A84" w:rsidP="0000094B">
            <w:pPr>
              <w:spacing w:before="40" w:after="120"/>
              <w:ind w:right="113"/>
            </w:pPr>
            <w:r w:rsidRPr="0000094B">
              <w:rPr>
                <w:lang w:val="fr-FR"/>
              </w:rPr>
              <w:t>Gaz chimiquement instables A</w:t>
            </w:r>
          </w:p>
        </w:tc>
      </w:tr>
      <w:tr w:rsidR="0000094B" w:rsidRPr="0000094B" w14:paraId="2C4CB668" w14:textId="77777777" w:rsidTr="00DC7571">
        <w:tc>
          <w:tcPr>
            <w:tcW w:w="1409" w:type="dxa"/>
            <w:vMerge/>
            <w:tcBorders>
              <w:bottom w:val="single" w:sz="12" w:space="0" w:color="auto"/>
            </w:tcBorders>
            <w:shd w:val="clear" w:color="auto" w:fill="auto"/>
          </w:tcPr>
          <w:p w14:paraId="692C82DA" w14:textId="77777777" w:rsidR="00036A84" w:rsidRPr="0000094B" w:rsidRDefault="00036A84" w:rsidP="0000094B">
            <w:pPr>
              <w:spacing w:before="40" w:after="120"/>
              <w:ind w:right="113"/>
              <w:rPr>
                <w:szCs w:val="18"/>
              </w:rPr>
            </w:pPr>
          </w:p>
        </w:tc>
        <w:tc>
          <w:tcPr>
            <w:tcW w:w="3264" w:type="dxa"/>
            <w:tcBorders>
              <w:bottom w:val="single" w:sz="12" w:space="0" w:color="auto"/>
            </w:tcBorders>
            <w:shd w:val="clear" w:color="auto" w:fill="auto"/>
          </w:tcPr>
          <w:p w14:paraId="6BA4CCAB" w14:textId="77777777" w:rsidR="00036A84" w:rsidRPr="0000094B" w:rsidRDefault="00036A84" w:rsidP="0000094B">
            <w:pPr>
              <w:spacing w:before="40" w:after="120"/>
              <w:ind w:right="113"/>
            </w:pPr>
            <w:r w:rsidRPr="0000094B">
              <w:rPr>
                <w:lang w:val="fr-FR"/>
              </w:rPr>
              <w:t>Gaz chimiquement instables B</w:t>
            </w:r>
          </w:p>
        </w:tc>
      </w:tr>
    </w:tbl>
    <w:p w14:paraId="15FE780B" w14:textId="77777777" w:rsidR="00036A84" w:rsidRPr="00624897" w:rsidRDefault="00036A84" w:rsidP="00B866D4">
      <w:pPr>
        <w:pStyle w:val="Bullet1G"/>
        <w:spacing w:before="240"/>
      </w:pPr>
      <w:r>
        <w:rPr>
          <w:lang w:val="fr-FR"/>
        </w:rPr>
        <w:t>P222 et P280</w:t>
      </w:r>
      <w:r w:rsidR="00135224">
        <w:rPr>
          <w:lang w:val="fr-FR"/>
        </w:rPr>
        <w:t> </w:t>
      </w:r>
      <w:r>
        <w:rPr>
          <w:lang w:val="fr-FR"/>
        </w:rPr>
        <w:t>: pour les gaz pyrophoriques, insérer « 1A » avant « Gaz pyrophoriques »</w:t>
      </w:r>
      <w:r w:rsidR="00BB30B3">
        <w:rPr>
          <w:lang w:val="fr-FR"/>
        </w:rPr>
        <w:t> </w:t>
      </w:r>
      <w:r>
        <w:rPr>
          <w:lang w:val="fr-FR"/>
        </w:rPr>
        <w:t>;</w:t>
      </w:r>
    </w:p>
    <w:p w14:paraId="5E5003AE" w14:textId="77777777" w:rsidR="00036A84" w:rsidRPr="00624897" w:rsidRDefault="00036A84" w:rsidP="008E6322">
      <w:pPr>
        <w:pStyle w:val="Bullet1G"/>
      </w:pPr>
      <w:r>
        <w:rPr>
          <w:lang w:val="fr-FR"/>
        </w:rPr>
        <w:t>P210, P377, P381 et P403</w:t>
      </w:r>
      <w:r w:rsidR="00135224">
        <w:rPr>
          <w:lang w:val="fr-FR"/>
        </w:rPr>
        <w:t> </w:t>
      </w:r>
      <w:r>
        <w:rPr>
          <w:lang w:val="fr-FR"/>
        </w:rPr>
        <w:t>: remplacer les rubriques « 1A, 1B, 2 » par</w:t>
      </w:r>
      <w:r w:rsidR="00135224">
        <w:rPr>
          <w:lang w:val="fr-FR"/>
        </w:rPr>
        <w:t> </w:t>
      </w:r>
      <w:r>
        <w:rPr>
          <w:lang w:val="fr-FR"/>
        </w:rPr>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4813"/>
      </w:tblGrid>
      <w:tr w:rsidR="00036A84" w:rsidRPr="00DC7571" w14:paraId="1AFCFD50" w14:textId="77777777" w:rsidTr="00DC7571">
        <w:trPr>
          <w:tblHeader/>
        </w:trPr>
        <w:tc>
          <w:tcPr>
            <w:tcW w:w="4815" w:type="dxa"/>
            <w:gridSpan w:val="2"/>
            <w:tcBorders>
              <w:top w:val="single" w:sz="4" w:space="0" w:color="auto"/>
              <w:bottom w:val="single" w:sz="12" w:space="0" w:color="auto"/>
            </w:tcBorders>
            <w:shd w:val="clear" w:color="auto" w:fill="auto"/>
            <w:vAlign w:val="bottom"/>
          </w:tcPr>
          <w:p w14:paraId="3EAA0134" w14:textId="77777777" w:rsidR="00036A84" w:rsidRPr="00DC7571" w:rsidRDefault="00036A84" w:rsidP="00DC7571">
            <w:pPr>
              <w:spacing w:before="80" w:after="80" w:line="200" w:lineRule="exact"/>
              <w:ind w:right="113"/>
              <w:rPr>
                <w:i/>
                <w:sz w:val="16"/>
                <w:szCs w:val="18"/>
              </w:rPr>
            </w:pPr>
            <w:r w:rsidRPr="00DC7571">
              <w:rPr>
                <w:i/>
                <w:sz w:val="16"/>
                <w:lang w:val="fr-FR"/>
              </w:rPr>
              <w:t>Catégorie de danger (4)</w:t>
            </w:r>
          </w:p>
        </w:tc>
      </w:tr>
      <w:tr w:rsidR="00DC7571" w:rsidRPr="00DC7571" w14:paraId="580C9026" w14:textId="77777777" w:rsidTr="00DC7571">
        <w:trPr>
          <w:trHeight w:hRule="exact" w:val="113"/>
        </w:trPr>
        <w:tc>
          <w:tcPr>
            <w:tcW w:w="4815" w:type="dxa"/>
            <w:gridSpan w:val="2"/>
            <w:tcBorders>
              <w:top w:val="single" w:sz="12" w:space="0" w:color="auto"/>
            </w:tcBorders>
            <w:shd w:val="clear" w:color="auto" w:fill="auto"/>
          </w:tcPr>
          <w:p w14:paraId="768E9C3C" w14:textId="77777777" w:rsidR="00DC7571" w:rsidRPr="00DC7571" w:rsidRDefault="00DC7571" w:rsidP="00DC7571">
            <w:pPr>
              <w:spacing w:before="40" w:after="120"/>
              <w:ind w:right="113"/>
              <w:rPr>
                <w:lang w:val="fr-FR"/>
              </w:rPr>
            </w:pPr>
          </w:p>
        </w:tc>
      </w:tr>
      <w:tr w:rsidR="00036A84" w:rsidRPr="00DC7571" w14:paraId="7BF14B93" w14:textId="77777777" w:rsidTr="00DC7571">
        <w:tc>
          <w:tcPr>
            <w:tcW w:w="1409" w:type="dxa"/>
            <w:vMerge w:val="restart"/>
            <w:shd w:val="clear" w:color="auto" w:fill="auto"/>
          </w:tcPr>
          <w:p w14:paraId="7502E070" w14:textId="77777777" w:rsidR="00036A84" w:rsidRPr="00DC7571" w:rsidRDefault="00036A84" w:rsidP="00DC7571">
            <w:pPr>
              <w:spacing w:before="40" w:after="120"/>
              <w:ind w:right="113"/>
              <w:rPr>
                <w:szCs w:val="18"/>
              </w:rPr>
            </w:pPr>
            <w:r w:rsidRPr="00DC7571">
              <w:rPr>
                <w:lang w:val="fr-FR"/>
              </w:rPr>
              <w:t>1A</w:t>
            </w:r>
          </w:p>
        </w:tc>
        <w:tc>
          <w:tcPr>
            <w:tcW w:w="3406" w:type="dxa"/>
            <w:shd w:val="clear" w:color="auto" w:fill="auto"/>
          </w:tcPr>
          <w:p w14:paraId="0A691257" w14:textId="77777777" w:rsidR="00036A84" w:rsidRPr="00DC7571" w:rsidRDefault="00036A84" w:rsidP="00DC7571">
            <w:pPr>
              <w:spacing w:before="40" w:after="120"/>
              <w:ind w:right="113"/>
            </w:pPr>
            <w:r w:rsidRPr="00DC7571">
              <w:rPr>
                <w:lang w:val="fr-FR"/>
              </w:rPr>
              <w:t>Gaz inflammables</w:t>
            </w:r>
          </w:p>
        </w:tc>
      </w:tr>
      <w:tr w:rsidR="00036A84" w:rsidRPr="00DC7571" w14:paraId="19A392FF" w14:textId="77777777" w:rsidTr="00DC7571">
        <w:tc>
          <w:tcPr>
            <w:tcW w:w="1409" w:type="dxa"/>
            <w:vMerge/>
            <w:shd w:val="clear" w:color="auto" w:fill="auto"/>
          </w:tcPr>
          <w:p w14:paraId="72ED3A8A" w14:textId="77777777" w:rsidR="00036A84" w:rsidRPr="00DC7571" w:rsidRDefault="00036A84" w:rsidP="00DC7571">
            <w:pPr>
              <w:spacing w:before="40" w:after="120"/>
              <w:ind w:right="113"/>
              <w:rPr>
                <w:szCs w:val="18"/>
              </w:rPr>
            </w:pPr>
          </w:p>
        </w:tc>
        <w:tc>
          <w:tcPr>
            <w:tcW w:w="3406" w:type="dxa"/>
            <w:shd w:val="clear" w:color="auto" w:fill="auto"/>
          </w:tcPr>
          <w:p w14:paraId="11EBAEF4" w14:textId="77777777" w:rsidR="00036A84" w:rsidRPr="00DC7571" w:rsidRDefault="00036A84" w:rsidP="00DC7571">
            <w:pPr>
              <w:spacing w:before="40" w:after="120"/>
              <w:ind w:right="113"/>
            </w:pPr>
            <w:r w:rsidRPr="00DC7571">
              <w:rPr>
                <w:lang w:val="fr-FR"/>
              </w:rPr>
              <w:t>Gaz pyrophoriques</w:t>
            </w:r>
          </w:p>
        </w:tc>
      </w:tr>
      <w:tr w:rsidR="00036A84" w:rsidRPr="00DC7571" w14:paraId="63781181" w14:textId="77777777" w:rsidTr="00DC7571">
        <w:tc>
          <w:tcPr>
            <w:tcW w:w="1409" w:type="dxa"/>
            <w:vMerge/>
            <w:shd w:val="clear" w:color="auto" w:fill="auto"/>
          </w:tcPr>
          <w:p w14:paraId="334AF7A3" w14:textId="77777777" w:rsidR="00036A84" w:rsidRPr="00DC7571" w:rsidRDefault="00036A84" w:rsidP="00DC7571">
            <w:pPr>
              <w:spacing w:before="40" w:after="120"/>
              <w:ind w:right="113"/>
              <w:rPr>
                <w:szCs w:val="18"/>
              </w:rPr>
            </w:pPr>
          </w:p>
        </w:tc>
        <w:tc>
          <w:tcPr>
            <w:tcW w:w="3406" w:type="dxa"/>
            <w:shd w:val="clear" w:color="auto" w:fill="auto"/>
          </w:tcPr>
          <w:p w14:paraId="5E0AE821" w14:textId="77777777" w:rsidR="00036A84" w:rsidRPr="00DC7571" w:rsidRDefault="00036A84" w:rsidP="00DC7571">
            <w:pPr>
              <w:spacing w:before="40" w:after="120"/>
              <w:ind w:right="113"/>
            </w:pPr>
            <w:r w:rsidRPr="00DC7571">
              <w:rPr>
                <w:lang w:val="fr-FR"/>
              </w:rPr>
              <w:t>Gaz chimiquement instables A</w:t>
            </w:r>
          </w:p>
        </w:tc>
      </w:tr>
      <w:tr w:rsidR="00036A84" w:rsidRPr="00DC7571" w14:paraId="78818874" w14:textId="77777777" w:rsidTr="00DC7571">
        <w:tc>
          <w:tcPr>
            <w:tcW w:w="1409" w:type="dxa"/>
            <w:vMerge/>
            <w:shd w:val="clear" w:color="auto" w:fill="auto"/>
          </w:tcPr>
          <w:p w14:paraId="104461B3" w14:textId="77777777" w:rsidR="00036A84" w:rsidRPr="00DC7571" w:rsidRDefault="00036A84" w:rsidP="00DC7571">
            <w:pPr>
              <w:spacing w:before="40" w:after="120"/>
              <w:ind w:right="113"/>
              <w:rPr>
                <w:szCs w:val="18"/>
              </w:rPr>
            </w:pPr>
          </w:p>
        </w:tc>
        <w:tc>
          <w:tcPr>
            <w:tcW w:w="3406" w:type="dxa"/>
            <w:shd w:val="clear" w:color="auto" w:fill="auto"/>
          </w:tcPr>
          <w:p w14:paraId="2A64CFB8" w14:textId="77777777" w:rsidR="00036A84" w:rsidRPr="00DC7571" w:rsidRDefault="00036A84" w:rsidP="00DC7571">
            <w:pPr>
              <w:spacing w:before="40" w:after="120"/>
              <w:ind w:right="113"/>
            </w:pPr>
            <w:r w:rsidRPr="00DC7571">
              <w:rPr>
                <w:lang w:val="fr-FR"/>
              </w:rPr>
              <w:t>Gaz chimiquement instables B</w:t>
            </w:r>
          </w:p>
        </w:tc>
      </w:tr>
      <w:tr w:rsidR="00036A84" w:rsidRPr="00DC7571" w14:paraId="2BCBE62C" w14:textId="77777777" w:rsidTr="00DC7571">
        <w:tc>
          <w:tcPr>
            <w:tcW w:w="4815" w:type="dxa"/>
            <w:gridSpan w:val="2"/>
            <w:tcBorders>
              <w:bottom w:val="single" w:sz="12" w:space="0" w:color="auto"/>
            </w:tcBorders>
            <w:shd w:val="clear" w:color="auto" w:fill="auto"/>
          </w:tcPr>
          <w:p w14:paraId="1C5CB657" w14:textId="77777777" w:rsidR="00036A84" w:rsidRPr="00DC7571" w:rsidRDefault="00036A84" w:rsidP="00DC7571">
            <w:pPr>
              <w:spacing w:before="40" w:after="120"/>
              <w:ind w:right="113"/>
              <w:rPr>
                <w:szCs w:val="18"/>
              </w:rPr>
            </w:pPr>
            <w:r w:rsidRPr="00DC7571">
              <w:rPr>
                <w:lang w:val="fr-FR"/>
              </w:rPr>
              <w:t>1B, 2</w:t>
            </w:r>
          </w:p>
        </w:tc>
      </w:tr>
    </w:tbl>
    <w:p w14:paraId="4849F329" w14:textId="77777777" w:rsidR="00036A84" w:rsidRPr="00F32E20" w:rsidRDefault="00036A84" w:rsidP="008E6322">
      <w:pPr>
        <w:pStyle w:val="HChG"/>
        <w:rPr>
          <w:rFonts w:eastAsia="MS Mincho"/>
        </w:rPr>
      </w:pPr>
      <w:r>
        <w:rPr>
          <w:lang w:val="fr-FR"/>
        </w:rPr>
        <w:tab/>
      </w:r>
      <w:r>
        <w:rPr>
          <w:lang w:val="fr-FR"/>
        </w:rPr>
        <w:tab/>
        <w:t>Mesure à prendre</w:t>
      </w:r>
    </w:p>
    <w:p w14:paraId="5802492E" w14:textId="77777777" w:rsidR="00446FE5" w:rsidRDefault="00036A84" w:rsidP="008E6322">
      <w:pPr>
        <w:pStyle w:val="SingleTxtG"/>
        <w:rPr>
          <w:lang w:val="fr-FR"/>
        </w:rPr>
      </w:pPr>
      <w:r>
        <w:rPr>
          <w:lang w:val="fr-FR"/>
        </w:rPr>
        <w:t>7.</w:t>
      </w:r>
      <w:r>
        <w:rPr>
          <w:lang w:val="fr-FR"/>
        </w:rPr>
        <w:tab/>
        <w:t>Le Sous-Comité est invité à approuver les modifications proposées au paragraphe</w:t>
      </w:r>
      <w:r w:rsidR="0000094B">
        <w:rPr>
          <w:lang w:val="fr-FR"/>
        </w:rPr>
        <w:t> </w:t>
      </w:r>
      <w:r>
        <w:rPr>
          <w:lang w:val="fr-FR"/>
        </w:rPr>
        <w:t>6 ci-dessus, comme indiqué dans le document informel INF</w:t>
      </w:r>
      <w:r w:rsidR="00135224">
        <w:rPr>
          <w:lang w:val="fr-FR"/>
        </w:rPr>
        <w:t>.</w:t>
      </w:r>
      <w:r>
        <w:rPr>
          <w:lang w:val="fr-FR"/>
        </w:rPr>
        <w:t>4.</w:t>
      </w:r>
    </w:p>
    <w:p w14:paraId="6ABE4904" w14:textId="77777777" w:rsidR="00321292" w:rsidRPr="00321292" w:rsidRDefault="00321292" w:rsidP="00640376">
      <w:pPr>
        <w:pStyle w:val="SingleTxtG"/>
        <w:spacing w:before="120" w:after="0"/>
        <w:jc w:val="center"/>
        <w:rPr>
          <w:u w:val="single"/>
        </w:rPr>
      </w:pPr>
      <w:r>
        <w:rPr>
          <w:u w:val="single"/>
        </w:rPr>
        <w:tab/>
      </w:r>
      <w:r>
        <w:rPr>
          <w:u w:val="single"/>
        </w:rPr>
        <w:tab/>
      </w:r>
      <w:r>
        <w:rPr>
          <w:u w:val="single"/>
        </w:rPr>
        <w:tab/>
      </w:r>
    </w:p>
    <w:sectPr w:rsidR="00321292" w:rsidRPr="00321292" w:rsidSect="00036A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A5C1" w14:textId="77777777" w:rsidR="008C303D" w:rsidRDefault="008C303D" w:rsidP="00F95C08">
      <w:pPr>
        <w:spacing w:line="240" w:lineRule="auto"/>
      </w:pPr>
    </w:p>
  </w:endnote>
  <w:endnote w:type="continuationSeparator" w:id="0">
    <w:p w14:paraId="1B60E9E7" w14:textId="77777777" w:rsidR="008C303D" w:rsidRPr="00AC3823" w:rsidRDefault="008C303D" w:rsidP="00AC3823">
      <w:pPr>
        <w:pStyle w:val="Footer"/>
      </w:pPr>
    </w:p>
  </w:endnote>
  <w:endnote w:type="continuationNotice" w:id="1">
    <w:p w14:paraId="64122AFD" w14:textId="77777777" w:rsidR="008C303D" w:rsidRDefault="008C3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5238" w14:textId="77777777" w:rsidR="00036A84" w:rsidRPr="00036A84" w:rsidRDefault="00036A84" w:rsidP="00036A84">
    <w:pPr>
      <w:pStyle w:val="Footer"/>
      <w:tabs>
        <w:tab w:val="right" w:pos="9638"/>
      </w:tabs>
    </w:pPr>
    <w:r w:rsidRPr="00036A84">
      <w:rPr>
        <w:b/>
        <w:sz w:val="18"/>
      </w:rPr>
      <w:fldChar w:fldCharType="begin"/>
    </w:r>
    <w:r w:rsidRPr="00036A84">
      <w:rPr>
        <w:b/>
        <w:sz w:val="18"/>
      </w:rPr>
      <w:instrText xml:space="preserve"> PAGE  \* MERGEFORMAT </w:instrText>
    </w:r>
    <w:r w:rsidRPr="00036A84">
      <w:rPr>
        <w:b/>
        <w:sz w:val="18"/>
      </w:rPr>
      <w:fldChar w:fldCharType="separate"/>
    </w:r>
    <w:r w:rsidRPr="00036A84">
      <w:rPr>
        <w:b/>
        <w:noProof/>
        <w:sz w:val="18"/>
      </w:rPr>
      <w:t>2</w:t>
    </w:r>
    <w:r w:rsidRPr="00036A84">
      <w:rPr>
        <w:b/>
        <w:sz w:val="18"/>
      </w:rPr>
      <w:fldChar w:fldCharType="end"/>
    </w:r>
    <w:r>
      <w:rPr>
        <w:b/>
        <w:sz w:val="18"/>
      </w:rPr>
      <w:tab/>
    </w:r>
    <w:r>
      <w:t>GE.19-05555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D003" w14:textId="77777777" w:rsidR="00036A84" w:rsidRPr="00036A84" w:rsidRDefault="00036A84" w:rsidP="00036A84">
    <w:pPr>
      <w:pStyle w:val="Footer"/>
      <w:tabs>
        <w:tab w:val="right" w:pos="9638"/>
      </w:tabs>
      <w:rPr>
        <w:b/>
        <w:sz w:val="18"/>
      </w:rPr>
    </w:pPr>
    <w:r>
      <w:t>GE.19-05555</w:t>
    </w:r>
    <w:r>
      <w:tab/>
    </w:r>
    <w:r w:rsidRPr="00036A84">
      <w:rPr>
        <w:b/>
        <w:sz w:val="18"/>
      </w:rPr>
      <w:fldChar w:fldCharType="begin"/>
    </w:r>
    <w:r w:rsidRPr="00036A84">
      <w:rPr>
        <w:b/>
        <w:sz w:val="18"/>
      </w:rPr>
      <w:instrText xml:space="preserve"> PAGE  \* MERGEFORMAT </w:instrText>
    </w:r>
    <w:r w:rsidRPr="00036A84">
      <w:rPr>
        <w:b/>
        <w:sz w:val="18"/>
      </w:rPr>
      <w:fldChar w:fldCharType="separate"/>
    </w:r>
    <w:r w:rsidRPr="00036A84">
      <w:rPr>
        <w:b/>
        <w:noProof/>
        <w:sz w:val="18"/>
      </w:rPr>
      <w:t>3</w:t>
    </w:r>
    <w:r w:rsidRPr="00036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C694" w14:textId="77777777" w:rsidR="0068456F" w:rsidRPr="00036A84" w:rsidRDefault="00036A84" w:rsidP="00036A84">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7873AE4" wp14:editId="69EAE42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05555  (</w:t>
    </w:r>
    <w:proofErr w:type="gramEnd"/>
    <w:r>
      <w:rPr>
        <w:sz w:val="20"/>
      </w:rPr>
      <w:t>F)</w:t>
    </w:r>
    <w:r w:rsidR="00321292">
      <w:rPr>
        <w:sz w:val="20"/>
      </w:rPr>
      <w:t xml:space="preserve">    080519    090519</w:t>
    </w:r>
    <w:r>
      <w:rPr>
        <w:sz w:val="20"/>
      </w:rPr>
      <w:br/>
    </w:r>
    <w:r w:rsidRPr="00036A84">
      <w:rPr>
        <w:rFonts w:ascii="C39T30Lfz" w:hAnsi="C39T30Lfz"/>
        <w:sz w:val="56"/>
      </w:rPr>
      <w:t></w:t>
    </w:r>
    <w:r w:rsidRPr="00036A84">
      <w:rPr>
        <w:rFonts w:ascii="C39T30Lfz" w:hAnsi="C39T30Lfz"/>
        <w:sz w:val="56"/>
      </w:rPr>
      <w:t></w:t>
    </w:r>
    <w:r w:rsidRPr="00036A84">
      <w:rPr>
        <w:rFonts w:ascii="C39T30Lfz" w:hAnsi="C39T30Lfz"/>
        <w:sz w:val="56"/>
      </w:rPr>
      <w:t></w:t>
    </w:r>
    <w:r w:rsidRPr="00036A84">
      <w:rPr>
        <w:rFonts w:ascii="C39T30Lfz" w:hAnsi="C39T30Lfz"/>
        <w:sz w:val="56"/>
      </w:rPr>
      <w:t></w:t>
    </w:r>
    <w:r w:rsidRPr="00036A84">
      <w:rPr>
        <w:rFonts w:ascii="C39T30Lfz" w:hAnsi="C39T30Lfz"/>
        <w:sz w:val="56"/>
      </w:rPr>
      <w:t></w:t>
    </w:r>
    <w:r w:rsidRPr="00036A84">
      <w:rPr>
        <w:rFonts w:ascii="C39T30Lfz" w:hAnsi="C39T30Lfz"/>
        <w:sz w:val="56"/>
      </w:rPr>
      <w:t></w:t>
    </w:r>
    <w:r w:rsidRPr="00036A84">
      <w:rPr>
        <w:rFonts w:ascii="C39T30Lfz" w:hAnsi="C39T30Lfz"/>
        <w:sz w:val="56"/>
      </w:rPr>
      <w:t></w:t>
    </w:r>
    <w:r w:rsidRPr="00036A84">
      <w:rPr>
        <w:rFonts w:ascii="C39T30Lfz" w:hAnsi="C39T30Lfz"/>
        <w:sz w:val="56"/>
      </w:rPr>
      <w:t></w:t>
    </w:r>
    <w:r w:rsidRPr="00036A84">
      <w:rPr>
        <w:rFonts w:ascii="C39T30Lfz" w:hAnsi="C39T30Lfz"/>
        <w:sz w:val="56"/>
      </w:rPr>
      <w:t></w:t>
    </w:r>
    <w:r>
      <w:rPr>
        <w:noProof/>
        <w:sz w:val="20"/>
      </w:rPr>
      <w:drawing>
        <wp:anchor distT="0" distB="0" distL="114300" distR="114300" simplePos="0" relativeHeight="251658240" behindDoc="0" locked="0" layoutInCell="1" allowOverlap="1" wp14:anchorId="734006F5" wp14:editId="7A57CDD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5AFE" w14:textId="77777777" w:rsidR="008C303D" w:rsidRPr="00AC3823" w:rsidRDefault="008C303D" w:rsidP="00AC3823">
      <w:pPr>
        <w:pStyle w:val="Footer"/>
        <w:tabs>
          <w:tab w:val="right" w:pos="2155"/>
        </w:tabs>
        <w:spacing w:after="80" w:line="240" w:lineRule="atLeast"/>
        <w:ind w:left="680"/>
        <w:rPr>
          <w:u w:val="single"/>
        </w:rPr>
      </w:pPr>
      <w:r>
        <w:rPr>
          <w:u w:val="single"/>
        </w:rPr>
        <w:tab/>
      </w:r>
    </w:p>
  </w:footnote>
  <w:footnote w:type="continuationSeparator" w:id="0">
    <w:p w14:paraId="0D4779E8" w14:textId="77777777" w:rsidR="008C303D" w:rsidRPr="00AC3823" w:rsidRDefault="008C303D" w:rsidP="00AC3823">
      <w:pPr>
        <w:pStyle w:val="Footer"/>
        <w:tabs>
          <w:tab w:val="right" w:pos="2155"/>
        </w:tabs>
        <w:spacing w:after="80" w:line="240" w:lineRule="atLeast"/>
        <w:ind w:left="680"/>
        <w:rPr>
          <w:u w:val="single"/>
        </w:rPr>
      </w:pPr>
      <w:r>
        <w:rPr>
          <w:u w:val="single"/>
        </w:rPr>
        <w:tab/>
      </w:r>
    </w:p>
  </w:footnote>
  <w:footnote w:type="continuationNotice" w:id="1">
    <w:p w14:paraId="7D6E7833" w14:textId="77777777" w:rsidR="008C303D" w:rsidRPr="00AC3823" w:rsidRDefault="008C303D">
      <w:pPr>
        <w:spacing w:line="240" w:lineRule="auto"/>
        <w:rPr>
          <w:sz w:val="2"/>
          <w:szCs w:val="2"/>
        </w:rPr>
      </w:pPr>
    </w:p>
  </w:footnote>
  <w:footnote w:id="2">
    <w:p w14:paraId="15801C5A" w14:textId="77777777" w:rsidR="00321292" w:rsidRPr="00321292" w:rsidRDefault="00321292">
      <w:pPr>
        <w:pStyle w:val="FootnoteText"/>
      </w:pPr>
      <w:r>
        <w:rPr>
          <w:rStyle w:val="FootnoteReference"/>
        </w:rPr>
        <w:tab/>
      </w:r>
      <w:r w:rsidRPr="00321292">
        <w:rPr>
          <w:rStyle w:val="FootnoteReference"/>
          <w:sz w:val="20"/>
          <w:vertAlign w:val="baseline"/>
        </w:rPr>
        <w:t>*</w:t>
      </w:r>
      <w:r>
        <w:rPr>
          <w:rStyle w:val="FootnoteReference"/>
          <w:sz w:val="20"/>
          <w:vertAlign w:val="baseline"/>
        </w:rPr>
        <w:tab/>
      </w:r>
      <w:r>
        <w:rPr>
          <w:lang w:val="fr-FR"/>
        </w:rPr>
        <w:t>Conformément au programme de travail du Sous-Comité des transports intérieurs pour la période 2019</w:t>
      </w:r>
      <w:r>
        <w:rPr>
          <w:lang w:val="fr-FR"/>
        </w:rPr>
        <w:noBreakHyphen/>
        <w:t xml:space="preserve">2020 </w:t>
      </w:r>
      <w:proofErr w:type="gramStart"/>
      <w:r>
        <w:rPr>
          <w:lang w:val="fr-FR"/>
        </w:rPr>
        <w:t>approuvé</w:t>
      </w:r>
      <w:proofErr w:type="gramEnd"/>
      <w:r>
        <w:rPr>
          <w:lang w:val="fr-FR"/>
        </w:rPr>
        <w:t xml:space="preserve"> par le Comité à sa neuvième session (voir ST/SG/AC.10/C.3/108, par.</w:t>
      </w:r>
      <w:r w:rsidR="00135224">
        <w:rPr>
          <w:lang w:val="fr-FR"/>
        </w:rPr>
        <w:t> </w:t>
      </w:r>
      <w:r>
        <w:rPr>
          <w:lang w:val="fr-FR"/>
        </w:rPr>
        <w:t>141, et ST/SG/AC.10/46, par.</w:t>
      </w:r>
      <w:r w:rsidR="00135224">
        <w:rPr>
          <w:lang w:val="fr-FR"/>
        </w:rPr>
        <w:t> </w:t>
      </w:r>
      <w:r>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AF00" w14:textId="325DF51A" w:rsidR="00036A84" w:rsidRPr="00036A84" w:rsidRDefault="008B25EB">
    <w:pPr>
      <w:pStyle w:val="Header"/>
    </w:pPr>
    <w:r>
      <w:fldChar w:fldCharType="begin"/>
    </w:r>
    <w:r>
      <w:instrText xml:space="preserve"> TITLE  \* MERGEFORMAT </w:instrText>
    </w:r>
    <w:r>
      <w:fldChar w:fldCharType="separate"/>
    </w:r>
    <w:r>
      <w:t>ST/SG/AC.10/C.4/2019/3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7261" w14:textId="1DA12B10" w:rsidR="00036A84" w:rsidRPr="00036A84" w:rsidRDefault="008B25EB" w:rsidP="00036A84">
    <w:pPr>
      <w:pStyle w:val="Header"/>
      <w:jc w:val="right"/>
    </w:pPr>
    <w:r>
      <w:fldChar w:fldCharType="begin"/>
    </w:r>
    <w:r>
      <w:instrText xml:space="preserve"> TITLE  \* MERGEFORMAT </w:instrText>
    </w:r>
    <w:r>
      <w:fldChar w:fldCharType="separate"/>
    </w:r>
    <w:r>
      <w:t>ST/SG/AC.10/C.4/2019/3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3D"/>
    <w:rsid w:val="0000094B"/>
    <w:rsid w:val="00017F94"/>
    <w:rsid w:val="00023842"/>
    <w:rsid w:val="000305D3"/>
    <w:rsid w:val="000334F9"/>
    <w:rsid w:val="00036A84"/>
    <w:rsid w:val="0007796D"/>
    <w:rsid w:val="000B7790"/>
    <w:rsid w:val="00111F2F"/>
    <w:rsid w:val="00132EA9"/>
    <w:rsid w:val="00135224"/>
    <w:rsid w:val="0014365E"/>
    <w:rsid w:val="00145B94"/>
    <w:rsid w:val="00176178"/>
    <w:rsid w:val="001829BA"/>
    <w:rsid w:val="001F525A"/>
    <w:rsid w:val="00223272"/>
    <w:rsid w:val="0024779E"/>
    <w:rsid w:val="00283190"/>
    <w:rsid w:val="002832AC"/>
    <w:rsid w:val="002D7C93"/>
    <w:rsid w:val="00321292"/>
    <w:rsid w:val="003977C2"/>
    <w:rsid w:val="003B3230"/>
    <w:rsid w:val="00441C3B"/>
    <w:rsid w:val="00446FE5"/>
    <w:rsid w:val="00452396"/>
    <w:rsid w:val="004E468C"/>
    <w:rsid w:val="005505B7"/>
    <w:rsid w:val="00573BE5"/>
    <w:rsid w:val="00584DC4"/>
    <w:rsid w:val="00586ED3"/>
    <w:rsid w:val="00596AA9"/>
    <w:rsid w:val="00640376"/>
    <w:rsid w:val="0068456F"/>
    <w:rsid w:val="0071601D"/>
    <w:rsid w:val="007A62E6"/>
    <w:rsid w:val="007E3C9C"/>
    <w:rsid w:val="0080684C"/>
    <w:rsid w:val="00871C75"/>
    <w:rsid w:val="008776DC"/>
    <w:rsid w:val="008B25EB"/>
    <w:rsid w:val="008B40CD"/>
    <w:rsid w:val="008C303D"/>
    <w:rsid w:val="008E6322"/>
    <w:rsid w:val="009705C8"/>
    <w:rsid w:val="009C1CF4"/>
    <w:rsid w:val="00A30353"/>
    <w:rsid w:val="00AC3823"/>
    <w:rsid w:val="00AE323C"/>
    <w:rsid w:val="00B00181"/>
    <w:rsid w:val="00B00B0D"/>
    <w:rsid w:val="00B765F7"/>
    <w:rsid w:val="00B866D4"/>
    <w:rsid w:val="00BA0CA9"/>
    <w:rsid w:val="00BB30B3"/>
    <w:rsid w:val="00C02897"/>
    <w:rsid w:val="00D3439C"/>
    <w:rsid w:val="00DB1831"/>
    <w:rsid w:val="00DC4684"/>
    <w:rsid w:val="00DC7571"/>
    <w:rsid w:val="00DD3BFD"/>
    <w:rsid w:val="00DF6678"/>
    <w:rsid w:val="00E77A27"/>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B0115"/>
  <w15:docId w15:val="{DBAF3DC1-A454-4EE9-A623-EB5B332C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ST/SG/AC.10/C.4/2019/3</vt:lpstr>
      <vt:lpstr>ST/SG/AC.10/C.4/2019/3</vt:lpstr>
    </vt:vector>
  </TitlesOfParts>
  <Company>DCM</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ST/SG/AC.10/C.4/2019/3</dc:title>
  <dc:subject/>
  <dc:creator>Valerie BERTIN</dc:creator>
  <cp:keywords/>
  <cp:lastModifiedBy>Laurence Berthet</cp:lastModifiedBy>
  <cp:revision>3</cp:revision>
  <cp:lastPrinted>2019-05-24T12:59:00Z</cp:lastPrinted>
  <dcterms:created xsi:type="dcterms:W3CDTF">2019-05-24T12:59:00Z</dcterms:created>
  <dcterms:modified xsi:type="dcterms:W3CDTF">2019-05-24T12:59:00Z</dcterms:modified>
</cp:coreProperties>
</file>