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F347B" w14:paraId="5C645F80" w14:textId="77777777" w:rsidTr="009E6CB7">
        <w:trPr>
          <w:cantSplit/>
          <w:trHeight w:hRule="exact" w:val="851"/>
        </w:trPr>
        <w:tc>
          <w:tcPr>
            <w:tcW w:w="1276" w:type="dxa"/>
            <w:tcBorders>
              <w:bottom w:val="single" w:sz="4" w:space="0" w:color="auto"/>
            </w:tcBorders>
            <w:vAlign w:val="bottom"/>
          </w:tcPr>
          <w:p w14:paraId="77D171A6" w14:textId="77777777" w:rsidR="009E6CB7" w:rsidRPr="008F347B" w:rsidRDefault="009E6CB7" w:rsidP="009E6CB7">
            <w:pPr>
              <w:spacing w:after="80"/>
            </w:pPr>
            <w:bookmarkStart w:id="0" w:name="_GoBack"/>
            <w:bookmarkEnd w:id="0"/>
          </w:p>
        </w:tc>
        <w:tc>
          <w:tcPr>
            <w:tcW w:w="2268" w:type="dxa"/>
            <w:tcBorders>
              <w:bottom w:val="single" w:sz="4" w:space="0" w:color="auto"/>
            </w:tcBorders>
            <w:vAlign w:val="bottom"/>
          </w:tcPr>
          <w:p w14:paraId="3901E99D" w14:textId="77777777" w:rsidR="009E6CB7" w:rsidRPr="008F347B" w:rsidRDefault="009E6CB7" w:rsidP="009E6CB7">
            <w:pPr>
              <w:spacing w:after="80" w:line="300" w:lineRule="exact"/>
              <w:rPr>
                <w:b/>
                <w:sz w:val="24"/>
                <w:szCs w:val="24"/>
              </w:rPr>
            </w:pPr>
            <w:r w:rsidRPr="008F347B">
              <w:rPr>
                <w:sz w:val="28"/>
                <w:szCs w:val="28"/>
              </w:rPr>
              <w:t>United Nations</w:t>
            </w:r>
          </w:p>
        </w:tc>
        <w:tc>
          <w:tcPr>
            <w:tcW w:w="6095" w:type="dxa"/>
            <w:gridSpan w:val="2"/>
            <w:tcBorders>
              <w:bottom w:val="single" w:sz="4" w:space="0" w:color="auto"/>
            </w:tcBorders>
            <w:vAlign w:val="bottom"/>
          </w:tcPr>
          <w:p w14:paraId="196BECB3" w14:textId="77777777" w:rsidR="009E6CB7" w:rsidRPr="008F347B" w:rsidRDefault="002435BB" w:rsidP="004E5409">
            <w:pPr>
              <w:jc w:val="right"/>
            </w:pPr>
            <w:r w:rsidRPr="008F347B">
              <w:rPr>
                <w:sz w:val="40"/>
              </w:rPr>
              <w:t>ECE</w:t>
            </w:r>
            <w:r w:rsidRPr="008F347B">
              <w:t>/TRANS/WP.5/</w:t>
            </w:r>
            <w:r w:rsidR="00E56FC3">
              <w:t>6</w:t>
            </w:r>
            <w:r w:rsidR="002C69E6">
              <w:t>4</w:t>
            </w:r>
          </w:p>
        </w:tc>
      </w:tr>
      <w:tr w:rsidR="009E6CB7" w:rsidRPr="008F347B" w14:paraId="40E1DA3B" w14:textId="77777777" w:rsidTr="009E6CB7">
        <w:trPr>
          <w:cantSplit/>
          <w:trHeight w:hRule="exact" w:val="2835"/>
        </w:trPr>
        <w:tc>
          <w:tcPr>
            <w:tcW w:w="1276" w:type="dxa"/>
            <w:tcBorders>
              <w:top w:val="single" w:sz="4" w:space="0" w:color="auto"/>
              <w:bottom w:val="single" w:sz="12" w:space="0" w:color="auto"/>
            </w:tcBorders>
          </w:tcPr>
          <w:p w14:paraId="11B08E7D" w14:textId="77777777" w:rsidR="009E6CB7" w:rsidRPr="008F347B" w:rsidRDefault="00456C32" w:rsidP="009E6CB7">
            <w:pPr>
              <w:spacing w:before="120"/>
            </w:pPr>
            <w:r>
              <w:rPr>
                <w:noProof/>
                <w:lang w:eastAsia="zh-CN"/>
              </w:rPr>
              <w:drawing>
                <wp:inline distT="0" distB="0" distL="0" distR="0" wp14:anchorId="2DDA7629" wp14:editId="30F3D624">
                  <wp:extent cx="700405" cy="590550"/>
                  <wp:effectExtent l="0" t="0" r="444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5714D9" w14:textId="77777777" w:rsidR="009E6CB7" w:rsidRPr="008F347B" w:rsidRDefault="009E6CB7" w:rsidP="009E6CB7">
            <w:pPr>
              <w:spacing w:before="120" w:line="420" w:lineRule="exact"/>
              <w:rPr>
                <w:sz w:val="40"/>
                <w:szCs w:val="40"/>
              </w:rPr>
            </w:pPr>
            <w:r w:rsidRPr="008F347B">
              <w:rPr>
                <w:b/>
                <w:sz w:val="40"/>
                <w:szCs w:val="40"/>
              </w:rPr>
              <w:t>Economic and Social Council</w:t>
            </w:r>
          </w:p>
        </w:tc>
        <w:tc>
          <w:tcPr>
            <w:tcW w:w="2835" w:type="dxa"/>
            <w:tcBorders>
              <w:top w:val="single" w:sz="4" w:space="0" w:color="auto"/>
              <w:bottom w:val="single" w:sz="12" w:space="0" w:color="auto"/>
            </w:tcBorders>
          </w:tcPr>
          <w:p w14:paraId="50C78E97" w14:textId="77777777" w:rsidR="002435BB" w:rsidRPr="008F347B" w:rsidRDefault="002435BB" w:rsidP="002435BB">
            <w:pPr>
              <w:spacing w:before="240" w:line="240" w:lineRule="exact"/>
            </w:pPr>
            <w:r w:rsidRPr="008F347B">
              <w:t>Distr.: General</w:t>
            </w:r>
          </w:p>
          <w:p w14:paraId="12B614D2" w14:textId="064FE2DD" w:rsidR="002435BB" w:rsidRPr="008F347B" w:rsidRDefault="00C26E3C" w:rsidP="002435BB">
            <w:pPr>
              <w:spacing w:line="240" w:lineRule="exact"/>
            </w:pPr>
            <w:r>
              <w:t>1</w:t>
            </w:r>
            <w:r w:rsidR="001A1AAC">
              <w:t>7</w:t>
            </w:r>
            <w:r w:rsidR="005623EF" w:rsidRPr="00607DDE">
              <w:t xml:space="preserve"> </w:t>
            </w:r>
            <w:r w:rsidR="001C7F0A">
              <w:t>December</w:t>
            </w:r>
            <w:r w:rsidR="001C7F0A" w:rsidRPr="00607DDE">
              <w:t xml:space="preserve"> </w:t>
            </w:r>
            <w:r w:rsidR="002435BB" w:rsidRPr="00607DDE">
              <w:t>201</w:t>
            </w:r>
            <w:r w:rsidR="002C69E6" w:rsidRPr="00607DDE">
              <w:t>8</w:t>
            </w:r>
          </w:p>
          <w:p w14:paraId="6E496738" w14:textId="77777777" w:rsidR="002435BB" w:rsidRPr="008F347B" w:rsidRDefault="002435BB" w:rsidP="002435BB">
            <w:pPr>
              <w:spacing w:line="240" w:lineRule="exact"/>
            </w:pPr>
          </w:p>
          <w:p w14:paraId="1109D29F" w14:textId="77777777" w:rsidR="009E6CB7" w:rsidRPr="008F347B" w:rsidRDefault="002435BB" w:rsidP="002435BB">
            <w:pPr>
              <w:spacing w:line="240" w:lineRule="exact"/>
            </w:pPr>
            <w:r w:rsidRPr="008F347B">
              <w:t>Original: English</w:t>
            </w:r>
          </w:p>
        </w:tc>
      </w:tr>
    </w:tbl>
    <w:p w14:paraId="337DD350" w14:textId="77777777" w:rsidR="002435BB" w:rsidRPr="008F347B" w:rsidRDefault="002435BB" w:rsidP="002435BB">
      <w:pPr>
        <w:spacing w:before="120"/>
        <w:rPr>
          <w:b/>
          <w:bCs/>
          <w:sz w:val="28"/>
          <w:szCs w:val="28"/>
        </w:rPr>
      </w:pPr>
      <w:r w:rsidRPr="008F347B">
        <w:rPr>
          <w:b/>
          <w:bCs/>
          <w:sz w:val="28"/>
          <w:szCs w:val="28"/>
        </w:rPr>
        <w:t>Economic Commission for Europe</w:t>
      </w:r>
    </w:p>
    <w:p w14:paraId="7D2081A5" w14:textId="77777777" w:rsidR="002435BB" w:rsidRPr="008F347B" w:rsidRDefault="002435BB" w:rsidP="002435BB">
      <w:pPr>
        <w:spacing w:before="120"/>
        <w:rPr>
          <w:sz w:val="28"/>
          <w:szCs w:val="28"/>
        </w:rPr>
      </w:pPr>
      <w:r w:rsidRPr="008F347B">
        <w:rPr>
          <w:sz w:val="28"/>
          <w:szCs w:val="28"/>
        </w:rPr>
        <w:t>Inland Transport Committee</w:t>
      </w:r>
    </w:p>
    <w:p w14:paraId="631A921F" w14:textId="77777777" w:rsidR="002435BB" w:rsidRPr="008F347B" w:rsidRDefault="002435BB" w:rsidP="002435BB">
      <w:pPr>
        <w:spacing w:before="120"/>
        <w:rPr>
          <w:b/>
          <w:bCs/>
          <w:sz w:val="24"/>
          <w:szCs w:val="24"/>
        </w:rPr>
      </w:pPr>
      <w:r w:rsidRPr="008F347B">
        <w:rPr>
          <w:b/>
          <w:bCs/>
          <w:sz w:val="24"/>
          <w:szCs w:val="24"/>
        </w:rPr>
        <w:t>Working Party on Transport Trends and Economics</w:t>
      </w:r>
    </w:p>
    <w:p w14:paraId="0D64A0C8" w14:textId="537CA67F" w:rsidR="002435BB" w:rsidRPr="008F347B" w:rsidRDefault="004E5409" w:rsidP="002435BB">
      <w:pPr>
        <w:spacing w:before="120"/>
        <w:rPr>
          <w:b/>
          <w:bCs/>
        </w:rPr>
      </w:pPr>
      <w:r>
        <w:rPr>
          <w:b/>
          <w:bCs/>
        </w:rPr>
        <w:t>Thirt</w:t>
      </w:r>
      <w:r w:rsidR="002C69E6">
        <w:rPr>
          <w:b/>
          <w:bCs/>
        </w:rPr>
        <w:t>y</w:t>
      </w:r>
      <w:r w:rsidR="00D453C0">
        <w:rPr>
          <w:b/>
          <w:bCs/>
        </w:rPr>
        <w:t>-first</w:t>
      </w:r>
      <w:r>
        <w:rPr>
          <w:b/>
          <w:bCs/>
        </w:rPr>
        <w:t xml:space="preserve"> s</w:t>
      </w:r>
      <w:r w:rsidR="002435BB" w:rsidRPr="008F347B">
        <w:rPr>
          <w:b/>
          <w:bCs/>
        </w:rPr>
        <w:t>ession</w:t>
      </w:r>
    </w:p>
    <w:p w14:paraId="6878D33F" w14:textId="700C2F26" w:rsidR="002435BB" w:rsidRPr="008F347B" w:rsidRDefault="002435BB" w:rsidP="002435BB">
      <w:r w:rsidRPr="008F347B">
        <w:t xml:space="preserve">Geneva, </w:t>
      </w:r>
      <w:r w:rsidR="002C69E6">
        <w:t>3</w:t>
      </w:r>
      <w:r w:rsidR="005B1703">
        <w:t>–</w:t>
      </w:r>
      <w:r w:rsidR="002C69E6">
        <w:t>5</w:t>
      </w:r>
      <w:r w:rsidRPr="008F347B">
        <w:t xml:space="preserve"> September 201</w:t>
      </w:r>
      <w:r w:rsidR="002C69E6">
        <w:t>8</w:t>
      </w:r>
    </w:p>
    <w:p w14:paraId="7E4D19BC" w14:textId="1E79BCEB" w:rsidR="004D2BC0" w:rsidRPr="008F347B" w:rsidRDefault="004D2BC0" w:rsidP="004D2BC0">
      <w:pPr>
        <w:pStyle w:val="HChG"/>
      </w:pPr>
      <w:r w:rsidRPr="008F347B">
        <w:tab/>
      </w:r>
      <w:r w:rsidRPr="008F347B">
        <w:tab/>
        <w:t xml:space="preserve">Report of the Working Party on Transport Trends and Economics on its </w:t>
      </w:r>
      <w:r w:rsidR="004E5409">
        <w:t>thirt</w:t>
      </w:r>
      <w:r w:rsidR="002C69E6">
        <w:t>y</w:t>
      </w:r>
      <w:r w:rsidR="00D453C0">
        <w:t>-</w:t>
      </w:r>
      <w:r w:rsidR="002C69E6">
        <w:t xml:space="preserve">first </w:t>
      </w:r>
      <w:r w:rsidRPr="008F347B">
        <w:t>session</w:t>
      </w:r>
    </w:p>
    <w:p w14:paraId="6EE1392E" w14:textId="77777777" w:rsidR="004D2BC0" w:rsidRPr="00E603BA" w:rsidRDefault="004D2BC0" w:rsidP="004D2BC0">
      <w:pPr>
        <w:spacing w:after="120"/>
        <w:rPr>
          <w:sz w:val="28"/>
          <w:lang w:val="fr-CH"/>
        </w:rPr>
      </w:pPr>
      <w:r w:rsidRPr="00E603BA">
        <w:rPr>
          <w:sz w:val="28"/>
          <w:lang w:val="fr-CH"/>
        </w:rPr>
        <w:t>Contents</w:t>
      </w:r>
    </w:p>
    <w:p w14:paraId="515B8B87" w14:textId="77777777" w:rsidR="004D2BC0" w:rsidRPr="00E603BA" w:rsidRDefault="004D2BC0" w:rsidP="004D2BC0">
      <w:pPr>
        <w:tabs>
          <w:tab w:val="right" w:pos="8929"/>
          <w:tab w:val="right" w:pos="9638"/>
        </w:tabs>
        <w:spacing w:after="120"/>
        <w:ind w:left="283"/>
        <w:rPr>
          <w:lang w:val="fr-CH"/>
        </w:rPr>
      </w:pPr>
      <w:r w:rsidRPr="00E603BA">
        <w:rPr>
          <w:i/>
          <w:sz w:val="18"/>
          <w:lang w:val="fr-CH"/>
        </w:rPr>
        <w:tab/>
        <w:t>Paragraphs</w:t>
      </w:r>
      <w:r w:rsidRPr="00E603BA">
        <w:rPr>
          <w:i/>
          <w:sz w:val="18"/>
          <w:lang w:val="fr-CH"/>
        </w:rPr>
        <w:tab/>
        <w:t>Page</w:t>
      </w:r>
    </w:p>
    <w:p w14:paraId="40049096" w14:textId="3F513D71" w:rsidR="004D2BC0" w:rsidRPr="00E603B6" w:rsidRDefault="004D2BC0" w:rsidP="003A6DFF">
      <w:pPr>
        <w:tabs>
          <w:tab w:val="right" w:pos="850"/>
          <w:tab w:val="left" w:pos="1134"/>
          <w:tab w:val="left" w:pos="1559"/>
          <w:tab w:val="left" w:pos="1984"/>
          <w:tab w:val="left" w:leader="dot" w:pos="7654"/>
          <w:tab w:val="right" w:pos="8929"/>
          <w:tab w:val="right" w:pos="9638"/>
        </w:tabs>
        <w:spacing w:after="120"/>
        <w:rPr>
          <w:lang w:val="fr-CH"/>
        </w:rPr>
      </w:pPr>
      <w:r w:rsidRPr="00E603BA">
        <w:rPr>
          <w:lang w:val="fr-CH"/>
        </w:rPr>
        <w:tab/>
      </w:r>
      <w:r w:rsidRPr="00E603B6">
        <w:rPr>
          <w:lang w:val="fr-CH"/>
        </w:rPr>
        <w:t>I.</w:t>
      </w:r>
      <w:r w:rsidRPr="00E603B6">
        <w:rPr>
          <w:lang w:val="fr-CH"/>
        </w:rPr>
        <w:tab/>
        <w:t>Attendance</w:t>
      </w:r>
      <w:r w:rsidRPr="00E603B6">
        <w:rPr>
          <w:lang w:val="fr-CH"/>
        </w:rPr>
        <w:tab/>
      </w:r>
      <w:r w:rsidRPr="00E603B6">
        <w:rPr>
          <w:lang w:val="fr-CH"/>
        </w:rPr>
        <w:tab/>
        <w:t>1</w:t>
      </w:r>
      <w:r w:rsidR="005623EF">
        <w:rPr>
          <w:lang w:val="fr-CH"/>
        </w:rPr>
        <w:t>–</w:t>
      </w:r>
      <w:r w:rsidR="00075671" w:rsidRPr="00E603B6">
        <w:rPr>
          <w:lang w:val="fr-CH"/>
        </w:rPr>
        <w:t>5</w:t>
      </w:r>
      <w:r w:rsidRPr="00E603B6">
        <w:rPr>
          <w:lang w:val="fr-CH"/>
        </w:rPr>
        <w:tab/>
        <w:t>3</w:t>
      </w:r>
    </w:p>
    <w:p w14:paraId="0A2B9C78" w14:textId="77777777" w:rsidR="004D2BC0" w:rsidRPr="00033EF3" w:rsidRDefault="004D2BC0" w:rsidP="004D2BC0">
      <w:pPr>
        <w:tabs>
          <w:tab w:val="right" w:pos="850"/>
          <w:tab w:val="left" w:pos="1134"/>
          <w:tab w:val="left" w:pos="1559"/>
          <w:tab w:val="left" w:pos="1984"/>
          <w:tab w:val="left" w:leader="dot" w:pos="7654"/>
          <w:tab w:val="right" w:pos="8929"/>
          <w:tab w:val="right" w:pos="9638"/>
        </w:tabs>
        <w:spacing w:after="120"/>
      </w:pPr>
      <w:r w:rsidRPr="00E603B6">
        <w:rPr>
          <w:lang w:val="fr-CH"/>
        </w:rPr>
        <w:tab/>
      </w:r>
      <w:r w:rsidRPr="008F347B">
        <w:t>II.</w:t>
      </w:r>
      <w:r w:rsidRPr="008F347B">
        <w:tab/>
        <w:t>Adoption of the agenda (agenda item 1)</w:t>
      </w:r>
      <w:r w:rsidRPr="008F347B">
        <w:tab/>
      </w:r>
      <w:r w:rsidRPr="008F347B">
        <w:tab/>
      </w:r>
      <w:r w:rsidR="00075671">
        <w:t>6</w:t>
      </w:r>
      <w:r w:rsidRPr="00033EF3">
        <w:tab/>
        <w:t>3</w:t>
      </w:r>
    </w:p>
    <w:p w14:paraId="461E5021" w14:textId="2AAEE920" w:rsidR="00EF5239" w:rsidRPr="00033EF3" w:rsidRDefault="00C72AD2" w:rsidP="00E34FDE">
      <w:pPr>
        <w:tabs>
          <w:tab w:val="right" w:pos="850"/>
          <w:tab w:val="left" w:pos="1134"/>
          <w:tab w:val="left" w:pos="1559"/>
          <w:tab w:val="left" w:pos="1984"/>
          <w:tab w:val="left" w:leader="dot" w:pos="7654"/>
          <w:tab w:val="right" w:pos="8929"/>
          <w:tab w:val="right" w:pos="9638"/>
        </w:tabs>
        <w:spacing w:after="120"/>
        <w:ind w:left="1134" w:hanging="1134"/>
      </w:pPr>
      <w:r w:rsidRPr="00033EF3">
        <w:tab/>
        <w:t>III.</w:t>
      </w:r>
      <w:r w:rsidRPr="00033EF3">
        <w:tab/>
      </w:r>
      <w:r w:rsidR="005A3AB2" w:rsidRPr="005A3AB2">
        <w:t>International Conference on “Making Euro-Asian Transport Corridors Operational”</w:t>
      </w:r>
      <w:r w:rsidR="00926B76">
        <w:t xml:space="preserve"> </w:t>
      </w:r>
      <w:r w:rsidR="00926B76">
        <w:br/>
      </w:r>
      <w:r w:rsidR="001D4F5B">
        <w:t>(</w:t>
      </w:r>
      <w:r w:rsidR="00EF5239" w:rsidRPr="008F347B">
        <w:t>agenda item 2)</w:t>
      </w:r>
      <w:r w:rsidR="00C062B8" w:rsidRPr="008F347B">
        <w:tab/>
      </w:r>
      <w:r w:rsidR="00CB544B">
        <w:tab/>
      </w:r>
      <w:r w:rsidR="00075671">
        <w:t>7</w:t>
      </w:r>
      <w:r w:rsidR="005B1703">
        <w:t>–</w:t>
      </w:r>
      <w:r w:rsidR="00DC1E87">
        <w:t>10</w:t>
      </w:r>
      <w:r w:rsidR="00C062B8" w:rsidRPr="00033EF3">
        <w:tab/>
      </w:r>
      <w:r w:rsidR="00895D8A" w:rsidRPr="00033EF3">
        <w:t>3</w:t>
      </w:r>
    </w:p>
    <w:p w14:paraId="13F4E618" w14:textId="659D6D54" w:rsidR="001D4F5B" w:rsidRDefault="00663A82" w:rsidP="00DC1E87">
      <w:pPr>
        <w:tabs>
          <w:tab w:val="right" w:pos="850"/>
          <w:tab w:val="left" w:pos="1134"/>
          <w:tab w:val="left" w:pos="1559"/>
          <w:tab w:val="left" w:pos="1984"/>
          <w:tab w:val="left" w:leader="dot" w:pos="7654"/>
          <w:tab w:val="right" w:pos="8929"/>
          <w:tab w:val="right" w:pos="9638"/>
        </w:tabs>
        <w:spacing w:after="120"/>
        <w:ind w:left="1133" w:hanging="1133"/>
      </w:pPr>
      <w:r w:rsidRPr="00033EF3">
        <w:tab/>
      </w:r>
      <w:r w:rsidR="00F3559B" w:rsidRPr="00033EF3">
        <w:t>IV.</w:t>
      </w:r>
      <w:r w:rsidR="00F3559B" w:rsidRPr="00033EF3">
        <w:tab/>
      </w:r>
      <w:r w:rsidR="00DC1E87" w:rsidRPr="00DC1E87">
        <w:t>Workshop and study on “Integrated Transport and Urban Development including</w:t>
      </w:r>
      <w:r w:rsidR="005B1703">
        <w:br/>
      </w:r>
      <w:r w:rsidR="00DC1E87" w:rsidRPr="00DC1E87">
        <w:t xml:space="preserve">environmental, health and quality of life perspective” </w:t>
      </w:r>
      <w:r w:rsidR="00C733CC">
        <w:t>(</w:t>
      </w:r>
      <w:r w:rsidR="00852CD0">
        <w:t>agenda item</w:t>
      </w:r>
      <w:r w:rsidR="008A3587" w:rsidRPr="004E5409">
        <w:t xml:space="preserve"> </w:t>
      </w:r>
      <w:r w:rsidR="00852CD0">
        <w:t>3)</w:t>
      </w:r>
      <w:r w:rsidR="00EB7267">
        <w:tab/>
      </w:r>
      <w:r w:rsidR="008A3587" w:rsidRPr="004E5409">
        <w:tab/>
      </w:r>
      <w:r w:rsidR="00EB7267">
        <w:t>1</w:t>
      </w:r>
      <w:r w:rsidR="00DC1E87">
        <w:t>1</w:t>
      </w:r>
      <w:r w:rsidR="005B1703">
        <w:t>–</w:t>
      </w:r>
      <w:r w:rsidR="00EB7267">
        <w:t>1</w:t>
      </w:r>
      <w:r w:rsidR="00DC1E87">
        <w:t>8</w:t>
      </w:r>
      <w:r w:rsidR="009F0CE9">
        <w:tab/>
      </w:r>
      <w:r w:rsidR="00DC1E87">
        <w:t>4</w:t>
      </w:r>
    </w:p>
    <w:p w14:paraId="352BF3F9" w14:textId="637817AA" w:rsidR="001D4F5B" w:rsidRDefault="00E34FDE" w:rsidP="00D1040F">
      <w:pPr>
        <w:tabs>
          <w:tab w:val="right" w:pos="850"/>
          <w:tab w:val="left" w:pos="1134"/>
          <w:tab w:val="left" w:pos="1559"/>
          <w:tab w:val="left" w:pos="1984"/>
          <w:tab w:val="left" w:leader="dot" w:pos="7654"/>
          <w:tab w:val="right" w:pos="8929"/>
          <w:tab w:val="right" w:pos="9638"/>
        </w:tabs>
        <w:spacing w:after="120"/>
      </w:pPr>
      <w:r>
        <w:tab/>
      </w:r>
      <w:r w:rsidR="00663A82" w:rsidRPr="00033EF3">
        <w:t>V.</w:t>
      </w:r>
      <w:r w:rsidR="00663A82" w:rsidRPr="00033EF3">
        <w:tab/>
      </w:r>
      <w:r w:rsidR="001D4F5B" w:rsidRPr="001D4F5B">
        <w:t xml:space="preserve">Ports Hinterland connections </w:t>
      </w:r>
      <w:r w:rsidR="00852CD0">
        <w:t>(agenda item 4)</w:t>
      </w:r>
      <w:r w:rsidR="001D4F5B">
        <w:tab/>
      </w:r>
      <w:r w:rsidR="001D4F5B">
        <w:tab/>
      </w:r>
      <w:r w:rsidR="003E31E4">
        <w:t>1</w:t>
      </w:r>
      <w:r w:rsidR="00DC1E87">
        <w:t>9</w:t>
      </w:r>
      <w:r w:rsidR="005B1703">
        <w:t>–</w:t>
      </w:r>
      <w:r w:rsidR="00DC1E87">
        <w:t>22</w:t>
      </w:r>
      <w:r w:rsidR="001D4F5B">
        <w:tab/>
      </w:r>
      <w:r w:rsidR="0043461F">
        <w:t>6</w:t>
      </w:r>
    </w:p>
    <w:p w14:paraId="723B5558" w14:textId="1130C108" w:rsidR="004D2BC0" w:rsidRPr="00033EF3" w:rsidRDefault="001D4F5B" w:rsidP="00D1040F">
      <w:pPr>
        <w:tabs>
          <w:tab w:val="right" w:pos="850"/>
          <w:tab w:val="left" w:pos="1134"/>
          <w:tab w:val="left" w:pos="1559"/>
          <w:tab w:val="left" w:pos="1984"/>
          <w:tab w:val="left" w:leader="dot" w:pos="7654"/>
          <w:tab w:val="right" w:pos="8929"/>
          <w:tab w:val="right" w:pos="9638"/>
        </w:tabs>
        <w:spacing w:after="120"/>
      </w:pPr>
      <w:r>
        <w:tab/>
        <w:t>VI.</w:t>
      </w:r>
      <w:r>
        <w:tab/>
      </w:r>
      <w:r w:rsidR="00C72AD2" w:rsidRPr="00033EF3">
        <w:t>Monitoring of the developments relevant to pan-European transport networks</w:t>
      </w:r>
      <w:r w:rsidR="00807DDA" w:rsidRPr="00033EF3">
        <w:t xml:space="preserve"> </w:t>
      </w:r>
      <w:r w:rsidR="00807DDA" w:rsidRPr="00033EF3">
        <w:br/>
      </w:r>
      <w:r w:rsidR="00763A5C" w:rsidRPr="00033EF3">
        <w:tab/>
      </w:r>
      <w:r w:rsidR="00763A5C" w:rsidRPr="00033EF3">
        <w:tab/>
      </w:r>
      <w:r w:rsidR="00807DDA" w:rsidRPr="00033EF3">
        <w:t xml:space="preserve">(agenda item </w:t>
      </w:r>
      <w:r w:rsidR="00852CD0">
        <w:t>5</w:t>
      </w:r>
      <w:r w:rsidR="00807DDA" w:rsidRPr="00033EF3">
        <w:t>)</w:t>
      </w:r>
      <w:r w:rsidR="00952878">
        <w:tab/>
      </w:r>
      <w:r w:rsidR="00807DDA" w:rsidRPr="00033EF3">
        <w:tab/>
      </w:r>
      <w:r w:rsidR="00DC1E87">
        <w:t>23</w:t>
      </w:r>
      <w:r w:rsidR="005B1703">
        <w:t>–</w:t>
      </w:r>
      <w:r w:rsidR="003E31E4">
        <w:t>2</w:t>
      </w:r>
      <w:r w:rsidR="00DC1E87">
        <w:t>7</w:t>
      </w:r>
      <w:r w:rsidR="00763A5C" w:rsidRPr="00033EF3">
        <w:tab/>
      </w:r>
      <w:r w:rsidR="00DC1E87">
        <w:t>7</w:t>
      </w:r>
    </w:p>
    <w:p w14:paraId="69461284" w14:textId="77777777" w:rsidR="00C72AD2" w:rsidRPr="00033EF3" w:rsidRDefault="00C72AD2" w:rsidP="007B54E1">
      <w:pPr>
        <w:tabs>
          <w:tab w:val="right" w:pos="850"/>
          <w:tab w:val="left" w:pos="1134"/>
          <w:tab w:val="left" w:pos="1559"/>
          <w:tab w:val="left" w:pos="1984"/>
          <w:tab w:val="left" w:leader="dot" w:pos="7654"/>
          <w:tab w:val="right" w:pos="8929"/>
          <w:tab w:val="right" w:pos="9638"/>
        </w:tabs>
        <w:spacing w:after="120"/>
      </w:pPr>
      <w:r w:rsidRPr="00033EF3">
        <w:tab/>
      </w:r>
      <w:r w:rsidRPr="00033EF3">
        <w:tab/>
        <w:t>A.</w:t>
      </w:r>
      <w:r w:rsidRPr="00033EF3">
        <w:tab/>
      </w:r>
      <w:r w:rsidR="007B54E1">
        <w:t xml:space="preserve">The European Commission briefing on the progress made in developing </w:t>
      </w:r>
      <w:r w:rsidR="00DD36FC">
        <w:br/>
      </w:r>
      <w:r w:rsidR="00DD36FC">
        <w:tab/>
      </w:r>
      <w:r w:rsidR="00DD36FC">
        <w:tab/>
      </w:r>
      <w:r w:rsidR="00DD36FC">
        <w:tab/>
      </w:r>
      <w:r w:rsidR="007B54E1">
        <w:t>the</w:t>
      </w:r>
      <w:r w:rsidR="00DD36FC">
        <w:t xml:space="preserve"> </w:t>
      </w:r>
      <w:r w:rsidR="007B54E1">
        <w:t>Trans-European Transport Network</w:t>
      </w:r>
      <w:r w:rsidRPr="00033EF3">
        <w:tab/>
      </w:r>
      <w:r w:rsidRPr="00033EF3">
        <w:tab/>
      </w:r>
      <w:r w:rsidR="00DC1E87">
        <w:t>23</w:t>
      </w:r>
      <w:r w:rsidRPr="00033EF3">
        <w:tab/>
      </w:r>
      <w:r w:rsidR="00DC1E87">
        <w:t>7</w:t>
      </w:r>
    </w:p>
    <w:p w14:paraId="40415467" w14:textId="166A1571" w:rsidR="00C72AD2" w:rsidRPr="00033EF3" w:rsidRDefault="00C72AD2" w:rsidP="00C72AD2">
      <w:pPr>
        <w:tabs>
          <w:tab w:val="right" w:pos="850"/>
          <w:tab w:val="left" w:pos="1134"/>
          <w:tab w:val="left" w:pos="1559"/>
          <w:tab w:val="left" w:pos="1984"/>
          <w:tab w:val="left" w:leader="dot" w:pos="7654"/>
          <w:tab w:val="right" w:pos="8929"/>
          <w:tab w:val="right" w:pos="9638"/>
        </w:tabs>
        <w:spacing w:after="120"/>
        <w:ind w:left="1559" w:hanging="1559"/>
      </w:pPr>
      <w:r w:rsidRPr="00033EF3">
        <w:tab/>
      </w:r>
      <w:r w:rsidRPr="00033EF3">
        <w:tab/>
        <w:t>B.</w:t>
      </w:r>
      <w:r w:rsidRPr="00033EF3">
        <w:tab/>
        <w:t>Trans-European Motorway and Trans-European Railway projects</w:t>
      </w:r>
      <w:r w:rsidRPr="00033EF3">
        <w:tab/>
      </w:r>
      <w:r w:rsidRPr="00033EF3">
        <w:tab/>
      </w:r>
      <w:r w:rsidR="00DC1E87">
        <w:t>24</w:t>
      </w:r>
      <w:r w:rsidR="005B1703">
        <w:t>–</w:t>
      </w:r>
      <w:r w:rsidR="003E31E4">
        <w:t>2</w:t>
      </w:r>
      <w:r w:rsidR="00DC1E87">
        <w:t>7</w:t>
      </w:r>
      <w:r w:rsidRPr="00033EF3">
        <w:tab/>
      </w:r>
      <w:r w:rsidR="0043461F">
        <w:t>7</w:t>
      </w:r>
    </w:p>
    <w:p w14:paraId="254FD653" w14:textId="7EC5591A" w:rsidR="00E34FDE" w:rsidRDefault="00E34FDE" w:rsidP="00E34FDE">
      <w:pPr>
        <w:tabs>
          <w:tab w:val="right" w:pos="850"/>
          <w:tab w:val="left" w:pos="1134"/>
          <w:tab w:val="left" w:pos="1559"/>
          <w:tab w:val="left" w:pos="1984"/>
          <w:tab w:val="left" w:leader="dot" w:pos="7654"/>
          <w:tab w:val="right" w:pos="8929"/>
          <w:tab w:val="right" w:pos="9638"/>
        </w:tabs>
        <w:spacing w:after="120"/>
      </w:pPr>
      <w:r>
        <w:tab/>
        <w:t>VII.</w:t>
      </w:r>
      <w:r>
        <w:tab/>
        <w:t>Transport in the Mediterranean Region (agenda item 6)</w:t>
      </w:r>
      <w:r>
        <w:tab/>
      </w:r>
      <w:r>
        <w:tab/>
        <w:t>2</w:t>
      </w:r>
      <w:r w:rsidR="00DC1E87">
        <w:t>8</w:t>
      </w:r>
      <w:r w:rsidR="005B1703">
        <w:t>–</w:t>
      </w:r>
      <w:r>
        <w:t>3</w:t>
      </w:r>
      <w:r w:rsidR="00DC1E87">
        <w:t>2</w:t>
      </w:r>
      <w:r>
        <w:tab/>
      </w:r>
      <w:r w:rsidR="005E64BB">
        <w:t>8</w:t>
      </w:r>
    </w:p>
    <w:p w14:paraId="02DDFF01" w14:textId="73F83E77"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A.</w:t>
      </w:r>
      <w:r>
        <w:tab/>
        <w:t>Report of the Mediterranean Transport Study Centre</w:t>
      </w:r>
      <w:r>
        <w:tab/>
      </w:r>
      <w:r>
        <w:tab/>
        <w:t>2</w:t>
      </w:r>
      <w:r w:rsidR="00DC1E87">
        <w:t>8</w:t>
      </w:r>
      <w:r w:rsidR="00AE06FD">
        <w:t>–</w:t>
      </w:r>
      <w:r w:rsidR="00DC1E87">
        <w:t>30</w:t>
      </w:r>
      <w:r>
        <w:tab/>
      </w:r>
      <w:r w:rsidR="005E64BB">
        <w:t>8</w:t>
      </w:r>
    </w:p>
    <w:p w14:paraId="198C7C78" w14:textId="77777777"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B.</w:t>
      </w:r>
      <w:r>
        <w:tab/>
        <w:t>The Euro-Mediterranean transport network</w:t>
      </w:r>
      <w:r>
        <w:tab/>
      </w:r>
      <w:r>
        <w:tab/>
      </w:r>
      <w:r w:rsidR="00DC1E87">
        <w:t>31</w:t>
      </w:r>
      <w:r>
        <w:tab/>
      </w:r>
      <w:r w:rsidR="006C2B89">
        <w:t>8</w:t>
      </w:r>
    </w:p>
    <w:p w14:paraId="3D8FB66D" w14:textId="77777777"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C.</w:t>
      </w:r>
      <w:r>
        <w:tab/>
        <w:t>Report of the Union for the Mediterranean</w:t>
      </w:r>
      <w:r>
        <w:tab/>
      </w:r>
      <w:r>
        <w:tab/>
      </w:r>
      <w:r w:rsidR="00DC1E87">
        <w:t>32</w:t>
      </w:r>
      <w:r>
        <w:tab/>
      </w:r>
      <w:r w:rsidR="006C2B89">
        <w:t>8</w:t>
      </w:r>
    </w:p>
    <w:p w14:paraId="4D56523B" w14:textId="15815D89" w:rsidR="00F3559B" w:rsidRPr="00033EF3" w:rsidRDefault="004A077E" w:rsidP="00DC1E87">
      <w:pPr>
        <w:tabs>
          <w:tab w:val="right" w:pos="850"/>
          <w:tab w:val="left" w:pos="1134"/>
          <w:tab w:val="left" w:pos="1559"/>
          <w:tab w:val="left" w:pos="1984"/>
          <w:tab w:val="left" w:leader="dot" w:pos="7654"/>
          <w:tab w:val="right" w:pos="8929"/>
          <w:tab w:val="right" w:pos="9638"/>
        </w:tabs>
        <w:spacing w:after="120"/>
      </w:pPr>
      <w:r>
        <w:tab/>
      </w:r>
      <w:r w:rsidR="00F3559B" w:rsidRPr="00033EF3">
        <w:t>VI</w:t>
      </w:r>
      <w:r w:rsidR="001D4F5B">
        <w:t>I</w:t>
      </w:r>
      <w:r w:rsidR="004B1C28">
        <w:t>I</w:t>
      </w:r>
      <w:r w:rsidR="00F3559B" w:rsidRPr="00033EF3">
        <w:t>.</w:t>
      </w:r>
      <w:r w:rsidR="00F3559B" w:rsidRPr="00033EF3">
        <w:tab/>
        <w:t xml:space="preserve">Euro-Asian Transport Links (agenda item </w:t>
      </w:r>
      <w:r w:rsidR="004F5C4A">
        <w:t>7</w:t>
      </w:r>
      <w:r w:rsidR="00F3559B" w:rsidRPr="00033EF3">
        <w:t>)</w:t>
      </w:r>
      <w:r w:rsidR="00F3559B" w:rsidRPr="00033EF3">
        <w:tab/>
      </w:r>
      <w:r w:rsidR="00F3559B" w:rsidRPr="00033EF3">
        <w:tab/>
      </w:r>
      <w:r w:rsidR="003E31E4">
        <w:t>3</w:t>
      </w:r>
      <w:r w:rsidR="00DC1E87">
        <w:t>3</w:t>
      </w:r>
      <w:r w:rsidR="00AE06FD">
        <w:t>–</w:t>
      </w:r>
      <w:r w:rsidR="003E31E4">
        <w:t>3</w:t>
      </w:r>
      <w:r w:rsidR="00DC1E87">
        <w:t>9</w:t>
      </w:r>
      <w:r w:rsidR="00F3559B" w:rsidRPr="00033EF3">
        <w:tab/>
      </w:r>
      <w:r w:rsidR="00DC1E87">
        <w:t>8</w:t>
      </w:r>
    </w:p>
    <w:p w14:paraId="039D8B16" w14:textId="1EEDFF74" w:rsidR="00F3559B" w:rsidRPr="00033EF3" w:rsidRDefault="00F3559B" w:rsidP="00D1040F">
      <w:pPr>
        <w:tabs>
          <w:tab w:val="right" w:pos="850"/>
          <w:tab w:val="left" w:pos="1134"/>
          <w:tab w:val="left" w:pos="1559"/>
          <w:tab w:val="left" w:pos="1984"/>
          <w:tab w:val="left" w:leader="dot" w:pos="7654"/>
          <w:tab w:val="right" w:pos="8929"/>
          <w:tab w:val="right" w:pos="9638"/>
        </w:tabs>
        <w:spacing w:after="120"/>
      </w:pPr>
      <w:r w:rsidRPr="00033EF3">
        <w:lastRenderedPageBreak/>
        <w:tab/>
      </w:r>
      <w:r w:rsidRPr="00033EF3">
        <w:tab/>
        <w:t>A.</w:t>
      </w:r>
      <w:r w:rsidRPr="00033EF3">
        <w:tab/>
        <w:t>Progress in Euro-Asian Transport Links work</w:t>
      </w:r>
      <w:r w:rsidRPr="00033EF3">
        <w:tab/>
      </w:r>
      <w:r w:rsidRPr="00033EF3">
        <w:tab/>
      </w:r>
      <w:r w:rsidR="003E31E4">
        <w:t>3</w:t>
      </w:r>
      <w:r w:rsidR="00DC1E87">
        <w:t>3</w:t>
      </w:r>
      <w:r w:rsidR="00AE06FD">
        <w:t>–</w:t>
      </w:r>
      <w:r w:rsidR="003E31E4">
        <w:t>3</w:t>
      </w:r>
      <w:r w:rsidR="00DC1E87">
        <w:t>5</w:t>
      </w:r>
      <w:r w:rsidRPr="00033EF3">
        <w:tab/>
      </w:r>
      <w:r w:rsidR="00DC1E87">
        <w:t>8</w:t>
      </w:r>
    </w:p>
    <w:p w14:paraId="4DED82D0" w14:textId="2B6DBED6" w:rsidR="00105660" w:rsidRPr="00AD4C9B" w:rsidRDefault="00F3559B" w:rsidP="00D1040F">
      <w:pPr>
        <w:tabs>
          <w:tab w:val="right" w:pos="850"/>
          <w:tab w:val="left" w:pos="1134"/>
          <w:tab w:val="left" w:pos="1559"/>
          <w:tab w:val="left" w:pos="1984"/>
          <w:tab w:val="left" w:leader="dot" w:pos="7654"/>
          <w:tab w:val="right" w:pos="8929"/>
          <w:tab w:val="right" w:pos="9638"/>
        </w:tabs>
        <w:spacing w:after="120"/>
        <w:rPr>
          <w:lang w:val="fr-CH"/>
        </w:rPr>
      </w:pPr>
      <w:r w:rsidRPr="00033EF3">
        <w:tab/>
      </w:r>
      <w:r w:rsidRPr="00033EF3">
        <w:tab/>
      </w:r>
      <w:r w:rsidR="00075671" w:rsidRPr="00AD4C9B">
        <w:rPr>
          <w:lang w:val="fr-CH"/>
        </w:rPr>
        <w:t>B.</w:t>
      </w:r>
      <w:r w:rsidR="00075671" w:rsidRPr="00AD4C9B">
        <w:rPr>
          <w:lang w:val="fr-CH"/>
        </w:rPr>
        <w:tab/>
      </w:r>
      <w:r w:rsidR="00DC1E87" w:rsidRPr="00AD4C9B">
        <w:rPr>
          <w:lang w:val="fr-CH"/>
        </w:rPr>
        <w:t>International Transport Infrastructure Observatory</w:t>
      </w:r>
      <w:r w:rsidR="00075671" w:rsidRPr="00AD4C9B">
        <w:rPr>
          <w:lang w:val="fr-CH"/>
        </w:rPr>
        <w:tab/>
      </w:r>
      <w:r w:rsidR="00075671" w:rsidRPr="00AD4C9B">
        <w:rPr>
          <w:lang w:val="fr-CH"/>
        </w:rPr>
        <w:tab/>
        <w:t>3</w:t>
      </w:r>
      <w:r w:rsidR="00DC1E87" w:rsidRPr="00AD4C9B">
        <w:rPr>
          <w:lang w:val="fr-CH"/>
        </w:rPr>
        <w:t>6</w:t>
      </w:r>
      <w:r w:rsidR="00AE06FD">
        <w:rPr>
          <w:lang w:val="fr-CH"/>
        </w:rPr>
        <w:t>–</w:t>
      </w:r>
      <w:r w:rsidR="00075671" w:rsidRPr="00AD4C9B">
        <w:rPr>
          <w:lang w:val="fr-CH"/>
        </w:rPr>
        <w:t>3</w:t>
      </w:r>
      <w:r w:rsidR="00DC1E87" w:rsidRPr="00AD4C9B">
        <w:rPr>
          <w:lang w:val="fr-CH"/>
        </w:rPr>
        <w:t>8</w:t>
      </w:r>
      <w:r w:rsidR="00075671" w:rsidRPr="00AD4C9B">
        <w:rPr>
          <w:lang w:val="fr-CH"/>
        </w:rPr>
        <w:tab/>
        <w:t>9</w:t>
      </w:r>
    </w:p>
    <w:p w14:paraId="2BC04BC4" w14:textId="77777777" w:rsidR="00F3559B" w:rsidRPr="00033EF3" w:rsidRDefault="00075671" w:rsidP="00D1040F">
      <w:pPr>
        <w:tabs>
          <w:tab w:val="right" w:pos="850"/>
          <w:tab w:val="left" w:pos="1134"/>
          <w:tab w:val="left" w:pos="1559"/>
          <w:tab w:val="left" w:pos="1984"/>
          <w:tab w:val="left" w:leader="dot" w:pos="7654"/>
          <w:tab w:val="right" w:pos="8929"/>
          <w:tab w:val="right" w:pos="9638"/>
        </w:tabs>
        <w:spacing w:after="120"/>
      </w:pPr>
      <w:r w:rsidRPr="00AD4C9B">
        <w:rPr>
          <w:lang w:val="fr-CH"/>
        </w:rPr>
        <w:tab/>
      </w:r>
      <w:r w:rsidRPr="00AD4C9B">
        <w:rPr>
          <w:lang w:val="fr-CH"/>
        </w:rPr>
        <w:tab/>
      </w:r>
      <w:r>
        <w:t>C</w:t>
      </w:r>
      <w:r w:rsidR="00F3559B" w:rsidRPr="00033EF3">
        <w:t>.</w:t>
      </w:r>
      <w:r w:rsidR="00F3559B" w:rsidRPr="00033EF3">
        <w:tab/>
        <w:t>Other Euro-Asian transport initiatives</w:t>
      </w:r>
      <w:r w:rsidR="00F3559B" w:rsidRPr="00033EF3">
        <w:tab/>
      </w:r>
      <w:r w:rsidR="00F3559B" w:rsidRPr="00033EF3">
        <w:tab/>
      </w:r>
      <w:r w:rsidR="00DC1E87">
        <w:t>39</w:t>
      </w:r>
      <w:r w:rsidR="00F3559B" w:rsidRPr="00033EF3">
        <w:tab/>
      </w:r>
      <w:r w:rsidR="00DC1E87">
        <w:t>9</w:t>
      </w:r>
    </w:p>
    <w:p w14:paraId="0B276EC1" w14:textId="2C3EEC56" w:rsidR="00E34FDE" w:rsidRPr="00033EF3" w:rsidRDefault="00F3559B" w:rsidP="00E34FDE">
      <w:pPr>
        <w:tabs>
          <w:tab w:val="right" w:pos="850"/>
          <w:tab w:val="left" w:pos="1134"/>
          <w:tab w:val="left" w:pos="1559"/>
          <w:tab w:val="left" w:pos="1984"/>
          <w:tab w:val="left" w:leader="dot" w:pos="7654"/>
          <w:tab w:val="right" w:pos="8929"/>
          <w:tab w:val="right" w:pos="9638"/>
        </w:tabs>
        <w:spacing w:after="120"/>
        <w:ind w:left="1134" w:hanging="1134"/>
      </w:pPr>
      <w:r w:rsidRPr="00033EF3">
        <w:tab/>
      </w:r>
      <w:r w:rsidR="00E34FDE" w:rsidRPr="00033EF3">
        <w:t>I</w:t>
      </w:r>
      <w:r w:rsidR="004B1C28">
        <w:t>X</w:t>
      </w:r>
      <w:r w:rsidR="00E34FDE" w:rsidRPr="00033EF3">
        <w:t>.</w:t>
      </w:r>
      <w:r w:rsidR="00E34FDE" w:rsidRPr="00033EF3">
        <w:tab/>
      </w:r>
      <w:r w:rsidR="007B54E1" w:rsidRPr="007B54E1">
        <w:t>Group of Experts on Benchmarking Transport Infrastructure Construction Costs</w:t>
      </w:r>
      <w:r w:rsidR="002812F5">
        <w:br/>
      </w:r>
      <w:r w:rsidR="00E34FDE" w:rsidRPr="00033EF3">
        <w:t xml:space="preserve">(agenda item </w:t>
      </w:r>
      <w:r w:rsidR="00E34FDE">
        <w:t>8</w:t>
      </w:r>
      <w:r w:rsidR="00E34FDE" w:rsidRPr="00033EF3">
        <w:t>)</w:t>
      </w:r>
      <w:r w:rsidR="00E34FDE">
        <w:tab/>
      </w:r>
      <w:r w:rsidR="00E34FDE" w:rsidRPr="00033EF3">
        <w:tab/>
      </w:r>
      <w:r w:rsidR="00DC1E87">
        <w:t>40</w:t>
      </w:r>
      <w:r w:rsidR="00AE06FD">
        <w:t>–</w:t>
      </w:r>
      <w:r w:rsidR="003E31E4">
        <w:t>4</w:t>
      </w:r>
      <w:r w:rsidR="00DC1E87">
        <w:t>2</w:t>
      </w:r>
      <w:r w:rsidR="00E34FDE" w:rsidRPr="00033EF3">
        <w:tab/>
      </w:r>
      <w:r w:rsidR="00DC1E87">
        <w:t>9</w:t>
      </w:r>
    </w:p>
    <w:p w14:paraId="02D09FB5" w14:textId="04FD7BDC" w:rsidR="00E34FDE" w:rsidRPr="00033EF3" w:rsidRDefault="00E34FDE" w:rsidP="00E34FDE">
      <w:pPr>
        <w:tabs>
          <w:tab w:val="right" w:pos="850"/>
          <w:tab w:val="left" w:pos="1134"/>
          <w:tab w:val="left" w:pos="1559"/>
          <w:tab w:val="left" w:pos="1984"/>
          <w:tab w:val="left" w:leader="dot" w:pos="7654"/>
          <w:tab w:val="right" w:pos="8929"/>
          <w:tab w:val="right" w:pos="9638"/>
        </w:tabs>
        <w:spacing w:after="120"/>
        <w:ind w:left="1134" w:hanging="1134"/>
      </w:pPr>
      <w:r>
        <w:tab/>
      </w:r>
      <w:r w:rsidR="004B1C28">
        <w:t>X</w:t>
      </w:r>
      <w:r w:rsidRPr="00033EF3">
        <w:t>.</w:t>
      </w:r>
      <w:r w:rsidRPr="00033EF3">
        <w:tab/>
      </w:r>
      <w:r w:rsidRPr="00E34FDE">
        <w:t>Urban mobility and Public Transport</w:t>
      </w:r>
      <w:r w:rsidR="00075671">
        <w:t>:</w:t>
      </w:r>
      <w:r w:rsidR="00597F4C">
        <w:t xml:space="preserve"> </w:t>
      </w:r>
      <w:r w:rsidR="003E2B1E">
        <w:t>P</w:t>
      </w:r>
      <w:r w:rsidR="00075671" w:rsidRPr="00075671">
        <w:t xml:space="preserve">an-European master plan for cycling </w:t>
      </w:r>
      <w:r w:rsidR="008A3587" w:rsidRPr="004E5409">
        <w:br/>
      </w:r>
      <w:r w:rsidRPr="00033EF3">
        <w:t xml:space="preserve">(agenda item </w:t>
      </w:r>
      <w:r>
        <w:t>9</w:t>
      </w:r>
      <w:r w:rsidRPr="00033EF3">
        <w:t>)</w:t>
      </w:r>
      <w:r w:rsidR="00075671">
        <w:tab/>
      </w:r>
      <w:r w:rsidRPr="00033EF3">
        <w:tab/>
      </w:r>
      <w:r>
        <w:t>4</w:t>
      </w:r>
      <w:r w:rsidR="00DC1E87">
        <w:t>3</w:t>
      </w:r>
      <w:r w:rsidR="00AE06FD">
        <w:t>–</w:t>
      </w:r>
      <w:r w:rsidR="003E31E4">
        <w:t>4</w:t>
      </w:r>
      <w:r w:rsidR="00DC1E87">
        <w:t>5</w:t>
      </w:r>
      <w:r w:rsidRPr="00033EF3">
        <w:tab/>
      </w:r>
      <w:r>
        <w:t>1</w:t>
      </w:r>
      <w:r w:rsidR="00075671">
        <w:t>0</w:t>
      </w:r>
    </w:p>
    <w:p w14:paraId="188BA212" w14:textId="0B854785" w:rsidR="00C72AD2" w:rsidRPr="00033EF3" w:rsidRDefault="00E34FDE" w:rsidP="00D1040F">
      <w:pPr>
        <w:tabs>
          <w:tab w:val="right" w:pos="850"/>
          <w:tab w:val="left" w:pos="1134"/>
          <w:tab w:val="left" w:pos="1559"/>
          <w:tab w:val="left" w:pos="1984"/>
          <w:tab w:val="left" w:leader="dot" w:pos="7654"/>
          <w:tab w:val="right" w:pos="8929"/>
          <w:tab w:val="right" w:pos="9638"/>
        </w:tabs>
        <w:spacing w:after="120"/>
      </w:pPr>
      <w:r>
        <w:tab/>
      </w:r>
      <w:r w:rsidR="004B1C28">
        <w:t>X</w:t>
      </w:r>
      <w:r w:rsidR="00CC3017" w:rsidRPr="00033EF3">
        <w:t>I</w:t>
      </w:r>
      <w:r w:rsidR="00C72AD2" w:rsidRPr="00033EF3">
        <w:t>.</w:t>
      </w:r>
      <w:r w:rsidR="00C72AD2" w:rsidRPr="00033EF3">
        <w:tab/>
        <w:t>Climate Change</w:t>
      </w:r>
      <w:r w:rsidR="00186360" w:rsidRPr="00033EF3">
        <w:t xml:space="preserve"> and </w:t>
      </w:r>
      <w:r w:rsidR="00895D8A" w:rsidRPr="00033EF3">
        <w:t xml:space="preserve">Transport </w:t>
      </w:r>
      <w:r w:rsidR="00807DDA" w:rsidRPr="00033EF3">
        <w:t xml:space="preserve">(agenda item </w:t>
      </w:r>
      <w:r>
        <w:t>10</w:t>
      </w:r>
      <w:r w:rsidR="00807DDA" w:rsidRPr="00033EF3">
        <w:t>)</w:t>
      </w:r>
      <w:r w:rsidR="007B00BC">
        <w:tab/>
      </w:r>
      <w:r w:rsidR="00807DDA" w:rsidRPr="00033EF3">
        <w:tab/>
      </w:r>
      <w:r w:rsidR="00EB7267">
        <w:t>4</w:t>
      </w:r>
      <w:r w:rsidR="00DC1E87">
        <w:t>6</w:t>
      </w:r>
      <w:r w:rsidR="00AE06FD">
        <w:t>–</w:t>
      </w:r>
      <w:r w:rsidR="00DC1E87">
        <w:t>51</w:t>
      </w:r>
      <w:r w:rsidR="00C72AD2" w:rsidRPr="00033EF3">
        <w:tab/>
      </w:r>
      <w:r w:rsidR="006011AC">
        <w:t>1</w:t>
      </w:r>
      <w:r w:rsidR="00DC1E87">
        <w:t>0</w:t>
      </w:r>
    </w:p>
    <w:p w14:paraId="3FD552AD" w14:textId="13156D52" w:rsidR="00D12F5E" w:rsidRPr="00033EF3" w:rsidRDefault="00C72AD2" w:rsidP="00E34FDE">
      <w:pPr>
        <w:tabs>
          <w:tab w:val="right" w:pos="850"/>
          <w:tab w:val="left" w:pos="1134"/>
          <w:tab w:val="left" w:pos="1559"/>
          <w:tab w:val="left" w:pos="1984"/>
          <w:tab w:val="left" w:leader="dot" w:pos="7654"/>
          <w:tab w:val="right" w:pos="8929"/>
          <w:tab w:val="right" w:pos="9638"/>
        </w:tabs>
        <w:spacing w:after="120"/>
        <w:ind w:left="1559" w:hanging="1559"/>
      </w:pPr>
      <w:r w:rsidRPr="00033EF3">
        <w:tab/>
      </w:r>
      <w:r w:rsidR="00186360" w:rsidRPr="00033EF3">
        <w:tab/>
        <w:t>A.</w:t>
      </w:r>
      <w:r w:rsidR="00763A5C" w:rsidRPr="00033EF3">
        <w:tab/>
      </w:r>
      <w:r w:rsidR="00186360" w:rsidRPr="00033EF3">
        <w:t xml:space="preserve">Group of Experts on </w:t>
      </w:r>
      <w:r w:rsidR="00631B31">
        <w:t>C</w:t>
      </w:r>
      <w:r w:rsidR="00631B31" w:rsidRPr="00033EF3">
        <w:t xml:space="preserve">limate </w:t>
      </w:r>
      <w:r w:rsidR="00631B31">
        <w:t>C</w:t>
      </w:r>
      <w:r w:rsidR="00631B31" w:rsidRPr="00033EF3">
        <w:t xml:space="preserve">hange </w:t>
      </w:r>
      <w:r w:rsidR="008850C5">
        <w:t>I</w:t>
      </w:r>
      <w:r w:rsidR="008850C5" w:rsidRPr="00033EF3">
        <w:t xml:space="preserve">mpacts </w:t>
      </w:r>
      <w:r w:rsidR="00186360" w:rsidRPr="00033EF3">
        <w:t xml:space="preserve">and </w:t>
      </w:r>
      <w:r w:rsidR="008850C5">
        <w:t>A</w:t>
      </w:r>
      <w:r w:rsidR="008850C5" w:rsidRPr="00033EF3">
        <w:t xml:space="preserve">daptation </w:t>
      </w:r>
      <w:r w:rsidR="00E34FDE">
        <w:t xml:space="preserve">for </w:t>
      </w:r>
      <w:r w:rsidR="008850C5">
        <w:t>T</w:t>
      </w:r>
      <w:r w:rsidR="00631B31" w:rsidRPr="00033EF3">
        <w:t xml:space="preserve">ransport </w:t>
      </w:r>
      <w:r w:rsidR="002812F5">
        <w:br/>
      </w:r>
      <w:r w:rsidR="00B61241">
        <w:t>N</w:t>
      </w:r>
      <w:r w:rsidR="00B61241" w:rsidRPr="00033EF3">
        <w:t>etworks</w:t>
      </w:r>
      <w:r w:rsidR="00B61241">
        <w:t xml:space="preserve"> </w:t>
      </w:r>
      <w:r w:rsidR="00E34FDE">
        <w:t xml:space="preserve">and </w:t>
      </w:r>
      <w:r w:rsidR="00B61241">
        <w:t>Nodes</w:t>
      </w:r>
      <w:r w:rsidR="00186360" w:rsidRPr="00033EF3">
        <w:tab/>
      </w:r>
      <w:r w:rsidR="00186360" w:rsidRPr="00033EF3">
        <w:tab/>
      </w:r>
      <w:r w:rsidR="00EB7267">
        <w:t>4</w:t>
      </w:r>
      <w:r w:rsidR="00DC1E87">
        <w:t>6</w:t>
      </w:r>
      <w:r w:rsidR="00AE06FD">
        <w:t>–</w:t>
      </w:r>
      <w:r w:rsidR="006C2B89">
        <w:t>4</w:t>
      </w:r>
      <w:r w:rsidR="00DC1E87">
        <w:t>9</w:t>
      </w:r>
      <w:r w:rsidR="00186360" w:rsidRPr="00033EF3">
        <w:tab/>
      </w:r>
      <w:r w:rsidR="00DC1E87">
        <w:t>10</w:t>
      </w:r>
    </w:p>
    <w:p w14:paraId="75D181EC" w14:textId="380F9883" w:rsidR="00186360" w:rsidRPr="00033EF3" w:rsidRDefault="00186360"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t>B.</w:t>
      </w:r>
      <w:r w:rsidR="00763A5C" w:rsidRPr="00033EF3">
        <w:tab/>
      </w:r>
      <w:r w:rsidR="004A077E" w:rsidRPr="004A077E">
        <w:t xml:space="preserve">Climate Change mitigation: United Nations Economic Commission for </w:t>
      </w:r>
      <w:r w:rsidR="004A077E">
        <w:tab/>
      </w:r>
      <w:r w:rsidR="004A077E">
        <w:tab/>
      </w:r>
      <w:r w:rsidR="004A077E">
        <w:tab/>
      </w:r>
      <w:r w:rsidR="004A077E">
        <w:tab/>
      </w:r>
      <w:r w:rsidR="004A077E">
        <w:tab/>
      </w:r>
      <w:r w:rsidR="004A077E">
        <w:tab/>
      </w:r>
      <w:r w:rsidR="004A077E" w:rsidRPr="004A077E">
        <w:t>Europe For Future Inland Transport Systems tool.</w:t>
      </w:r>
      <w:r w:rsidR="00763A5C" w:rsidRPr="00033EF3">
        <w:tab/>
      </w:r>
      <w:r w:rsidR="00763A5C" w:rsidRPr="00033EF3">
        <w:tab/>
      </w:r>
      <w:r w:rsidR="005B53A2">
        <w:t>50–51</w:t>
      </w:r>
      <w:r w:rsidR="00763A5C" w:rsidRPr="00033EF3">
        <w:tab/>
      </w:r>
      <w:r w:rsidR="006011AC">
        <w:t>1</w:t>
      </w:r>
      <w:r w:rsidR="006C2B89">
        <w:t>1</w:t>
      </w:r>
    </w:p>
    <w:p w14:paraId="01723B17" w14:textId="7BAFA580" w:rsidR="00D12F5E"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00CC3017" w:rsidRPr="00033EF3">
        <w:t>X</w:t>
      </w:r>
      <w:r w:rsidR="004B1C28">
        <w:t>II</w:t>
      </w:r>
      <w:r w:rsidRPr="00033EF3">
        <w:t>.</w:t>
      </w:r>
      <w:r w:rsidRPr="00033EF3">
        <w:tab/>
        <w:t>Revie</w:t>
      </w:r>
      <w:r w:rsidR="00CC3017" w:rsidRPr="00033EF3">
        <w:t xml:space="preserve">w of the transport situation, transport trends and economics in </w:t>
      </w:r>
      <w:r w:rsidR="001C7F0A">
        <w:t xml:space="preserve">the </w:t>
      </w:r>
      <w:r w:rsidRPr="00033EF3">
        <w:t xml:space="preserve">ECE </w:t>
      </w:r>
      <w:r w:rsidR="002812F5">
        <w:br/>
      </w:r>
      <w:r w:rsidR="002812F5">
        <w:tab/>
      </w:r>
      <w:r w:rsidR="002812F5">
        <w:tab/>
      </w:r>
      <w:r w:rsidRPr="00033EF3">
        <w:t>region</w:t>
      </w:r>
      <w:r w:rsidR="00807DDA" w:rsidRPr="00033EF3">
        <w:t xml:space="preserve"> (agenda item </w:t>
      </w:r>
      <w:r w:rsidR="002C780D">
        <w:t>11</w:t>
      </w:r>
      <w:r w:rsidR="00807DDA" w:rsidRPr="00033EF3">
        <w:t>)</w:t>
      </w:r>
      <w:r w:rsidR="00807DDA" w:rsidRPr="00033EF3">
        <w:tab/>
      </w:r>
      <w:r w:rsidR="00807DDA" w:rsidRPr="00033EF3">
        <w:tab/>
      </w:r>
      <w:r w:rsidR="005B53A2">
        <w:t>52</w:t>
      </w:r>
      <w:r w:rsidR="00AE06FD">
        <w:t>–</w:t>
      </w:r>
      <w:r w:rsidR="005B53A2">
        <w:t>64</w:t>
      </w:r>
      <w:r w:rsidR="00807DDA" w:rsidRPr="00033EF3">
        <w:tab/>
      </w:r>
      <w:r w:rsidR="006011AC">
        <w:t>1</w:t>
      </w:r>
      <w:r w:rsidR="005B53A2">
        <w:t>1</w:t>
      </w:r>
    </w:p>
    <w:p w14:paraId="16519AAE" w14:textId="32286A61" w:rsidR="000B3E3D"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t>A.</w:t>
      </w:r>
      <w:r w:rsidRPr="00033EF3">
        <w:tab/>
      </w:r>
      <w:r w:rsidR="0075228C" w:rsidRPr="0075228C">
        <w:t xml:space="preserve">Transport Trends and Economics 2018–2019: Mobility as a Service </w:t>
      </w:r>
      <w:r w:rsidR="00763A5C" w:rsidRPr="00033EF3">
        <w:tab/>
      </w:r>
      <w:r w:rsidR="00763A5C" w:rsidRPr="00033EF3">
        <w:tab/>
      </w:r>
      <w:r w:rsidR="005B53A2">
        <w:t>52</w:t>
      </w:r>
      <w:r w:rsidR="00AE06FD">
        <w:t>–</w:t>
      </w:r>
      <w:r w:rsidR="00EB7267">
        <w:t>5</w:t>
      </w:r>
      <w:r w:rsidR="005B53A2">
        <w:t>5</w:t>
      </w:r>
      <w:r w:rsidR="00807DDA" w:rsidRPr="00033EF3">
        <w:tab/>
      </w:r>
      <w:r w:rsidR="005B53A2">
        <w:t>11</w:t>
      </w:r>
    </w:p>
    <w:p w14:paraId="53A7B6F7" w14:textId="0A4E020F" w:rsidR="00075671" w:rsidRDefault="000B3E3D" w:rsidP="001C7F0A">
      <w:pPr>
        <w:tabs>
          <w:tab w:val="right" w:pos="850"/>
          <w:tab w:val="left" w:pos="1134"/>
          <w:tab w:val="left" w:pos="1559"/>
          <w:tab w:val="left" w:pos="1984"/>
          <w:tab w:val="left" w:leader="dot" w:pos="7654"/>
          <w:tab w:val="right" w:pos="8929"/>
          <w:tab w:val="right" w:pos="9638"/>
        </w:tabs>
        <w:spacing w:after="120"/>
        <w:ind w:left="1559" w:hanging="1559"/>
      </w:pPr>
      <w:r w:rsidRPr="00033EF3">
        <w:tab/>
      </w:r>
      <w:r w:rsidRPr="00033EF3">
        <w:tab/>
      </w:r>
      <w:r w:rsidR="00075671">
        <w:t>B</w:t>
      </w:r>
      <w:r w:rsidR="00075671" w:rsidRPr="00033EF3">
        <w:t>.</w:t>
      </w:r>
      <w:r w:rsidR="00075671" w:rsidRPr="00033EF3">
        <w:tab/>
      </w:r>
      <w:r w:rsidR="0075228C" w:rsidRPr="0075228C">
        <w:t xml:space="preserve">Transport Trends and Economics 2016–2017: Innovative ways for financing </w:t>
      </w:r>
      <w:r w:rsidR="0075228C">
        <w:br/>
      </w:r>
      <w:r w:rsidR="0075228C" w:rsidRPr="0075228C">
        <w:t>Transport Infrastructure</w:t>
      </w:r>
      <w:r w:rsidR="0075228C" w:rsidRPr="0075228C" w:rsidDel="0075228C">
        <w:t xml:space="preserve"> </w:t>
      </w:r>
      <w:r w:rsidR="00075671">
        <w:tab/>
      </w:r>
      <w:r w:rsidR="00075671">
        <w:tab/>
        <w:t>5</w:t>
      </w:r>
      <w:r w:rsidR="005B53A2">
        <w:t>6</w:t>
      </w:r>
      <w:r w:rsidR="00075671">
        <w:tab/>
        <w:t>1</w:t>
      </w:r>
      <w:r w:rsidR="00B05C46">
        <w:t>2</w:t>
      </w:r>
    </w:p>
    <w:p w14:paraId="6422F815" w14:textId="6DB1B816" w:rsidR="000B3E3D"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4A077E">
        <w:t>C</w:t>
      </w:r>
      <w:r w:rsidRPr="00033EF3">
        <w:t>.</w:t>
      </w:r>
      <w:r w:rsidRPr="00033EF3">
        <w:tab/>
        <w:t xml:space="preserve">Transport </w:t>
      </w:r>
      <w:r w:rsidR="00082BC3">
        <w:t>T</w:t>
      </w:r>
      <w:r w:rsidRPr="00033EF3">
        <w:t xml:space="preserve">rends and </w:t>
      </w:r>
      <w:r w:rsidR="00082BC3">
        <w:t>C</w:t>
      </w:r>
      <w:r w:rsidRPr="00033EF3">
        <w:t>hallenges in the road sector</w:t>
      </w:r>
      <w:r w:rsidR="00807DDA" w:rsidRPr="00033EF3">
        <w:tab/>
      </w:r>
      <w:r w:rsidR="00807DDA" w:rsidRPr="00033EF3">
        <w:tab/>
      </w:r>
      <w:r w:rsidR="006C2B89">
        <w:t>5</w:t>
      </w:r>
      <w:r w:rsidR="005B53A2">
        <w:t>7</w:t>
      </w:r>
      <w:r w:rsidR="00AE06FD">
        <w:t>–</w:t>
      </w:r>
      <w:r w:rsidR="006C2B89">
        <w:t>5</w:t>
      </w:r>
      <w:r w:rsidR="005B53A2">
        <w:t>8</w:t>
      </w:r>
      <w:r w:rsidR="00807DDA" w:rsidRPr="00033EF3">
        <w:tab/>
      </w:r>
      <w:r w:rsidR="00632710" w:rsidRPr="00033EF3">
        <w:t>1</w:t>
      </w:r>
      <w:r w:rsidR="005B53A2">
        <w:t>2</w:t>
      </w:r>
    </w:p>
    <w:p w14:paraId="2C9437C3" w14:textId="55F01E80" w:rsidR="000B3E3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4A077E">
        <w:t>D</w:t>
      </w:r>
      <w:r w:rsidRPr="00033EF3">
        <w:t>.</w:t>
      </w:r>
      <w:r w:rsidRPr="00033EF3">
        <w:tab/>
        <w:t xml:space="preserve">Transport </w:t>
      </w:r>
      <w:r w:rsidR="00082BC3" w:rsidRPr="00033EF3">
        <w:t xml:space="preserve">Trends </w:t>
      </w:r>
      <w:r w:rsidRPr="00033EF3">
        <w:t xml:space="preserve">and </w:t>
      </w:r>
      <w:r w:rsidR="00082BC3" w:rsidRPr="00033EF3">
        <w:t xml:space="preserve">Challenges </w:t>
      </w:r>
      <w:r w:rsidR="00807DDA" w:rsidRPr="00033EF3">
        <w:t>in the rail sector</w:t>
      </w:r>
      <w:r w:rsidR="00807DDA" w:rsidRPr="00033EF3">
        <w:tab/>
      </w:r>
      <w:r w:rsidR="00807DDA" w:rsidRPr="00033EF3">
        <w:tab/>
      </w:r>
      <w:r w:rsidR="006C2B89">
        <w:t>5</w:t>
      </w:r>
      <w:r w:rsidR="005B53A2">
        <w:t>9</w:t>
      </w:r>
      <w:r w:rsidR="00AE06FD">
        <w:t>–</w:t>
      </w:r>
      <w:r w:rsidR="005B53A2">
        <w:t>60</w:t>
      </w:r>
      <w:r w:rsidR="00807DDA" w:rsidRPr="00033EF3">
        <w:tab/>
      </w:r>
      <w:r w:rsidR="00632710" w:rsidRPr="00033EF3">
        <w:t>1</w:t>
      </w:r>
      <w:r w:rsidR="0043461F">
        <w:t>3</w:t>
      </w:r>
    </w:p>
    <w:p w14:paraId="4D2C1087" w14:textId="77CEEDBD" w:rsidR="00CC3017" w:rsidRDefault="00CC3017"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4A077E">
        <w:t>E</w:t>
      </w:r>
      <w:r w:rsidRPr="00033EF3">
        <w:t>.</w:t>
      </w:r>
      <w:r w:rsidRPr="00033EF3">
        <w:tab/>
        <w:t xml:space="preserve">Transport </w:t>
      </w:r>
      <w:r w:rsidR="00082BC3" w:rsidRPr="00033EF3">
        <w:t xml:space="preserve">Trends </w:t>
      </w:r>
      <w:r w:rsidRPr="00033EF3">
        <w:t xml:space="preserve">and </w:t>
      </w:r>
      <w:r w:rsidR="00082BC3" w:rsidRPr="00033EF3">
        <w:t xml:space="preserve">Challenges </w:t>
      </w:r>
      <w:r w:rsidRPr="00033EF3">
        <w:t>in the inland waterways sector</w:t>
      </w:r>
      <w:r w:rsidR="007B00BC">
        <w:tab/>
      </w:r>
      <w:r w:rsidRPr="00033EF3">
        <w:tab/>
      </w:r>
      <w:r w:rsidR="006C2B89">
        <w:t>6</w:t>
      </w:r>
      <w:r w:rsidR="005B53A2">
        <w:t>1</w:t>
      </w:r>
      <w:r w:rsidR="00AE06FD">
        <w:t>–</w:t>
      </w:r>
      <w:r w:rsidR="005B53A2">
        <w:t>62</w:t>
      </w:r>
      <w:r w:rsidRPr="00033EF3">
        <w:tab/>
      </w:r>
      <w:r w:rsidR="004D68ED" w:rsidRPr="00033EF3">
        <w:t>1</w:t>
      </w:r>
      <w:r w:rsidR="006C2B89">
        <w:t>3</w:t>
      </w:r>
    </w:p>
    <w:p w14:paraId="2E82D8F8" w14:textId="58835250" w:rsidR="001D4F5B" w:rsidRPr="00033EF3" w:rsidRDefault="001D4F5B" w:rsidP="00D1040F">
      <w:pPr>
        <w:tabs>
          <w:tab w:val="right" w:pos="850"/>
          <w:tab w:val="left" w:pos="1134"/>
          <w:tab w:val="left" w:pos="1559"/>
          <w:tab w:val="left" w:pos="1984"/>
          <w:tab w:val="left" w:leader="dot" w:pos="7654"/>
          <w:tab w:val="right" w:pos="8929"/>
          <w:tab w:val="right" w:pos="9638"/>
        </w:tabs>
        <w:spacing w:after="120"/>
      </w:pPr>
      <w:r>
        <w:tab/>
      </w:r>
      <w:r>
        <w:tab/>
      </w:r>
      <w:r w:rsidR="004A077E">
        <w:t>F</w:t>
      </w:r>
      <w:r>
        <w:t>.</w:t>
      </w:r>
      <w:r w:rsidRPr="001D4F5B">
        <w:tab/>
        <w:t xml:space="preserve">UNECE Transport </w:t>
      </w:r>
      <w:r w:rsidR="00AF16B3">
        <w:t>S</w:t>
      </w:r>
      <w:r w:rsidRPr="001D4F5B">
        <w:t>tatistics analysis.</w:t>
      </w:r>
      <w:r>
        <w:tab/>
      </w:r>
      <w:r>
        <w:tab/>
      </w:r>
      <w:r w:rsidR="005B53A2">
        <w:t>63</w:t>
      </w:r>
      <w:r w:rsidR="00AE06FD">
        <w:t>–</w:t>
      </w:r>
      <w:r w:rsidR="005B53A2">
        <w:t>64</w:t>
      </w:r>
      <w:r>
        <w:tab/>
        <w:t>1</w:t>
      </w:r>
      <w:r w:rsidR="006C2B89">
        <w:t>3</w:t>
      </w:r>
    </w:p>
    <w:p w14:paraId="6CCA7855" w14:textId="40F99B35" w:rsidR="0053489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t>X</w:t>
      </w:r>
      <w:r w:rsidR="004B1C28">
        <w:t>III</w:t>
      </w:r>
      <w:r w:rsidRPr="00033EF3">
        <w:t>.</w:t>
      </w:r>
      <w:r w:rsidRPr="00033EF3">
        <w:tab/>
        <w:t xml:space="preserve">Technical assistance to countries with </w:t>
      </w:r>
      <w:r w:rsidR="004A077E" w:rsidRPr="004A077E">
        <w:t xml:space="preserve">economies in transition </w:t>
      </w:r>
      <w:r w:rsidR="00807DDA" w:rsidRPr="00033EF3">
        <w:t xml:space="preserve">(agenda item </w:t>
      </w:r>
      <w:r w:rsidR="002C780D">
        <w:t>12</w:t>
      </w:r>
      <w:r w:rsidR="00807DDA" w:rsidRPr="00033EF3">
        <w:t>)</w:t>
      </w:r>
      <w:r w:rsidR="00807DDA" w:rsidRPr="00033EF3">
        <w:tab/>
      </w:r>
      <w:r w:rsidR="00807DDA" w:rsidRPr="00033EF3">
        <w:tab/>
      </w:r>
      <w:r w:rsidR="006C2B89">
        <w:t>6</w:t>
      </w:r>
      <w:r w:rsidR="005B53A2">
        <w:t>5</w:t>
      </w:r>
      <w:r w:rsidR="00AE06FD">
        <w:t>–</w:t>
      </w:r>
      <w:r w:rsidR="006C2B89">
        <w:t>6</w:t>
      </w:r>
      <w:r w:rsidR="005B53A2">
        <w:t>7</w:t>
      </w:r>
      <w:r w:rsidR="00807DDA" w:rsidRPr="00033EF3">
        <w:tab/>
      </w:r>
      <w:r w:rsidR="004D68ED" w:rsidRPr="00033EF3">
        <w:t>1</w:t>
      </w:r>
      <w:r w:rsidR="005B53A2">
        <w:t>3</w:t>
      </w:r>
    </w:p>
    <w:p w14:paraId="2E7757B5" w14:textId="42C4196B" w:rsidR="001D4F5B" w:rsidRDefault="002C780D" w:rsidP="001D4F5B">
      <w:pPr>
        <w:tabs>
          <w:tab w:val="right" w:pos="850"/>
          <w:tab w:val="left" w:pos="1134"/>
          <w:tab w:val="left" w:pos="1559"/>
          <w:tab w:val="left" w:pos="1984"/>
          <w:tab w:val="left" w:leader="dot" w:pos="7654"/>
          <w:tab w:val="right" w:pos="8929"/>
          <w:tab w:val="right" w:pos="9638"/>
        </w:tabs>
        <w:spacing w:after="120"/>
      </w:pPr>
      <w:r>
        <w:tab/>
      </w:r>
      <w:r w:rsidR="0053489D" w:rsidRPr="00033EF3">
        <w:t>X</w:t>
      </w:r>
      <w:r w:rsidR="0043461F">
        <w:t>I</w:t>
      </w:r>
      <w:r w:rsidR="004B1C28">
        <w:t>V</w:t>
      </w:r>
      <w:r w:rsidR="0053489D" w:rsidRPr="00033EF3">
        <w:t>.</w:t>
      </w:r>
      <w:r w:rsidR="0053489D" w:rsidRPr="00033EF3">
        <w:tab/>
      </w:r>
      <w:r w:rsidR="004A077E" w:rsidRPr="004A077E">
        <w:t xml:space="preserve">Activities of United Nations Economic Commission for Europe bodies of interest </w:t>
      </w:r>
      <w:r w:rsidR="004A077E">
        <w:tab/>
      </w:r>
      <w:r w:rsidR="004A077E">
        <w:tab/>
      </w:r>
      <w:r w:rsidR="004A077E">
        <w:tab/>
      </w:r>
      <w:r w:rsidR="004A077E">
        <w:tab/>
      </w:r>
      <w:r w:rsidR="004A077E" w:rsidRPr="004A077E">
        <w:t>to the Working Party</w:t>
      </w:r>
      <w:r w:rsidR="004A077E">
        <w:t xml:space="preserve"> </w:t>
      </w:r>
      <w:r w:rsidR="00807DDA" w:rsidRPr="00033EF3">
        <w:t xml:space="preserve">(agenda item </w:t>
      </w:r>
      <w:r w:rsidR="00632710" w:rsidRPr="00033EF3">
        <w:t>1</w:t>
      </w:r>
      <w:r w:rsidR="0043461F">
        <w:t>3</w:t>
      </w:r>
      <w:r w:rsidR="00807DDA" w:rsidRPr="00033EF3">
        <w:t>)</w:t>
      </w:r>
      <w:r w:rsidR="00807DDA" w:rsidRPr="00033EF3">
        <w:tab/>
      </w:r>
      <w:r w:rsidR="00807DDA" w:rsidRPr="00033EF3">
        <w:tab/>
      </w:r>
      <w:r w:rsidR="006C2B89">
        <w:t>6</w:t>
      </w:r>
      <w:r w:rsidR="005B53A2">
        <w:t>8</w:t>
      </w:r>
      <w:r w:rsidR="00AE06FD">
        <w:t>–</w:t>
      </w:r>
      <w:r w:rsidR="005B53A2">
        <w:t>70</w:t>
      </w:r>
      <w:r w:rsidR="00807DDA" w:rsidRPr="00033EF3">
        <w:tab/>
      </w:r>
      <w:r w:rsidR="004D68ED" w:rsidRPr="00033EF3">
        <w:t>1</w:t>
      </w:r>
      <w:r w:rsidR="006C2B89">
        <w:t>4</w:t>
      </w:r>
    </w:p>
    <w:p w14:paraId="336C73ED" w14:textId="5C7DAC3E" w:rsidR="002C780D" w:rsidRDefault="00F42E4F" w:rsidP="001C7F0A">
      <w:pPr>
        <w:tabs>
          <w:tab w:val="right" w:pos="850"/>
          <w:tab w:val="left" w:pos="1134"/>
          <w:tab w:val="left" w:pos="1559"/>
          <w:tab w:val="left" w:pos="1984"/>
          <w:tab w:val="left" w:leader="dot" w:pos="7654"/>
          <w:tab w:val="right" w:pos="8929"/>
          <w:tab w:val="right" w:pos="9638"/>
        </w:tabs>
        <w:spacing w:after="120"/>
        <w:ind w:left="1134" w:hanging="1134"/>
      </w:pPr>
      <w:r>
        <w:tab/>
      </w:r>
      <w:r w:rsidR="00936B32">
        <w:t>X</w:t>
      </w:r>
      <w:r w:rsidR="004B1C28">
        <w:t>V</w:t>
      </w:r>
      <w:r w:rsidR="002C780D">
        <w:t>.</w:t>
      </w:r>
      <w:r w:rsidR="002C780D">
        <w:tab/>
      </w:r>
      <w:r w:rsidR="005B53A2" w:rsidRPr="005B53A2">
        <w:t>Election of officers for the Working Party sessions in 2019 and 2020</w:t>
      </w:r>
      <w:r w:rsidR="00AE06FD">
        <w:t xml:space="preserve"> </w:t>
      </w:r>
      <w:r w:rsidR="00AE06FD">
        <w:br/>
      </w:r>
      <w:r w:rsidR="002C780D">
        <w:t>(agenda item 1</w:t>
      </w:r>
      <w:r w:rsidR="0043461F">
        <w:t>4</w:t>
      </w:r>
      <w:r w:rsidR="002C780D">
        <w:t>)</w:t>
      </w:r>
      <w:r w:rsidR="002C780D">
        <w:tab/>
      </w:r>
      <w:r w:rsidR="002C780D">
        <w:tab/>
      </w:r>
      <w:r w:rsidR="003261AE">
        <w:t>71</w:t>
      </w:r>
      <w:r w:rsidR="002C780D">
        <w:tab/>
        <w:t>1</w:t>
      </w:r>
      <w:r w:rsidR="0043461F">
        <w:t>5</w:t>
      </w:r>
    </w:p>
    <w:p w14:paraId="62A81546" w14:textId="77777777" w:rsidR="0053489D" w:rsidRPr="00033EF3" w:rsidRDefault="004A077E" w:rsidP="003261AE">
      <w:pPr>
        <w:tabs>
          <w:tab w:val="right" w:pos="850"/>
          <w:tab w:val="left" w:pos="1134"/>
          <w:tab w:val="left" w:pos="1559"/>
          <w:tab w:val="left" w:pos="1984"/>
          <w:tab w:val="left" w:leader="dot" w:pos="7654"/>
          <w:tab w:val="right" w:pos="8929"/>
          <w:tab w:val="right" w:pos="9638"/>
        </w:tabs>
        <w:spacing w:after="120"/>
        <w:ind w:left="1559" w:hanging="1559"/>
      </w:pPr>
      <w:r>
        <w:tab/>
      </w:r>
      <w:r w:rsidR="0053489D" w:rsidRPr="00033EF3">
        <w:t>X</w:t>
      </w:r>
      <w:r w:rsidR="004B1C28">
        <w:t>V</w:t>
      </w:r>
      <w:r w:rsidR="005C2B05">
        <w:t>I</w:t>
      </w:r>
      <w:r w:rsidR="0053489D" w:rsidRPr="00033EF3">
        <w:t>.</w:t>
      </w:r>
      <w:r w:rsidR="0053489D" w:rsidRPr="00033EF3">
        <w:tab/>
        <w:t>Other business</w:t>
      </w:r>
      <w:r w:rsidR="00EA2ABB" w:rsidRPr="00033EF3">
        <w:t xml:space="preserve"> (agenda item 1</w:t>
      </w:r>
      <w:r w:rsidR="0043461F">
        <w:t>5</w:t>
      </w:r>
      <w:r w:rsidR="00EA2ABB" w:rsidRPr="00033EF3">
        <w:t>)</w:t>
      </w:r>
      <w:r w:rsidR="00EA2ABB" w:rsidRPr="00033EF3">
        <w:tab/>
      </w:r>
      <w:r w:rsidR="00EA2ABB" w:rsidRPr="00033EF3">
        <w:tab/>
      </w:r>
      <w:r w:rsidR="003261AE">
        <w:t>72</w:t>
      </w:r>
      <w:r w:rsidR="00EA2ABB" w:rsidRPr="00033EF3">
        <w:tab/>
      </w:r>
      <w:r w:rsidR="004D68ED" w:rsidRPr="00033EF3">
        <w:t>1</w:t>
      </w:r>
      <w:r w:rsidR="0043461F">
        <w:t>5</w:t>
      </w:r>
    </w:p>
    <w:p w14:paraId="654517E3" w14:textId="77777777" w:rsidR="0053489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t>XV</w:t>
      </w:r>
      <w:r w:rsidR="004B1C28">
        <w:t>II</w:t>
      </w:r>
      <w:r w:rsidRPr="00033EF3">
        <w:t>.</w:t>
      </w:r>
      <w:r w:rsidRPr="00033EF3">
        <w:tab/>
        <w:t>Date of next session</w:t>
      </w:r>
      <w:r w:rsidR="00EA2ABB" w:rsidRPr="00033EF3">
        <w:t xml:space="preserve"> (agenda item </w:t>
      </w:r>
      <w:r w:rsidR="000604A7" w:rsidRPr="00033EF3">
        <w:t>1</w:t>
      </w:r>
      <w:r w:rsidR="0043461F">
        <w:t>6</w:t>
      </w:r>
      <w:r w:rsidR="00EA2ABB" w:rsidRPr="00033EF3">
        <w:t>)</w:t>
      </w:r>
      <w:r w:rsidR="00EA2ABB" w:rsidRPr="00033EF3">
        <w:tab/>
      </w:r>
      <w:r w:rsidR="00EA2ABB" w:rsidRPr="00033EF3">
        <w:tab/>
      </w:r>
      <w:r w:rsidR="003261AE">
        <w:t>73</w:t>
      </w:r>
      <w:r w:rsidR="00EA2ABB" w:rsidRPr="00033EF3">
        <w:tab/>
      </w:r>
      <w:r w:rsidR="004D68ED" w:rsidRPr="00033EF3">
        <w:t>1</w:t>
      </w:r>
      <w:r w:rsidR="006C2B89">
        <w:t>5</w:t>
      </w:r>
    </w:p>
    <w:p w14:paraId="26B24A2A" w14:textId="69EA7E9C" w:rsidR="0053489D" w:rsidRDefault="00354DFB" w:rsidP="00D1040F">
      <w:pPr>
        <w:tabs>
          <w:tab w:val="right" w:pos="850"/>
          <w:tab w:val="left" w:pos="1134"/>
          <w:tab w:val="left" w:pos="1559"/>
          <w:tab w:val="left" w:pos="1984"/>
          <w:tab w:val="left" w:leader="dot" w:pos="7654"/>
          <w:tab w:val="right" w:pos="8929"/>
          <w:tab w:val="right" w:pos="9638"/>
        </w:tabs>
        <w:spacing w:after="120"/>
      </w:pPr>
      <w:r w:rsidRPr="00033EF3">
        <w:tab/>
        <w:t>X</w:t>
      </w:r>
      <w:r w:rsidR="0043461F">
        <w:t>VII</w:t>
      </w:r>
      <w:r w:rsidR="004B1C28">
        <w:t>I</w:t>
      </w:r>
      <w:r w:rsidRPr="00033EF3">
        <w:t>.</w:t>
      </w:r>
      <w:r w:rsidRPr="00033EF3">
        <w:tab/>
      </w:r>
      <w:r w:rsidR="0053489D" w:rsidRPr="00033EF3">
        <w:t xml:space="preserve">Adoption of the </w:t>
      </w:r>
      <w:r w:rsidR="002C780D">
        <w:t xml:space="preserve">main </w:t>
      </w:r>
      <w:r w:rsidR="000257F0" w:rsidRPr="00033EF3">
        <w:t>decisions</w:t>
      </w:r>
      <w:r w:rsidR="0053489D" w:rsidRPr="00033EF3">
        <w:t xml:space="preserve"> (agenda item 1</w:t>
      </w:r>
      <w:r w:rsidR="0043461F">
        <w:t>7</w:t>
      </w:r>
      <w:r w:rsidR="0053489D" w:rsidRPr="00033EF3">
        <w:t>)</w:t>
      </w:r>
      <w:r w:rsidR="00EA2ABB" w:rsidRPr="00033EF3">
        <w:tab/>
      </w:r>
      <w:r w:rsidR="00EA2ABB" w:rsidRPr="00033EF3">
        <w:tab/>
      </w:r>
      <w:r w:rsidR="006C2B89">
        <w:t>7</w:t>
      </w:r>
      <w:r w:rsidR="003261AE">
        <w:t>4</w:t>
      </w:r>
      <w:r w:rsidR="00EA2ABB" w:rsidRPr="00033EF3">
        <w:tab/>
      </w:r>
      <w:r w:rsidR="004D68ED" w:rsidRPr="00033EF3">
        <w:t>1</w:t>
      </w:r>
      <w:r w:rsidR="006C2B89">
        <w:t>5</w:t>
      </w:r>
    </w:p>
    <w:p w14:paraId="6408102B" w14:textId="15056553" w:rsidR="00AE06FD" w:rsidRDefault="00AE06FD" w:rsidP="00D1040F">
      <w:pPr>
        <w:tabs>
          <w:tab w:val="right" w:pos="850"/>
          <w:tab w:val="left" w:pos="1134"/>
          <w:tab w:val="left" w:pos="1559"/>
          <w:tab w:val="left" w:pos="1984"/>
          <w:tab w:val="left" w:leader="dot" w:pos="7654"/>
          <w:tab w:val="right" w:pos="8929"/>
          <w:tab w:val="right" w:pos="9638"/>
        </w:tabs>
        <w:spacing w:after="120"/>
      </w:pPr>
      <w:r>
        <w:t>Annex</w:t>
      </w:r>
    </w:p>
    <w:p w14:paraId="20D3F9E9" w14:textId="1886A512" w:rsidR="003261AE" w:rsidRPr="00033EF3" w:rsidRDefault="00AE06FD" w:rsidP="001C7F0A">
      <w:pPr>
        <w:tabs>
          <w:tab w:val="right" w:pos="850"/>
          <w:tab w:val="left" w:pos="1134"/>
          <w:tab w:val="left" w:pos="1559"/>
          <w:tab w:val="left" w:pos="1984"/>
          <w:tab w:val="left" w:leader="dot" w:pos="7654"/>
          <w:tab w:val="right" w:pos="8929"/>
          <w:tab w:val="right" w:pos="9638"/>
        </w:tabs>
        <w:spacing w:after="120"/>
        <w:ind w:left="1134"/>
      </w:pPr>
      <w:r w:rsidRPr="00AE06FD">
        <w:t xml:space="preserve">Conclusions and Recommendations of the International Conference on </w:t>
      </w:r>
      <w:r>
        <w:br/>
      </w:r>
      <w:r w:rsidRPr="00AE06FD">
        <w:t>Making Euro-Asian Transport Corridors Operational.</w:t>
      </w:r>
      <w:r>
        <w:tab/>
      </w:r>
      <w:r>
        <w:tab/>
      </w:r>
      <w:r>
        <w:tab/>
      </w:r>
      <w:r w:rsidR="00E40528">
        <w:t>16</w:t>
      </w:r>
    </w:p>
    <w:p w14:paraId="7F273283" w14:textId="77777777" w:rsidR="003F4CFA" w:rsidRPr="002B0043" w:rsidRDefault="00AF1509">
      <w:pPr>
        <w:pStyle w:val="HChG"/>
      </w:pPr>
      <w:r>
        <w:br w:type="page"/>
      </w:r>
      <w:r w:rsidR="003F4CFA" w:rsidRPr="002B0043">
        <w:lastRenderedPageBreak/>
        <w:tab/>
        <w:t>I.</w:t>
      </w:r>
      <w:r w:rsidR="003F4CFA" w:rsidRPr="002B0043">
        <w:tab/>
        <w:t>Attendance</w:t>
      </w:r>
    </w:p>
    <w:p w14:paraId="1DC9C7C0" w14:textId="0D13CE68" w:rsidR="004D2BC0" w:rsidRDefault="004D2BC0" w:rsidP="0003350A">
      <w:pPr>
        <w:pStyle w:val="SingleTxtG"/>
      </w:pPr>
      <w:r w:rsidRPr="00033EF3">
        <w:t>1.</w:t>
      </w:r>
      <w:r w:rsidRPr="00033EF3">
        <w:tab/>
        <w:t>The Working Party on Transport Trends and Economics</w:t>
      </w:r>
      <w:r w:rsidR="002978E0">
        <w:t xml:space="preserve"> (WP.5)</w:t>
      </w:r>
      <w:r w:rsidRPr="00033EF3">
        <w:t xml:space="preserve"> held its </w:t>
      </w:r>
      <w:r w:rsidR="00A31B78">
        <w:t>thirt</w:t>
      </w:r>
      <w:r w:rsidR="002C69E6">
        <w:t xml:space="preserve">y first </w:t>
      </w:r>
      <w:r w:rsidR="0026244F" w:rsidRPr="00033EF3">
        <w:t>session</w:t>
      </w:r>
      <w:r w:rsidRPr="00033EF3">
        <w:t xml:space="preserve"> from </w:t>
      </w:r>
      <w:r w:rsidR="002C69E6">
        <w:t>3</w:t>
      </w:r>
      <w:r w:rsidRPr="00033EF3">
        <w:t xml:space="preserve"> to </w:t>
      </w:r>
      <w:r w:rsidR="002C69E6">
        <w:t>5</w:t>
      </w:r>
      <w:r w:rsidRPr="00033EF3">
        <w:t xml:space="preserve"> September 201</w:t>
      </w:r>
      <w:r w:rsidR="00BD39AA">
        <w:t>8</w:t>
      </w:r>
      <w:r w:rsidR="00E56FC3">
        <w:t>.</w:t>
      </w:r>
      <w:r w:rsidRPr="00033EF3">
        <w:t xml:space="preserve"> The </w:t>
      </w:r>
      <w:r w:rsidR="000257F0" w:rsidRPr="00033EF3">
        <w:t>meeting was chaired by</w:t>
      </w:r>
      <w:r w:rsidRPr="00033EF3">
        <w:t xml:space="preserve"> M</w:t>
      </w:r>
      <w:r w:rsidR="00E56FC3">
        <w:t>rs</w:t>
      </w:r>
      <w:r w:rsidRPr="00033EF3">
        <w:t xml:space="preserve">. </w:t>
      </w:r>
      <w:r w:rsidR="00926B76" w:rsidRPr="00A31B78">
        <w:t>I</w:t>
      </w:r>
      <w:r w:rsidR="00926B76">
        <w:t>.</w:t>
      </w:r>
      <w:r w:rsidR="00926B76" w:rsidRPr="00A31B78">
        <w:t xml:space="preserve"> Dettbarn </w:t>
      </w:r>
      <w:r w:rsidRPr="00033EF3">
        <w:t>(</w:t>
      </w:r>
      <w:r w:rsidR="00A31B78">
        <w:t>Germany</w:t>
      </w:r>
      <w:r w:rsidR="007008E1">
        <w:t>)</w:t>
      </w:r>
      <w:r w:rsidR="00E56FC3">
        <w:t>.</w:t>
      </w:r>
      <w:r w:rsidRPr="00033EF3">
        <w:t xml:space="preserve"> Representatives of the following United Nations Economic Commission for Europe (ECE) member States participated:</w:t>
      </w:r>
      <w:r w:rsidR="00970E03">
        <w:t xml:space="preserve"> </w:t>
      </w:r>
      <w:r w:rsidR="002C69E6">
        <w:t xml:space="preserve">Armenia, </w:t>
      </w:r>
      <w:r w:rsidR="00E56FC3">
        <w:t xml:space="preserve">Austria, </w:t>
      </w:r>
      <w:r w:rsidR="002C69E6" w:rsidRPr="002C69E6">
        <w:t>Azerbaijan</w:t>
      </w:r>
      <w:r w:rsidR="002C69E6">
        <w:t>,</w:t>
      </w:r>
      <w:r w:rsidR="002C69E6" w:rsidRPr="002C69E6">
        <w:t xml:space="preserve"> Belarus</w:t>
      </w:r>
      <w:r w:rsidR="002C69E6">
        <w:t>,</w:t>
      </w:r>
      <w:r w:rsidR="002C69E6" w:rsidRPr="002C69E6">
        <w:t xml:space="preserve"> Belgium</w:t>
      </w:r>
      <w:r w:rsidR="002C69E6">
        <w:t>,</w:t>
      </w:r>
      <w:r w:rsidR="002C69E6" w:rsidRPr="002C69E6">
        <w:t xml:space="preserve"> Croatia</w:t>
      </w:r>
      <w:r w:rsidR="002C69E6">
        <w:t>,</w:t>
      </w:r>
      <w:r w:rsidR="002C69E6" w:rsidRPr="002C69E6">
        <w:t xml:space="preserve"> Cyprus</w:t>
      </w:r>
      <w:r w:rsidR="002C69E6">
        <w:t xml:space="preserve">, </w:t>
      </w:r>
      <w:r w:rsidR="002C69E6" w:rsidRPr="002C69E6">
        <w:t>Georgia</w:t>
      </w:r>
      <w:r w:rsidR="002C69E6">
        <w:t>,</w:t>
      </w:r>
      <w:r w:rsidR="002C69E6" w:rsidRPr="002C69E6">
        <w:t xml:space="preserve"> </w:t>
      </w:r>
      <w:r w:rsidR="00E56FC3">
        <w:t>Germany, Greece,</w:t>
      </w:r>
      <w:r w:rsidR="002C69E6">
        <w:t xml:space="preserve"> Hungary,</w:t>
      </w:r>
      <w:r w:rsidR="00E56FC3">
        <w:t xml:space="preserve"> </w:t>
      </w:r>
      <w:r w:rsidR="00A31B78" w:rsidRPr="00A31B78">
        <w:t>Kazakhstan</w:t>
      </w:r>
      <w:r w:rsidR="00A31B78">
        <w:t>,</w:t>
      </w:r>
      <w:r w:rsidR="00E56FC3">
        <w:t xml:space="preserve"> </w:t>
      </w:r>
      <w:r w:rsidR="002C69E6">
        <w:t xml:space="preserve">Malta, </w:t>
      </w:r>
      <w:r w:rsidR="00E56FC3">
        <w:t>Poland,</w:t>
      </w:r>
      <w:r w:rsidR="00A31B78">
        <w:t xml:space="preserve"> </w:t>
      </w:r>
      <w:r w:rsidR="00A31B78" w:rsidRPr="00A31B78">
        <w:t>Republic of Moldova</w:t>
      </w:r>
      <w:r w:rsidR="00A31B78">
        <w:t>,</w:t>
      </w:r>
      <w:r w:rsidR="00E56FC3">
        <w:t xml:space="preserve"> Russian Federation, </w:t>
      </w:r>
      <w:r w:rsidR="002C69E6">
        <w:t xml:space="preserve">Serbia, </w:t>
      </w:r>
      <w:r w:rsidR="003D4D50">
        <w:t>Switzerland</w:t>
      </w:r>
      <w:r w:rsidR="008A3FAB">
        <w:t xml:space="preserve">, </w:t>
      </w:r>
      <w:r w:rsidR="002C69E6">
        <w:t>Tajikistan and Ukraine</w:t>
      </w:r>
      <w:r w:rsidR="00E56FC3">
        <w:t>.</w:t>
      </w:r>
      <w:r w:rsidR="0003350A">
        <w:t xml:space="preserve"> Representatives </w:t>
      </w:r>
      <w:r w:rsidR="007008E1">
        <w:t>of</w:t>
      </w:r>
      <w:r w:rsidR="0003350A">
        <w:t xml:space="preserve"> </w:t>
      </w:r>
      <w:r w:rsidR="002C69E6" w:rsidRPr="002C69E6">
        <w:t>Afghanistan</w:t>
      </w:r>
      <w:r w:rsidR="002C69E6">
        <w:t>,</w:t>
      </w:r>
      <w:r w:rsidR="002C69E6" w:rsidRPr="002C69E6">
        <w:t xml:space="preserve"> </w:t>
      </w:r>
      <w:r w:rsidR="0003350A">
        <w:t>China</w:t>
      </w:r>
      <w:r w:rsidR="002C69E6">
        <w:t xml:space="preserve">, </w:t>
      </w:r>
      <w:r w:rsidR="002C69E6" w:rsidRPr="002C69E6">
        <w:t>Iran (Islamic Republic of)</w:t>
      </w:r>
      <w:r w:rsidR="00FA7C10">
        <w:t xml:space="preserve"> and </w:t>
      </w:r>
      <w:r w:rsidR="002C69E6" w:rsidRPr="002C69E6">
        <w:t>Mongolia</w:t>
      </w:r>
      <w:r w:rsidR="0003350A">
        <w:t xml:space="preserve"> attended under Article 11</w:t>
      </w:r>
      <w:r w:rsidR="00CF3E18">
        <w:t xml:space="preserve"> </w:t>
      </w:r>
      <w:r w:rsidR="0003350A">
        <w:t>of the Terms of Reference of ECE. A representative of the</w:t>
      </w:r>
      <w:r w:rsidR="000A1AED">
        <w:t xml:space="preserve"> delegation of the </w:t>
      </w:r>
      <w:r w:rsidR="0003350A">
        <w:t>European Union was present.</w:t>
      </w:r>
    </w:p>
    <w:p w14:paraId="6100C37A" w14:textId="57390954" w:rsidR="00E60121" w:rsidRPr="008F347B" w:rsidRDefault="00E56FC3" w:rsidP="00D1040F">
      <w:pPr>
        <w:pStyle w:val="SingleTxtG"/>
      </w:pPr>
      <w:r>
        <w:t>2</w:t>
      </w:r>
      <w:r w:rsidR="00C36E78" w:rsidRPr="00033EF3">
        <w:t>.</w:t>
      </w:r>
      <w:r w:rsidR="00C36E78" w:rsidRPr="00033EF3">
        <w:tab/>
      </w:r>
      <w:r w:rsidR="00E60121" w:rsidRPr="00033EF3">
        <w:t>The following U</w:t>
      </w:r>
      <w:r w:rsidR="008F347B">
        <w:t xml:space="preserve">nited </w:t>
      </w:r>
      <w:r w:rsidR="00E60121" w:rsidRPr="008F347B">
        <w:t>N</w:t>
      </w:r>
      <w:r w:rsidR="008F347B">
        <w:t>ations</w:t>
      </w:r>
      <w:r w:rsidR="00E60121" w:rsidRPr="008F347B">
        <w:t xml:space="preserve"> </w:t>
      </w:r>
      <w:r w:rsidR="00982567">
        <w:t>o</w:t>
      </w:r>
      <w:r w:rsidR="00E60121" w:rsidRPr="008F347B">
        <w:t xml:space="preserve">rganizations and </w:t>
      </w:r>
      <w:r w:rsidR="00982567">
        <w:t>sp</w:t>
      </w:r>
      <w:r w:rsidR="00E60121" w:rsidRPr="008F347B">
        <w:t xml:space="preserve">ecialized </w:t>
      </w:r>
      <w:r w:rsidR="00982567">
        <w:t>a</w:t>
      </w:r>
      <w:r w:rsidR="00E60121" w:rsidRPr="008F347B">
        <w:t>gencies were represented:</w:t>
      </w:r>
      <w:r w:rsidR="00047505">
        <w:t xml:space="preserve"> </w:t>
      </w:r>
      <w:r w:rsidR="00E60121" w:rsidRPr="008F347B">
        <w:t xml:space="preserve">ECE </w:t>
      </w:r>
      <w:r w:rsidR="00F53DBE" w:rsidRPr="00F53DBE">
        <w:t>Trans-European Motorway</w:t>
      </w:r>
      <w:r w:rsidR="00F53DBE">
        <w:t xml:space="preserve"> (</w:t>
      </w:r>
      <w:r w:rsidR="00E60121" w:rsidRPr="008F347B">
        <w:t>TEM</w:t>
      </w:r>
      <w:r w:rsidR="00F53DBE">
        <w:t>)</w:t>
      </w:r>
      <w:r w:rsidR="00E60121" w:rsidRPr="008F347B">
        <w:t xml:space="preserve"> </w:t>
      </w:r>
      <w:r w:rsidR="008F347B">
        <w:t>and</w:t>
      </w:r>
      <w:r w:rsidR="00E60121" w:rsidRPr="008F347B">
        <w:t xml:space="preserve"> </w:t>
      </w:r>
      <w:r w:rsidR="00F53DBE">
        <w:t>Trans-European Railway (</w:t>
      </w:r>
      <w:r w:rsidR="00E60121" w:rsidRPr="008F347B">
        <w:t>TER</w:t>
      </w:r>
      <w:r w:rsidR="00F53DBE">
        <w:t>)</w:t>
      </w:r>
      <w:r w:rsidR="00E60121" w:rsidRPr="008F347B">
        <w:t xml:space="preserve"> Project</w:t>
      </w:r>
      <w:r w:rsidR="00FA7C10">
        <w:t>s</w:t>
      </w:r>
      <w:r w:rsidR="002C69E6">
        <w:t>, UNCTAD</w:t>
      </w:r>
      <w:r w:rsidR="00507BE5">
        <w:t xml:space="preserve"> and </w:t>
      </w:r>
      <w:r w:rsidR="00AD5944">
        <w:t>WMO</w:t>
      </w:r>
      <w:r w:rsidR="00E60121" w:rsidRPr="008F347B">
        <w:t xml:space="preserve">. </w:t>
      </w:r>
    </w:p>
    <w:p w14:paraId="7557F808" w14:textId="77777777" w:rsidR="004D2BC0" w:rsidRPr="008F347B" w:rsidRDefault="00E56FC3" w:rsidP="00D1040F">
      <w:pPr>
        <w:pStyle w:val="SingleTxtG"/>
      </w:pPr>
      <w:r>
        <w:t>3</w:t>
      </w:r>
      <w:r w:rsidR="00E60121" w:rsidRPr="008F347B">
        <w:t>.</w:t>
      </w:r>
      <w:r w:rsidR="008F347B">
        <w:tab/>
      </w:r>
      <w:r w:rsidR="004D2BC0" w:rsidRPr="008F347B">
        <w:t xml:space="preserve">The following intergovernmental organizations were represented: </w:t>
      </w:r>
      <w:r w:rsidR="00727002" w:rsidRPr="008F347B">
        <w:t>Centre for Transportation Studies for the Western Mediterranean (CETMO)</w:t>
      </w:r>
      <w:r w:rsidR="00AD5944">
        <w:t xml:space="preserve"> and the</w:t>
      </w:r>
      <w:r w:rsidR="00047505">
        <w:t xml:space="preserve"> </w:t>
      </w:r>
      <w:r w:rsidR="0003350A" w:rsidRPr="0003350A">
        <w:t>Organization of the Black Sea Economic Cooperation</w:t>
      </w:r>
      <w:r w:rsidR="0003350A">
        <w:t xml:space="preserve"> </w:t>
      </w:r>
      <w:r w:rsidR="005557B3">
        <w:t>(BSEC)</w:t>
      </w:r>
      <w:r w:rsidR="00047505">
        <w:t>.</w:t>
      </w:r>
    </w:p>
    <w:p w14:paraId="4AD34D82" w14:textId="73D7F09D" w:rsidR="004D2BC0" w:rsidRPr="00033EF3" w:rsidRDefault="00E56FC3" w:rsidP="00D1040F">
      <w:pPr>
        <w:pStyle w:val="SingleTxtG"/>
      </w:pPr>
      <w:r>
        <w:t>4</w:t>
      </w:r>
      <w:r w:rsidR="00C36E78" w:rsidRPr="00033EF3">
        <w:t>.</w:t>
      </w:r>
      <w:r w:rsidR="00C36E78" w:rsidRPr="00033EF3">
        <w:tab/>
      </w:r>
      <w:r w:rsidR="004D2BC0" w:rsidRPr="00033EF3">
        <w:t>The following non-governmental organizations were represented:</w:t>
      </w:r>
      <w:r w:rsidR="00AD5944" w:rsidRPr="00AD5944">
        <w:t xml:space="preserve"> </w:t>
      </w:r>
      <w:r w:rsidR="00266473" w:rsidRPr="00266473">
        <w:t>Coordinating Council on Trans-Siberian Transportation</w:t>
      </w:r>
      <w:r w:rsidR="00266473">
        <w:t xml:space="preserve"> (CCTT),</w:t>
      </w:r>
      <w:r w:rsidR="00266473" w:rsidRPr="00266473">
        <w:t xml:space="preserve"> </w:t>
      </w:r>
      <w:r w:rsidR="00AD5944" w:rsidRPr="00AD5944">
        <w:t>European Rail Infrastructure Managers (EIM)</w:t>
      </w:r>
      <w:r w:rsidR="00AD5944">
        <w:t xml:space="preserve">, </w:t>
      </w:r>
      <w:r w:rsidR="00AD5944" w:rsidRPr="00037BA0">
        <w:t>FERRMED</w:t>
      </w:r>
      <w:r w:rsidR="00AD5944" w:rsidRPr="001A1AAC">
        <w:t>,</w:t>
      </w:r>
      <w:r w:rsidR="00AD5944">
        <w:t xml:space="preserve"> </w:t>
      </w:r>
      <w:r w:rsidR="00AD5944" w:rsidRPr="00AD5944">
        <w:t>International Rail Transport Committee</w:t>
      </w:r>
      <w:r w:rsidR="00AD5944">
        <w:t xml:space="preserve"> (CIT</w:t>
      </w:r>
      <w:r w:rsidR="00CA67C7">
        <w:t>), International</w:t>
      </w:r>
      <w:r w:rsidR="004D2BC0" w:rsidRPr="00033EF3">
        <w:t xml:space="preserve"> Road Transport Union (IRU)</w:t>
      </w:r>
      <w:r w:rsidR="00AF4B34">
        <w:t xml:space="preserve"> </w:t>
      </w:r>
      <w:r w:rsidR="0003350A">
        <w:t xml:space="preserve">and the </w:t>
      </w:r>
      <w:r w:rsidR="00AF4B34" w:rsidRPr="00AF4B34">
        <w:t>International Union of Railways</w:t>
      </w:r>
      <w:r w:rsidR="00AF4B34">
        <w:t xml:space="preserve"> (UIC)</w:t>
      </w:r>
      <w:r w:rsidR="00C36E78" w:rsidRPr="00033EF3">
        <w:t>.</w:t>
      </w:r>
    </w:p>
    <w:p w14:paraId="27513EC8" w14:textId="5793C54C" w:rsidR="004D2BC0" w:rsidRPr="00033EF3" w:rsidRDefault="003D4D50" w:rsidP="003D4D50">
      <w:pPr>
        <w:pStyle w:val="SingleTxtG"/>
      </w:pPr>
      <w:r>
        <w:t>5</w:t>
      </w:r>
      <w:r w:rsidR="00C36E78" w:rsidRPr="00033EF3">
        <w:t>.</w:t>
      </w:r>
      <w:r w:rsidR="00C36E78" w:rsidRPr="00033EF3">
        <w:tab/>
      </w:r>
      <w:r w:rsidR="000257F0" w:rsidRPr="00033EF3">
        <w:t>T</w:t>
      </w:r>
      <w:r w:rsidR="004D2BC0" w:rsidRPr="00033EF3">
        <w:t>he following attended the meeting at the invitation of the secretariat:</w:t>
      </w:r>
      <w:r w:rsidR="00AF4B34" w:rsidRPr="00AF4B34">
        <w:t xml:space="preserve"> </w:t>
      </w:r>
      <w:bookmarkStart w:id="1" w:name="_Hlk532307723"/>
      <w:r w:rsidR="002978E0" w:rsidRPr="002978E0">
        <w:t>Anaklia Development Consortium, Democritus University of Thrace, Hellmann Worldwide Logistics GmbH &amp; Co KG, Hewlett Packard, Hupac Intermodal SA</w:t>
      </w:r>
      <w:r w:rsidR="00CB4EA7">
        <w:t xml:space="preserve"> (HISA) </w:t>
      </w:r>
      <w:r w:rsidR="002978E0" w:rsidRPr="002978E0">
        <w:t>, Infrastructure Economics Centre, Russian University of Transport, Interdisciplinary scientific and piratical Center for Identification Systems and e-Business, International Association of Logistics Business, Joint-stock company United Transport and Logistics Company – Eurasian Rail Alliance (JSC UTLC ERA), Rossada Innovative Solutions, Russian Railways (RZD), Scientific and Research Institute of Motor Transport (NIIAT), Scientific-Research and Design Institute of Moscow, Transcontainer Europe,University of the Aegean</w:t>
      </w:r>
      <w:bookmarkEnd w:id="1"/>
      <w:r w:rsidR="00266473">
        <w:t xml:space="preserve">. </w:t>
      </w:r>
    </w:p>
    <w:p w14:paraId="72E24E3A" w14:textId="77777777" w:rsidR="004D2BC0" w:rsidRPr="002B0043" w:rsidRDefault="00EA73EF">
      <w:pPr>
        <w:pStyle w:val="HChG"/>
      </w:pPr>
      <w:r w:rsidRPr="002B0043">
        <w:tab/>
      </w:r>
      <w:r w:rsidR="004D2BC0" w:rsidRPr="002B0043">
        <w:t>II.</w:t>
      </w:r>
      <w:r w:rsidR="004D2BC0" w:rsidRPr="002B0043">
        <w:tab/>
        <w:t>Adoption of the agenda (agenda item 1)</w:t>
      </w:r>
    </w:p>
    <w:p w14:paraId="6EE00386" w14:textId="77777777" w:rsidR="004D2BC0" w:rsidRPr="00033EF3" w:rsidRDefault="004D2BC0" w:rsidP="004D2BC0">
      <w:pPr>
        <w:pStyle w:val="SingleTxtG"/>
      </w:pPr>
      <w:r w:rsidRPr="00033EF3">
        <w:rPr>
          <w:bCs/>
          <w:i/>
          <w:iCs/>
        </w:rPr>
        <w:t>Documentation</w:t>
      </w:r>
      <w:r w:rsidRPr="00033EF3">
        <w:rPr>
          <w:bCs/>
        </w:rPr>
        <w:t xml:space="preserve">: </w:t>
      </w:r>
      <w:r w:rsidR="0003350A" w:rsidRPr="0003350A">
        <w:t>ECE/TRANS/WP.5/6</w:t>
      </w:r>
      <w:r w:rsidR="004C5FBE">
        <w:t>3</w:t>
      </w:r>
    </w:p>
    <w:p w14:paraId="22F420A5" w14:textId="77777777" w:rsidR="004D2BC0" w:rsidRPr="00033EF3" w:rsidRDefault="00002B64" w:rsidP="004D2BC0">
      <w:pPr>
        <w:pStyle w:val="SingleTxtG"/>
      </w:pPr>
      <w:r>
        <w:t>6</w:t>
      </w:r>
      <w:r w:rsidR="00EA73EF" w:rsidRPr="00033EF3">
        <w:t>.</w:t>
      </w:r>
      <w:r w:rsidR="00EA73EF" w:rsidRPr="00033EF3">
        <w:tab/>
      </w:r>
      <w:r w:rsidR="004D2BC0" w:rsidRPr="00033EF3">
        <w:rPr>
          <w:bCs/>
        </w:rPr>
        <w:t>The Working Party adopted the agenda</w:t>
      </w:r>
      <w:r w:rsidR="00032579">
        <w:rPr>
          <w:bCs/>
        </w:rPr>
        <w:t>.</w:t>
      </w:r>
    </w:p>
    <w:p w14:paraId="0A952240" w14:textId="6306D080" w:rsidR="00D207BD" w:rsidRPr="002B0043" w:rsidRDefault="00C15D24" w:rsidP="009D3677">
      <w:pPr>
        <w:pStyle w:val="HChG"/>
      </w:pPr>
      <w:r w:rsidRPr="002B0043">
        <w:tab/>
      </w:r>
      <w:r w:rsidR="00D207BD" w:rsidRPr="002B0043">
        <w:t>III.</w:t>
      </w:r>
      <w:r w:rsidR="00D207BD" w:rsidRPr="002B0043">
        <w:tab/>
      </w:r>
      <w:r w:rsidR="00AB1554" w:rsidRPr="00AB1554">
        <w:t xml:space="preserve">International Conference on </w:t>
      </w:r>
      <w:r w:rsidR="004B1C28" w:rsidRPr="002B0043">
        <w:t>“</w:t>
      </w:r>
      <w:bookmarkStart w:id="2" w:name="_Hlk525069544"/>
      <w:r w:rsidR="0039579B" w:rsidRPr="0039579B">
        <w:t>Making Euro-Asian Transport Corridors Operational</w:t>
      </w:r>
      <w:bookmarkEnd w:id="2"/>
      <w:r w:rsidR="004B1C28" w:rsidRPr="002B0043">
        <w:t xml:space="preserve">” </w:t>
      </w:r>
      <w:r w:rsidR="00D207BD" w:rsidRPr="002B0043">
        <w:t>(agenda item 2)</w:t>
      </w:r>
    </w:p>
    <w:p w14:paraId="164FAF98" w14:textId="77777777" w:rsidR="00D207BD" w:rsidRPr="00033EF3" w:rsidRDefault="00D207BD" w:rsidP="008037D1">
      <w:pPr>
        <w:pStyle w:val="SingleTxtG"/>
      </w:pPr>
      <w:r w:rsidRPr="00033EF3">
        <w:rPr>
          <w:bCs/>
          <w:i/>
          <w:iCs/>
        </w:rPr>
        <w:t>Documentation:</w:t>
      </w:r>
      <w:r w:rsidRPr="00033EF3">
        <w:t xml:space="preserve"> Informal document No. 1</w:t>
      </w:r>
    </w:p>
    <w:p w14:paraId="0A10127E" w14:textId="794C7D89" w:rsidR="00E727B6" w:rsidRDefault="00002B64" w:rsidP="00E727B6">
      <w:pPr>
        <w:pStyle w:val="SingleTxtG"/>
      </w:pPr>
      <w:r>
        <w:t>7</w:t>
      </w:r>
      <w:r w:rsidR="00D207BD" w:rsidRPr="00F62DBB">
        <w:t>.</w:t>
      </w:r>
      <w:r w:rsidR="00D207BD" w:rsidRPr="00F62DBB">
        <w:tab/>
      </w:r>
      <w:r w:rsidR="00E727B6">
        <w:t>This year`s international conference came as a follow</w:t>
      </w:r>
      <w:r w:rsidR="002978E0">
        <w:t>-</w:t>
      </w:r>
      <w:r w:rsidR="00E727B6">
        <w:t>up to the workshops organized by the Working Party during its twenty-eighth session (7–9 September 2015</w:t>
      </w:r>
      <w:r w:rsidR="002978E0">
        <w:t>,</w:t>
      </w:r>
      <w:r w:rsidR="002978E0" w:rsidRPr="002978E0">
        <w:t xml:space="preserve"> </w:t>
      </w:r>
      <w:r w:rsidR="002978E0">
        <w:t>Geneva</w:t>
      </w:r>
      <w:r w:rsidR="00E727B6">
        <w:t>) on “Road and Rail transport corridors along Europe and Asia” and during its thirtieth session (4–6 September 2017</w:t>
      </w:r>
      <w:r w:rsidR="002978E0">
        <w:t>,</w:t>
      </w:r>
      <w:r w:rsidR="002978E0" w:rsidRPr="002978E0">
        <w:t xml:space="preserve"> </w:t>
      </w:r>
      <w:r w:rsidR="002978E0">
        <w:t>Geneva</w:t>
      </w:r>
      <w:r w:rsidR="00E727B6">
        <w:t>) on “Transport Infrastructure Corridors along Europe and Asia” as well as to the finalization of phase III of the Euro-Asian Transport Links (EATL) Group of Experts.</w:t>
      </w:r>
    </w:p>
    <w:p w14:paraId="25A22F10" w14:textId="693A0CC5" w:rsidR="00140FFF" w:rsidRDefault="003B3F01" w:rsidP="00E727B6">
      <w:pPr>
        <w:pStyle w:val="SingleTxtG"/>
      </w:pPr>
      <w:r>
        <w:lastRenderedPageBreak/>
        <w:t>8.</w:t>
      </w:r>
      <w:r>
        <w:tab/>
      </w:r>
      <w:r w:rsidR="00E727B6">
        <w:t>The EATL Project, Phase I (2002–2007), Phase II (2008–2012) and Phase III (2013–2017) made transport between Europe and Asia a reality. The identification of routes, the prioritization of infrastructure investment projects, the development of a GIS database, the analysis of non-physical obstacles to transport, the comparison study between maritime and inland transport, the organization of a number of national capacity-building workshops on transport facilitation as well as the efforts to operationalize those corridors by preparing common time schedules and tariffs, have all helped to lay the foundation for an operational Euro-Asian transport network.</w:t>
      </w:r>
    </w:p>
    <w:p w14:paraId="59F430A2" w14:textId="1F54DEC3" w:rsidR="003B3F01" w:rsidRDefault="003B3F01" w:rsidP="00E727B6">
      <w:pPr>
        <w:pStyle w:val="SingleTxtG"/>
        <w:rPr>
          <w:color w:val="000000" w:themeColor="text1"/>
        </w:rPr>
      </w:pPr>
      <w:r w:rsidRPr="005514E0">
        <w:rPr>
          <w:color w:val="000000" w:themeColor="text1"/>
        </w:rPr>
        <w:t>9.</w:t>
      </w:r>
      <w:r w:rsidRPr="005514E0">
        <w:rPr>
          <w:color w:val="000000" w:themeColor="text1"/>
        </w:rPr>
        <w:tab/>
      </w:r>
      <w:r w:rsidR="005514E0" w:rsidRPr="005514E0">
        <w:rPr>
          <w:color w:val="000000" w:themeColor="text1"/>
        </w:rPr>
        <w:t>The</w:t>
      </w:r>
      <w:r w:rsidR="005514E0">
        <w:rPr>
          <w:color w:val="000000" w:themeColor="text1"/>
        </w:rPr>
        <w:t xml:space="preserve"> Executive Secretary of ECE</w:t>
      </w:r>
      <w:r w:rsidR="002978E0">
        <w:rPr>
          <w:color w:val="000000" w:themeColor="text1"/>
        </w:rPr>
        <w:t>,</w:t>
      </w:r>
      <w:r w:rsidR="005514E0">
        <w:rPr>
          <w:color w:val="000000" w:themeColor="text1"/>
        </w:rPr>
        <w:t xml:space="preserve"> Mrs. </w:t>
      </w:r>
      <w:r w:rsidR="005514E0" w:rsidRPr="002D1E90">
        <w:rPr>
          <w:color w:val="000000" w:themeColor="text1"/>
        </w:rPr>
        <w:t>Olga</w:t>
      </w:r>
      <w:r w:rsidR="005514E0">
        <w:rPr>
          <w:color w:val="000000" w:themeColor="text1"/>
        </w:rPr>
        <w:t xml:space="preserve"> Algayerova opened the session. She focused her speech on the need to establish efficient connectivity along the Euro-Asian transport corridors where all nodes of the transport corridors are interlinked by infrastructure and services which allow travel on all origin-destination connections within a reasonable range of time and without risk of major interruptions. </w:t>
      </w:r>
      <w:r w:rsidR="00F031E0">
        <w:rPr>
          <w:color w:val="000000" w:themeColor="text1"/>
        </w:rPr>
        <w:t xml:space="preserve">She stressed that more efforts and coordinated actions are required and that the work towards the operationalization of the Euro-Asian transport corridors should continue. The Director of </w:t>
      </w:r>
      <w:r w:rsidR="002978E0">
        <w:rPr>
          <w:color w:val="000000" w:themeColor="text1"/>
        </w:rPr>
        <w:t xml:space="preserve">the </w:t>
      </w:r>
      <w:r w:rsidR="00F031E0">
        <w:rPr>
          <w:color w:val="000000" w:themeColor="text1"/>
        </w:rPr>
        <w:t>Transport Division</w:t>
      </w:r>
      <w:r w:rsidR="002978E0">
        <w:rPr>
          <w:color w:val="000000" w:themeColor="text1"/>
        </w:rPr>
        <w:t>,</w:t>
      </w:r>
      <w:r w:rsidR="00F031E0">
        <w:rPr>
          <w:color w:val="000000" w:themeColor="text1"/>
        </w:rPr>
        <w:t xml:space="preserve"> Mr. </w:t>
      </w:r>
      <w:r w:rsidR="00F031E0" w:rsidRPr="002D1E90">
        <w:rPr>
          <w:color w:val="000000" w:themeColor="text1"/>
        </w:rPr>
        <w:t>Yuwei</w:t>
      </w:r>
      <w:r w:rsidR="00F031E0">
        <w:rPr>
          <w:color w:val="000000" w:themeColor="text1"/>
        </w:rPr>
        <w:t xml:space="preserve"> Li pointed out that focus should be on efficient operations. Trains might run along the corridors but </w:t>
      </w:r>
      <w:r w:rsidR="00FA7C10">
        <w:rPr>
          <w:color w:val="000000" w:themeColor="text1"/>
        </w:rPr>
        <w:t xml:space="preserve">the question is </w:t>
      </w:r>
      <w:r w:rsidR="00F031E0">
        <w:rPr>
          <w:color w:val="000000" w:themeColor="text1"/>
        </w:rPr>
        <w:t>under which conditions, time schedules and costs. The work towards the efficient operations of Euro-Asian transport corridors should continue</w:t>
      </w:r>
      <w:r w:rsidR="002978E0">
        <w:rPr>
          <w:color w:val="000000" w:themeColor="text1"/>
        </w:rPr>
        <w:t>,</w:t>
      </w:r>
      <w:r w:rsidR="00F031E0">
        <w:rPr>
          <w:color w:val="000000" w:themeColor="text1"/>
        </w:rPr>
        <w:t xml:space="preserve"> however</w:t>
      </w:r>
      <w:r w:rsidR="002978E0">
        <w:rPr>
          <w:color w:val="000000" w:themeColor="text1"/>
        </w:rPr>
        <w:t>,</w:t>
      </w:r>
      <w:r w:rsidR="00F031E0">
        <w:rPr>
          <w:color w:val="000000" w:themeColor="text1"/>
        </w:rPr>
        <w:t xml:space="preserve"> has to be done by using an already well-established platform such as </w:t>
      </w:r>
      <w:r w:rsidR="002978E0">
        <w:rPr>
          <w:color w:val="000000" w:themeColor="text1"/>
        </w:rPr>
        <w:t>WP.5</w:t>
      </w:r>
      <w:r w:rsidR="00F031E0">
        <w:rPr>
          <w:color w:val="000000" w:themeColor="text1"/>
        </w:rPr>
        <w:t xml:space="preserve">. </w:t>
      </w:r>
    </w:p>
    <w:p w14:paraId="07FA9D0F" w14:textId="16DE13D9" w:rsidR="00F031E0" w:rsidRPr="005514E0" w:rsidRDefault="00F031E0" w:rsidP="00E727B6">
      <w:pPr>
        <w:pStyle w:val="SingleTxtG"/>
        <w:rPr>
          <w:color w:val="000000" w:themeColor="text1"/>
        </w:rPr>
      </w:pPr>
      <w:r>
        <w:rPr>
          <w:color w:val="000000" w:themeColor="text1"/>
        </w:rPr>
        <w:t>10.</w:t>
      </w:r>
      <w:r>
        <w:rPr>
          <w:color w:val="000000" w:themeColor="text1"/>
        </w:rPr>
        <w:tab/>
        <w:t xml:space="preserve">The conclusions and recommendations of the conference can be found </w:t>
      </w:r>
      <w:r w:rsidR="002978E0">
        <w:rPr>
          <w:color w:val="000000" w:themeColor="text1"/>
        </w:rPr>
        <w:t>in</w:t>
      </w:r>
      <w:r>
        <w:rPr>
          <w:color w:val="000000" w:themeColor="text1"/>
        </w:rPr>
        <w:t xml:space="preserve"> annex of this report. </w:t>
      </w:r>
    </w:p>
    <w:p w14:paraId="3467F2A3" w14:textId="4989AF34" w:rsidR="00B2102E" w:rsidRPr="002B0043" w:rsidRDefault="00422A28">
      <w:pPr>
        <w:pStyle w:val="HChG"/>
      </w:pPr>
      <w:r w:rsidRPr="002B0043">
        <w:tab/>
        <w:t>IV.</w:t>
      </w:r>
      <w:r w:rsidRPr="002B0043">
        <w:tab/>
      </w:r>
      <w:r w:rsidR="004B1C28" w:rsidRPr="002B0043">
        <w:t xml:space="preserve">Workshop </w:t>
      </w:r>
      <w:r w:rsidR="00B119B2" w:rsidRPr="00B119B2">
        <w:t xml:space="preserve">and study </w:t>
      </w:r>
      <w:r w:rsidR="004B1C28" w:rsidRPr="002B0043">
        <w:t>on “</w:t>
      </w:r>
      <w:r w:rsidR="0039579B" w:rsidRPr="0039579B">
        <w:t>Integrated Transport and Urban Development including environmental, health and quality of life perspective</w:t>
      </w:r>
      <w:r w:rsidR="004B1C28" w:rsidRPr="002B0043">
        <w:t>”</w:t>
      </w:r>
      <w:r w:rsidR="00B61241" w:rsidRPr="002B0043">
        <w:t xml:space="preserve"> </w:t>
      </w:r>
      <w:r w:rsidR="008B3325" w:rsidRPr="002B0043">
        <w:t>(agenda item 3)</w:t>
      </w:r>
    </w:p>
    <w:p w14:paraId="12D414CF" w14:textId="77777777" w:rsidR="009C03BE" w:rsidRPr="0091519F" w:rsidRDefault="009C03BE" w:rsidP="009C03BE">
      <w:pPr>
        <w:pStyle w:val="SingleTxtG"/>
        <w:widowControl w:val="0"/>
      </w:pPr>
      <w:r w:rsidRPr="00033EF3">
        <w:rPr>
          <w:bCs/>
          <w:i/>
          <w:iCs/>
        </w:rPr>
        <w:t>Documentation</w:t>
      </w:r>
      <w:r w:rsidRPr="00033EF3">
        <w:rPr>
          <w:bCs/>
        </w:rPr>
        <w:t xml:space="preserve">: </w:t>
      </w:r>
      <w:r w:rsidRPr="0091519F">
        <w:t>Informal document No. 2</w:t>
      </w:r>
    </w:p>
    <w:p w14:paraId="6D2F0883" w14:textId="60AC37F5" w:rsidR="0068048D" w:rsidRDefault="00624AE0" w:rsidP="00624AE0">
      <w:pPr>
        <w:pStyle w:val="SingleTxtG"/>
      </w:pPr>
      <w:r w:rsidRPr="00624AE0">
        <w:t>1</w:t>
      </w:r>
      <w:r w:rsidR="00C76913">
        <w:t>1</w:t>
      </w:r>
      <w:r w:rsidR="008603DB" w:rsidRPr="00624AE0">
        <w:t>.</w:t>
      </w:r>
      <w:r w:rsidR="008603DB" w:rsidRPr="00624AE0">
        <w:tab/>
      </w:r>
      <w:r>
        <w:t>At its fifteenth session, the Pan-European Programme on Transport, Health and Environment (THE PEP) Steering Committee (6–8 November 2017</w:t>
      </w:r>
      <w:r w:rsidR="002978E0">
        <w:t>, Geneva</w:t>
      </w:r>
      <w:r>
        <w:t xml:space="preserve">) proposed the development of a manual on current practices and solutions in the field of sustainable transport and urban planning, to be launched and potentially adopted at the Fifth High-level Meeting in Vienna, in autumn 2019. At the same time, THE PEP secretariat presented a proposal for a publication on case studies and good practices on integrating transport and land-use planning in cities. The Steering Committee welcomed both proposals. </w:t>
      </w:r>
    </w:p>
    <w:p w14:paraId="40667616" w14:textId="712FA2DA" w:rsidR="00624AE0" w:rsidRDefault="0068048D" w:rsidP="0068048D">
      <w:pPr>
        <w:pStyle w:val="SingleTxtG"/>
      </w:pPr>
      <w:r>
        <w:t>1</w:t>
      </w:r>
      <w:r w:rsidR="00C76913">
        <w:t>2</w:t>
      </w:r>
      <w:r>
        <w:t>.</w:t>
      </w:r>
      <w:r>
        <w:tab/>
        <w:t>Based on those proposals, a</w:t>
      </w:r>
      <w:r w:rsidR="00624AE0">
        <w:t xml:space="preserve"> project was initiated</w:t>
      </w:r>
      <w:r>
        <w:t>,</w:t>
      </w:r>
      <w:r w:rsidR="00624AE0">
        <w:t xml:space="preserve"> funded by </w:t>
      </w:r>
      <w:r w:rsidR="005623EF">
        <w:t xml:space="preserve">the </w:t>
      </w:r>
      <w:r w:rsidR="00624AE0">
        <w:t>Russian Federation</w:t>
      </w:r>
      <w:r>
        <w:t>,</w:t>
      </w:r>
      <w:r w:rsidR="00624AE0">
        <w:t xml:space="preserve"> with the overall objective </w:t>
      </w:r>
      <w:r w:rsidR="002978E0">
        <w:t xml:space="preserve">of </w:t>
      </w:r>
      <w:r>
        <w:t>prepar</w:t>
      </w:r>
      <w:r w:rsidR="002978E0">
        <w:t>ing</w:t>
      </w:r>
      <w:r>
        <w:t xml:space="preserve"> a handbook that </w:t>
      </w:r>
      <w:r w:rsidR="00624AE0">
        <w:t>improve</w:t>
      </w:r>
      <w:r>
        <w:t>s</w:t>
      </w:r>
      <w:r w:rsidR="00624AE0">
        <w:t xml:space="preserve"> knowledge of the ECE member States on integrated transport and urban development including environmental, health and a quality of life perspective. The Inland Transport Committee during its eightieth session in Geneva, 20–23 February 2018 (ECE/TRANS/274, para. 33) requested WP.5 as the analytical body of the Sustainable Transport Division to undertake this study in close cooperation with THE PEP. </w:t>
      </w:r>
    </w:p>
    <w:p w14:paraId="35CD046E" w14:textId="34D48CBA" w:rsidR="00624AE0" w:rsidRDefault="0068048D" w:rsidP="00624AE0">
      <w:pPr>
        <w:pStyle w:val="SingleTxtG"/>
      </w:pPr>
      <w:r>
        <w:t>1</w:t>
      </w:r>
      <w:r w:rsidR="00C76913">
        <w:t>3</w:t>
      </w:r>
      <w:r>
        <w:t>.</w:t>
      </w:r>
      <w:r>
        <w:tab/>
      </w:r>
      <w:r w:rsidR="00624AE0">
        <w:t>The main objectives of the project are</w:t>
      </w:r>
      <w:r w:rsidR="006277EC">
        <w:t xml:space="preserve"> to</w:t>
      </w:r>
      <w:r w:rsidR="00624AE0">
        <w:t>:</w:t>
      </w:r>
    </w:p>
    <w:p w14:paraId="152FD305" w14:textId="77777777" w:rsidR="00624AE0" w:rsidRDefault="00624AE0" w:rsidP="001C7F0A">
      <w:pPr>
        <w:pStyle w:val="SingleTxtG"/>
        <w:ind w:firstLine="567"/>
      </w:pPr>
      <w:r>
        <w:t>(a)</w:t>
      </w:r>
      <w:r>
        <w:tab/>
        <w:t xml:space="preserve">support the development of integrated transport and urban development and land use policies that take into account environmental and health issues and quality of life; </w:t>
      </w:r>
    </w:p>
    <w:p w14:paraId="66BF1F3C" w14:textId="4B876FAB" w:rsidR="00624AE0" w:rsidRDefault="00624AE0" w:rsidP="001C7F0A">
      <w:pPr>
        <w:pStyle w:val="SingleTxtG"/>
        <w:ind w:firstLine="567"/>
      </w:pPr>
      <w:r>
        <w:t>(b)</w:t>
      </w:r>
      <w:r>
        <w:tab/>
        <w:t xml:space="preserve">raise awareness among policymakers at national level of the relevance and benefits of promoting national policies that support local action towards integrated transport and urban planning, and providing them with inspiring examples of practices; </w:t>
      </w:r>
    </w:p>
    <w:p w14:paraId="4D1E3862" w14:textId="25D3D14F" w:rsidR="00624AE0" w:rsidRDefault="00624AE0" w:rsidP="001C7F0A">
      <w:pPr>
        <w:pStyle w:val="SingleTxtG"/>
        <w:ind w:firstLine="567"/>
      </w:pPr>
      <w:r>
        <w:lastRenderedPageBreak/>
        <w:t>(c)</w:t>
      </w:r>
      <w:r>
        <w:tab/>
        <w:t xml:space="preserve">raise </w:t>
      </w:r>
      <w:r w:rsidR="006277EC">
        <w:t xml:space="preserve">international </w:t>
      </w:r>
      <w:r>
        <w:t>awareness of the importance of linking sustainable transport policies into urban planning, to achieve multiple targets of the 2030 Agenda.</w:t>
      </w:r>
    </w:p>
    <w:p w14:paraId="1B65DD8C" w14:textId="53DC40FD" w:rsidR="0091519F" w:rsidRPr="00624AE0" w:rsidRDefault="0068048D" w:rsidP="00624AE0">
      <w:pPr>
        <w:pStyle w:val="SingleTxtG"/>
      </w:pPr>
      <w:r>
        <w:t>1</w:t>
      </w:r>
      <w:r w:rsidR="00C76913">
        <w:t>4</w:t>
      </w:r>
      <w:r>
        <w:t>.</w:t>
      </w:r>
      <w:r>
        <w:tab/>
      </w:r>
      <w:r w:rsidR="00624AE0">
        <w:t>Th</w:t>
      </w:r>
      <w:r>
        <w:t>e</w:t>
      </w:r>
      <w:r w:rsidR="00624AE0">
        <w:t xml:space="preserve"> </w:t>
      </w:r>
      <w:r>
        <w:t>w</w:t>
      </w:r>
      <w:r w:rsidR="00624AE0">
        <w:t>orkshop organized in order for the member States to brainstorm on this topic as well as discuss and suggest proposals on how better prepare the above-mentioned publication on case studies and good practices. The program</w:t>
      </w:r>
      <w:r w:rsidR="006277EC">
        <w:t>me</w:t>
      </w:r>
      <w:r w:rsidR="00624AE0">
        <w:t xml:space="preserve"> of the Workshop can be found in informal document No.2.</w:t>
      </w:r>
    </w:p>
    <w:p w14:paraId="2DF10473" w14:textId="77777777" w:rsidR="00BA2FF6" w:rsidRPr="00624AE0" w:rsidRDefault="003D6794" w:rsidP="00946867">
      <w:pPr>
        <w:pStyle w:val="SingleTxtG"/>
      </w:pPr>
      <w:r w:rsidRPr="00624AE0">
        <w:t>1</w:t>
      </w:r>
      <w:r w:rsidR="00C76913">
        <w:t>5</w:t>
      </w:r>
      <w:r w:rsidRPr="00624AE0">
        <w:t>.</w:t>
      </w:r>
      <w:r w:rsidR="00BA2FF6" w:rsidRPr="00624AE0">
        <w:tab/>
        <w:t>The participants during the workshop:</w:t>
      </w:r>
    </w:p>
    <w:p w14:paraId="12447949" w14:textId="4A11838A" w:rsidR="00274A1B" w:rsidRDefault="003E6C6E" w:rsidP="00274A1B">
      <w:pPr>
        <w:pStyle w:val="SingleTxtG"/>
        <w:ind w:firstLine="567"/>
      </w:pPr>
      <w:r w:rsidRPr="00624AE0">
        <w:t>(a)</w:t>
      </w:r>
      <w:r w:rsidRPr="00624AE0">
        <w:tab/>
      </w:r>
      <w:r w:rsidR="00067B92" w:rsidRPr="00624AE0">
        <w:t xml:space="preserve">Noted that </w:t>
      </w:r>
      <w:r w:rsidR="00654F90">
        <w:t xml:space="preserve">urbanization </w:t>
      </w:r>
      <w:r w:rsidR="00F06CAB">
        <w:t>and rapid growth of urban population and urban territories lead to significant growth in transport demand</w:t>
      </w:r>
      <w:r w:rsidR="00274A1B">
        <w:t xml:space="preserve"> therefore </w:t>
      </w:r>
      <w:r w:rsidR="00FA7C10">
        <w:t xml:space="preserve">there is a </w:t>
      </w:r>
      <w:r w:rsidR="00274A1B">
        <w:t>need to link this demand with capacity of transport system</w:t>
      </w:r>
      <w:r w:rsidR="00FA7C10">
        <w:t xml:space="preserve">s </w:t>
      </w:r>
      <w:r w:rsidR="00274A1B">
        <w:t xml:space="preserve">and ensure its compliance with high standards of transport services quality (and, generally, quality </w:t>
      </w:r>
      <w:r w:rsidR="00053097">
        <w:t>of life</w:t>
      </w:r>
      <w:r w:rsidR="00274A1B">
        <w:t>!) by mobility management instruments;</w:t>
      </w:r>
    </w:p>
    <w:p w14:paraId="67EDA043" w14:textId="1CF015AF" w:rsidR="0068048D" w:rsidRDefault="00274A1B" w:rsidP="00274A1B">
      <w:pPr>
        <w:pStyle w:val="SingleTxtG"/>
        <w:ind w:firstLine="567"/>
      </w:pPr>
      <w:r>
        <w:t>(b)</w:t>
      </w:r>
      <w:r>
        <w:tab/>
        <w:t xml:space="preserve">Noted that </w:t>
      </w:r>
      <w:r w:rsidR="00FA7C10">
        <w:t>d</w:t>
      </w:r>
      <w:r>
        <w:t>evelopment of transport infrastructure and ensuring of new capacity of transport transit systems may lead to</w:t>
      </w:r>
      <w:r w:rsidR="00FA7C10">
        <w:t xml:space="preserve"> the</w:t>
      </w:r>
      <w:r>
        <w:t xml:space="preserve"> generation of a new (additional) transport demand (in particular, by rise of territories attraction for housing) therefore we need effective legal instruments to regulate housing and especially activity of developers;</w:t>
      </w:r>
    </w:p>
    <w:p w14:paraId="222A13C4" w14:textId="62469DF8" w:rsidR="00274A1B" w:rsidRDefault="00274A1B" w:rsidP="00274A1B">
      <w:pPr>
        <w:pStyle w:val="SingleTxtG"/>
        <w:ind w:firstLine="567"/>
      </w:pPr>
      <w:r>
        <w:t>(c)</w:t>
      </w:r>
      <w:r>
        <w:tab/>
      </w:r>
      <w:r w:rsidR="00053097">
        <w:t xml:space="preserve">Recalled the </w:t>
      </w:r>
      <w:r w:rsidR="00053097" w:rsidRPr="00053097">
        <w:t>vicious</w:t>
      </w:r>
      <w:r w:rsidR="00053097">
        <w:t xml:space="preserve"> circle of “induced mobility”: road building </w:t>
      </w:r>
      <w:r w:rsidR="00A673C7">
        <w:t xml:space="preserve">— </w:t>
      </w:r>
      <w:r w:rsidR="00053097">
        <w:t xml:space="preserve">increase of road network capacity </w:t>
      </w:r>
      <w:r w:rsidR="00A673C7">
        <w:t>—</w:t>
      </w:r>
      <w:r w:rsidR="00053097">
        <w:t xml:space="preserve"> improvement of traffic conditions </w:t>
      </w:r>
      <w:r w:rsidR="00A673C7">
        <w:t>—</w:t>
      </w:r>
      <w:r w:rsidR="00053097">
        <w:t xml:space="preserve"> rise of car use </w:t>
      </w:r>
      <w:r w:rsidR="00A673C7">
        <w:t>—</w:t>
      </w:r>
      <w:r w:rsidR="00053097">
        <w:t xml:space="preserve"> increase of car trips </w:t>
      </w:r>
      <w:r w:rsidR="00A673C7">
        <w:t>—</w:t>
      </w:r>
      <w:r w:rsidR="00053097">
        <w:t xml:space="preserve"> increase of congestion; </w:t>
      </w:r>
    </w:p>
    <w:p w14:paraId="43450F7C" w14:textId="77777777" w:rsidR="00DF436C" w:rsidRDefault="00053097" w:rsidP="007361DD">
      <w:pPr>
        <w:pStyle w:val="SingleTxtG"/>
        <w:ind w:firstLine="567"/>
      </w:pPr>
      <w:r>
        <w:t>(d)</w:t>
      </w:r>
      <w:r>
        <w:tab/>
      </w:r>
      <w:r w:rsidR="00DF436C">
        <w:t xml:space="preserve">Recalled that sustainable urban mobility planning </w:t>
      </w:r>
      <w:r w:rsidR="007361DD">
        <w:t>should:</w:t>
      </w:r>
    </w:p>
    <w:p w14:paraId="4B6FD440" w14:textId="0A0EBE3B" w:rsidR="007361DD" w:rsidRPr="00B9500F" w:rsidRDefault="00B9500F" w:rsidP="001C7F0A">
      <w:pPr>
        <w:pStyle w:val="SingleTxtG"/>
        <w:ind w:left="1701"/>
      </w:pPr>
      <w:r w:rsidRPr="00B9500F">
        <w:t>(i)</w:t>
      </w:r>
      <w:r w:rsidRPr="00B9500F">
        <w:tab/>
      </w:r>
      <w:r w:rsidR="00DF436C" w:rsidRPr="00B9500F">
        <w:t>focus on people</w:t>
      </w:r>
      <w:r w:rsidR="007361DD" w:rsidRPr="00B9500F">
        <w:t xml:space="preserve">; </w:t>
      </w:r>
    </w:p>
    <w:p w14:paraId="1C2E6AAD" w14:textId="1F36A59C" w:rsidR="007361DD" w:rsidRPr="00B9500F" w:rsidRDefault="00B9500F" w:rsidP="001C7F0A">
      <w:pPr>
        <w:pStyle w:val="SingleTxtG"/>
        <w:ind w:left="1701"/>
      </w:pPr>
      <w:r w:rsidRPr="00B9500F">
        <w:t>(ii)</w:t>
      </w:r>
      <w:r w:rsidRPr="00B9500F">
        <w:tab/>
      </w:r>
      <w:r w:rsidR="007361DD" w:rsidRPr="00B9500F">
        <w:t xml:space="preserve">have as </w:t>
      </w:r>
      <w:r w:rsidR="00DF436C" w:rsidRPr="00B9500F">
        <w:t xml:space="preserve">objectives: accessibility and quality </w:t>
      </w:r>
      <w:r w:rsidR="007361DD" w:rsidRPr="00B9500F">
        <w:t>of life</w:t>
      </w:r>
      <w:r w:rsidR="00DF436C" w:rsidRPr="00B9500F">
        <w:t xml:space="preserve"> as well as sustainability, economic viability, social equity, health and environmental quality</w:t>
      </w:r>
      <w:r w:rsidR="007361DD" w:rsidRPr="00B9500F">
        <w:t xml:space="preserve">; </w:t>
      </w:r>
    </w:p>
    <w:p w14:paraId="3BBF3701" w14:textId="54F74119" w:rsidR="007361DD" w:rsidRPr="00B9500F" w:rsidRDefault="00B9500F" w:rsidP="001C7F0A">
      <w:pPr>
        <w:pStyle w:val="SingleTxtG"/>
        <w:ind w:left="1701"/>
      </w:pPr>
      <w:r w:rsidRPr="00B9500F">
        <w:t>(iii)</w:t>
      </w:r>
      <w:r w:rsidRPr="00B9500F">
        <w:tab/>
      </w:r>
      <w:r w:rsidR="00DF436C" w:rsidRPr="00B9500F">
        <w:t xml:space="preserve">balance development </w:t>
      </w:r>
      <w:r w:rsidR="007361DD" w:rsidRPr="00B9500F">
        <w:t>of all</w:t>
      </w:r>
      <w:r w:rsidR="00DF436C" w:rsidRPr="00B9500F">
        <w:t xml:space="preserve"> relevant transport modes and shift towards cleaner and more sustainable transport modes (pedestrians, cyclists, </w:t>
      </w:r>
      <w:r w:rsidR="007361DD" w:rsidRPr="00B9500F">
        <w:t>public transport</w:t>
      </w:r>
      <w:r w:rsidR="00DF436C" w:rsidRPr="00B9500F">
        <w:t>, urban rail)</w:t>
      </w:r>
      <w:r w:rsidR="007361DD" w:rsidRPr="00B9500F">
        <w:t xml:space="preserve">; </w:t>
      </w:r>
    </w:p>
    <w:p w14:paraId="31ADF822" w14:textId="63E668EF" w:rsidR="007361DD" w:rsidRPr="00B9500F" w:rsidRDefault="00B9500F" w:rsidP="001C7F0A">
      <w:pPr>
        <w:pStyle w:val="SingleTxtG"/>
        <w:ind w:left="1701"/>
      </w:pPr>
      <w:r w:rsidRPr="00B9500F">
        <w:t>(iv)</w:t>
      </w:r>
      <w:r w:rsidRPr="00B9500F">
        <w:tab/>
      </w:r>
      <w:r w:rsidR="00DF436C" w:rsidRPr="00B9500F">
        <w:t xml:space="preserve">integrate set </w:t>
      </w:r>
      <w:r w:rsidR="007361DD" w:rsidRPr="00B9500F">
        <w:t>of actions</w:t>
      </w:r>
      <w:r w:rsidR="00DF436C" w:rsidRPr="00B9500F">
        <w:t xml:space="preserve"> to achieve</w:t>
      </w:r>
      <w:r w:rsidR="007361DD" w:rsidRPr="00B9500F">
        <w:t xml:space="preserve"> </w:t>
      </w:r>
      <w:r w:rsidR="00DF436C" w:rsidRPr="00B9500F">
        <w:t>cost-effective solutions</w:t>
      </w:r>
      <w:r w:rsidR="007361DD" w:rsidRPr="00B9500F">
        <w:t xml:space="preserve">; </w:t>
      </w:r>
    </w:p>
    <w:p w14:paraId="7A14F0DD" w14:textId="19548553" w:rsidR="007361DD" w:rsidRPr="00B9500F" w:rsidRDefault="00B9500F" w:rsidP="001C7F0A">
      <w:pPr>
        <w:pStyle w:val="SingleTxtG"/>
        <w:ind w:left="1701"/>
      </w:pPr>
      <w:r w:rsidRPr="00B9500F">
        <w:t>(v)</w:t>
      </w:r>
      <w:r w:rsidRPr="00B9500F">
        <w:tab/>
      </w:r>
      <w:r w:rsidR="007361DD" w:rsidRPr="00B9500F">
        <w:t xml:space="preserve">be based on </w:t>
      </w:r>
      <w:r w:rsidR="00DF436C" w:rsidRPr="00B9500F">
        <w:t>cross-sectoral</w:t>
      </w:r>
      <w:r w:rsidR="007361DD" w:rsidRPr="00B9500F">
        <w:t xml:space="preserve"> </w:t>
      </w:r>
      <w:r w:rsidR="00DF436C" w:rsidRPr="00B9500F">
        <w:t xml:space="preserve">planning </w:t>
      </w:r>
      <w:r w:rsidR="007361DD" w:rsidRPr="00B9500F">
        <w:t>tools</w:t>
      </w:r>
      <w:r w:rsidR="00DF436C" w:rsidRPr="00B9500F">
        <w:t xml:space="preserve"> (land use and spatial planning, transportation, social services, health, environment and so on)</w:t>
      </w:r>
      <w:r w:rsidR="007361DD" w:rsidRPr="00B9500F">
        <w:t xml:space="preserve">; </w:t>
      </w:r>
    </w:p>
    <w:p w14:paraId="10693730" w14:textId="4A271A6B" w:rsidR="00053097" w:rsidRPr="00B9500F" w:rsidRDefault="00B9500F" w:rsidP="001C7F0A">
      <w:pPr>
        <w:pStyle w:val="SingleTxtG"/>
        <w:ind w:left="1701"/>
      </w:pPr>
      <w:r w:rsidRPr="00B9500F">
        <w:t>(vi)</w:t>
      </w:r>
      <w:r w:rsidRPr="00B9500F">
        <w:tab/>
      </w:r>
      <w:r w:rsidR="007361DD" w:rsidRPr="00B9500F">
        <w:t xml:space="preserve">be </w:t>
      </w:r>
      <w:r w:rsidR="00DF436C" w:rsidRPr="00B9500F">
        <w:t>develop</w:t>
      </w:r>
      <w:r w:rsidR="007361DD" w:rsidRPr="00B9500F">
        <w:t>ed</w:t>
      </w:r>
      <w:r w:rsidR="00DF436C" w:rsidRPr="00B9500F">
        <w:t xml:space="preserve"> by interdisciplinary planning team</w:t>
      </w:r>
      <w:r w:rsidR="007361DD" w:rsidRPr="00B9500F">
        <w:t>s</w:t>
      </w:r>
      <w:r w:rsidRPr="00B9500F">
        <w:t>.</w:t>
      </w:r>
    </w:p>
    <w:p w14:paraId="2F76EB4E" w14:textId="592D6737" w:rsidR="007361DD" w:rsidRDefault="007361DD" w:rsidP="001C7F0A">
      <w:pPr>
        <w:pStyle w:val="SingleTxtG"/>
        <w:ind w:firstLine="567"/>
      </w:pPr>
      <w:r>
        <w:t>(e)</w:t>
      </w:r>
      <w:r>
        <w:tab/>
      </w:r>
      <w:r w:rsidR="00DD2197">
        <w:t xml:space="preserve">Agreed that cities are different (different budgets, resources, assets, infrastructure, challenges, </w:t>
      </w:r>
      <w:r w:rsidR="00053395">
        <w:t>stakeholders’</w:t>
      </w:r>
      <w:r w:rsidR="00DD2197">
        <w:t xml:space="preserve"> engagement, mentality, culture and history, climate and land scape) therefore there is no one solution that fits to all cities; </w:t>
      </w:r>
    </w:p>
    <w:p w14:paraId="002DD207" w14:textId="5A8B753A" w:rsidR="00052C86" w:rsidRDefault="00B73765" w:rsidP="001C7F0A">
      <w:pPr>
        <w:pStyle w:val="SingleTxtG"/>
        <w:ind w:firstLine="567"/>
      </w:pPr>
      <w:r>
        <w:t>(f)</w:t>
      </w:r>
      <w:r>
        <w:tab/>
      </w:r>
      <w:r w:rsidR="00052C86" w:rsidRPr="00B9500F">
        <w:t>Agreed</w:t>
      </w:r>
      <w:r w:rsidR="00052C86">
        <w:t xml:space="preserve"> that integration of spatial planning and mobility planning is required to:</w:t>
      </w:r>
    </w:p>
    <w:p w14:paraId="78DEFCFA" w14:textId="331D1520" w:rsidR="00052C86" w:rsidRPr="00B9500F" w:rsidRDefault="00B9500F" w:rsidP="001C7F0A">
      <w:pPr>
        <w:pStyle w:val="SingleTxtG"/>
        <w:ind w:left="1701"/>
      </w:pPr>
      <w:r w:rsidRPr="00B9500F">
        <w:t>(i)</w:t>
      </w:r>
      <w:r w:rsidRPr="00B9500F">
        <w:tab/>
      </w:r>
      <w:r w:rsidR="00052C86" w:rsidRPr="00B9500F">
        <w:t xml:space="preserve">optimize planning procedures of </w:t>
      </w:r>
      <w:r w:rsidR="006277EC">
        <w:t>t</w:t>
      </w:r>
      <w:r w:rsidR="006277EC" w:rsidRPr="00B9500F">
        <w:t xml:space="preserve">ransport </w:t>
      </w:r>
      <w:r w:rsidR="00052C86" w:rsidRPr="00B9500F">
        <w:t xml:space="preserve">plus spatial development; </w:t>
      </w:r>
    </w:p>
    <w:p w14:paraId="1D9C09FF" w14:textId="71028F91" w:rsidR="00052C86" w:rsidRPr="00B9500F" w:rsidRDefault="00B9500F" w:rsidP="001C7F0A">
      <w:pPr>
        <w:pStyle w:val="SingleTxtG"/>
        <w:ind w:left="1701"/>
      </w:pPr>
      <w:r w:rsidRPr="00B9500F">
        <w:t>(ii)</w:t>
      </w:r>
      <w:r w:rsidRPr="00B9500F">
        <w:tab/>
      </w:r>
      <w:r w:rsidR="00052C86" w:rsidRPr="00B9500F">
        <w:t xml:space="preserve">preserve a natural landscape at its best; </w:t>
      </w:r>
    </w:p>
    <w:p w14:paraId="06383137" w14:textId="16EF886C" w:rsidR="00052C86" w:rsidRPr="00B9500F" w:rsidRDefault="00B9500F" w:rsidP="001C7F0A">
      <w:pPr>
        <w:pStyle w:val="SingleTxtG"/>
        <w:ind w:left="1701"/>
      </w:pPr>
      <w:r w:rsidRPr="00B9500F">
        <w:t>(iii)</w:t>
      </w:r>
      <w:r w:rsidRPr="00B9500F">
        <w:tab/>
      </w:r>
      <w:r w:rsidR="00052C86" w:rsidRPr="00B9500F">
        <w:t xml:space="preserve">save spatial reserves in rare free urban areas in an economic way; </w:t>
      </w:r>
    </w:p>
    <w:p w14:paraId="34C4B996" w14:textId="06D7B558" w:rsidR="00052C86" w:rsidRPr="00B9500F" w:rsidRDefault="00B9500F" w:rsidP="001C7F0A">
      <w:pPr>
        <w:pStyle w:val="SingleTxtG"/>
        <w:ind w:left="1701"/>
      </w:pPr>
      <w:r w:rsidRPr="00B9500F">
        <w:t>(iv)</w:t>
      </w:r>
      <w:r w:rsidRPr="00B9500F">
        <w:tab/>
      </w:r>
      <w:r w:rsidR="00052C86" w:rsidRPr="00B9500F">
        <w:t xml:space="preserve">avoid urban sprawl; </w:t>
      </w:r>
    </w:p>
    <w:p w14:paraId="7A108894" w14:textId="13FAE593" w:rsidR="00DD2197" w:rsidRDefault="00B9500F" w:rsidP="001C7F0A">
      <w:pPr>
        <w:pStyle w:val="SingleTxtG"/>
        <w:ind w:left="1701"/>
      </w:pPr>
      <w:r w:rsidRPr="00B9500F">
        <w:t>(v)</w:t>
      </w:r>
      <w:r w:rsidRPr="00B9500F">
        <w:tab/>
      </w:r>
      <w:r w:rsidR="00052C86" w:rsidRPr="00B9500F">
        <w:t>safeguard a healthy and socially viable environment including free spaces in other areas.</w:t>
      </w:r>
    </w:p>
    <w:p w14:paraId="675494D8" w14:textId="79B098C3" w:rsidR="00052C86" w:rsidRDefault="00052C86" w:rsidP="001C7F0A">
      <w:pPr>
        <w:pStyle w:val="SingleTxtG"/>
        <w:ind w:firstLine="567"/>
      </w:pPr>
      <w:r>
        <w:t>(g)</w:t>
      </w:r>
      <w:r>
        <w:tab/>
      </w:r>
      <w:r w:rsidR="00D33F10">
        <w:t xml:space="preserve">Welcomed the </w:t>
      </w:r>
      <w:r w:rsidR="00D33F10" w:rsidRPr="00B9500F">
        <w:t>case</w:t>
      </w:r>
      <w:r w:rsidR="00D33F10">
        <w:t xml:space="preserve"> studies presented as well as the economic analysis </w:t>
      </w:r>
      <w:r w:rsidR="00792B8E">
        <w:t>concerning public transport advantages</w:t>
      </w:r>
      <w:r w:rsidR="00FB4CF5">
        <w:t>.</w:t>
      </w:r>
    </w:p>
    <w:p w14:paraId="32DEFEB5" w14:textId="77777777" w:rsidR="0068048D" w:rsidRDefault="0068048D" w:rsidP="00105660">
      <w:pPr>
        <w:pStyle w:val="SingleTxtG"/>
      </w:pPr>
      <w:r w:rsidRPr="0068048D">
        <w:lastRenderedPageBreak/>
        <w:t>1</w:t>
      </w:r>
      <w:r w:rsidR="00C76913">
        <w:t>6</w:t>
      </w:r>
      <w:r w:rsidRPr="0068048D">
        <w:t>.</w:t>
      </w:r>
      <w:r w:rsidRPr="0068048D">
        <w:tab/>
        <w:t>The Working Party took note of the presentations made by the experts</w:t>
      </w:r>
      <w:r w:rsidR="00AD4C9B">
        <w:t xml:space="preserve"> and </w:t>
      </w:r>
      <w:r w:rsidR="001B620F">
        <w:t xml:space="preserve">welcomed </w:t>
      </w:r>
      <w:r w:rsidR="00AD4C9B">
        <w:t xml:space="preserve">the </w:t>
      </w:r>
      <w:r w:rsidR="000B2800">
        <w:t>in-kind contributions on good practices and case studies received so far from France</w:t>
      </w:r>
      <w:r w:rsidRPr="0068048D">
        <w:t>. It thanked the experts for their participation and requested the secretariat to make sure that the topic should be addressed in Working Party’s agenda on a regular basis.</w:t>
      </w:r>
    </w:p>
    <w:p w14:paraId="2FDE303C" w14:textId="425BD4FF" w:rsidR="0068048D" w:rsidRDefault="0068048D" w:rsidP="00105660">
      <w:pPr>
        <w:pStyle w:val="SingleTxtG"/>
      </w:pPr>
      <w:r>
        <w:t>1</w:t>
      </w:r>
      <w:r w:rsidR="00C76913">
        <w:t>7</w:t>
      </w:r>
      <w:r>
        <w:t>.</w:t>
      </w:r>
      <w:r>
        <w:tab/>
      </w:r>
      <w:r w:rsidRPr="0068048D">
        <w:t>The Working Party also during the workshop considered formal document ECE/TRANS/WP.5/2018/1 which included a questionnaire to be distributed to member States to collect as many case studies and good practices on the topic under discussion as possible.</w:t>
      </w:r>
      <w:r>
        <w:t xml:space="preserve"> The Working Party adopted the questionnaire as amended. The revised questionnaire was uploaded on Working Party’s web site as </w:t>
      </w:r>
      <w:r w:rsidRPr="0068048D">
        <w:t>ECE/TRANS/WP.5/2018/1</w:t>
      </w:r>
      <w:r>
        <w:t>/</w:t>
      </w:r>
      <w:r w:rsidR="00A673C7">
        <w:t>R</w:t>
      </w:r>
      <w:r>
        <w:t>ev.1. The Working Party requested the secretariat to distribute the questionnaire through diplomatic channels to the Ministers of Transport of</w:t>
      </w:r>
      <w:r w:rsidR="006277EC">
        <w:t xml:space="preserve"> the</w:t>
      </w:r>
      <w:r>
        <w:t xml:space="preserve"> ECE region for them to request the appropriate information from all relevant bodies including the </w:t>
      </w:r>
      <w:r w:rsidR="006277EC">
        <w:t>m</w:t>
      </w:r>
      <w:r w:rsidR="006277EC" w:rsidRPr="0068048D">
        <w:t>ayors</w:t>
      </w:r>
      <w:r w:rsidR="006277EC">
        <w:t xml:space="preserve"> </w:t>
      </w:r>
      <w:r>
        <w:t xml:space="preserve">of cities with good practices already implemented. The questionnaire is quite open and provides a general framework in order to collect all relevant data. However, </w:t>
      </w:r>
      <w:r w:rsidR="006277EC">
        <w:t>governments</w:t>
      </w:r>
      <w:r>
        <w:t xml:space="preserve">, </w:t>
      </w:r>
      <w:r w:rsidR="006277EC">
        <w:t xml:space="preserve">cities </w:t>
      </w:r>
      <w:r>
        <w:t xml:space="preserve">and other relevant bodies can provide any other information / good practice they consider important to be disseminated. The results from the replies to the questionnaire as well as the handbook should be ready for the next </w:t>
      </w:r>
      <w:r w:rsidR="00FA7C10">
        <w:t xml:space="preserve">session </w:t>
      </w:r>
      <w:r>
        <w:t xml:space="preserve">of the Working Party. </w:t>
      </w:r>
    </w:p>
    <w:p w14:paraId="79ED3666" w14:textId="5807240F" w:rsidR="004853D3" w:rsidRPr="00A673C7" w:rsidRDefault="004853D3">
      <w:pPr>
        <w:pStyle w:val="SingleTxtG"/>
      </w:pPr>
      <w:r w:rsidRPr="00A673C7">
        <w:t>1</w:t>
      </w:r>
      <w:r w:rsidR="00C76913" w:rsidRPr="00A673C7">
        <w:t>8</w:t>
      </w:r>
      <w:r w:rsidRPr="00A673C7">
        <w:t>.</w:t>
      </w:r>
      <w:r w:rsidRPr="00A673C7">
        <w:tab/>
        <w:t xml:space="preserve">The proceedings of the workshop, presentations and all workshop material have been </w:t>
      </w:r>
      <w:r w:rsidRPr="00610537">
        <w:rPr>
          <w:spacing w:val="-4"/>
        </w:rPr>
        <w:t xml:space="preserve">uploaded on the ECE website at: </w:t>
      </w:r>
      <w:hyperlink r:id="rId9" w:history="1">
        <w:r w:rsidR="00B9500F" w:rsidRPr="00610537">
          <w:rPr>
            <w:rStyle w:val="Hyperlink"/>
            <w:spacing w:val="-4"/>
          </w:rPr>
          <w:t>www.unece.org/trans/main/wp5/transport_and_urban_development.html</w:t>
        </w:r>
      </w:hyperlink>
      <w:r w:rsidR="00FD25F7" w:rsidRPr="00610537">
        <w:rPr>
          <w:spacing w:val="-4"/>
        </w:rPr>
        <w:t>.</w:t>
      </w:r>
    </w:p>
    <w:p w14:paraId="1C4CE7A2" w14:textId="77777777" w:rsidR="000D40AF" w:rsidRPr="009D3677" w:rsidRDefault="00C8595D">
      <w:pPr>
        <w:pStyle w:val="HChG"/>
      </w:pPr>
      <w:r w:rsidRPr="009D3677">
        <w:tab/>
      </w:r>
      <w:r w:rsidR="002F38E1" w:rsidRPr="009D3677">
        <w:t>V</w:t>
      </w:r>
      <w:r w:rsidR="00EA73EF" w:rsidRPr="009D3677">
        <w:t>.</w:t>
      </w:r>
      <w:r w:rsidR="004D2BC0" w:rsidRPr="009D3677">
        <w:tab/>
      </w:r>
      <w:r w:rsidR="000D40AF" w:rsidRPr="009D3677">
        <w:t xml:space="preserve">Ports Hinterland </w:t>
      </w:r>
      <w:r w:rsidR="004853D3" w:rsidRPr="009D3677">
        <w:t>connections (</w:t>
      </w:r>
      <w:r w:rsidR="009077AB" w:rsidRPr="009D3677">
        <w:t>agenda item 4)</w:t>
      </w:r>
    </w:p>
    <w:p w14:paraId="4D5F0000" w14:textId="2B536C28" w:rsidR="00096C7A" w:rsidRPr="003E6C6E" w:rsidRDefault="00DC0B57">
      <w:pPr>
        <w:pStyle w:val="SingleTxtG"/>
      </w:pPr>
      <w:r w:rsidRPr="001C7F0A">
        <w:rPr>
          <w:i/>
          <w:iCs/>
        </w:rPr>
        <w:t>Documentation:</w:t>
      </w:r>
      <w:r w:rsidRPr="009D3677">
        <w:t xml:space="preserve"> </w:t>
      </w:r>
      <w:r w:rsidR="00096C7A" w:rsidRPr="003E6C6E">
        <w:t xml:space="preserve">ECE/TRANS/WP.5/2015/3 </w:t>
      </w:r>
    </w:p>
    <w:p w14:paraId="508FEB26" w14:textId="7648190C" w:rsidR="002C0A3D" w:rsidRDefault="00DC0B57" w:rsidP="002C0A3D">
      <w:pPr>
        <w:pStyle w:val="SingleTxtG"/>
      </w:pPr>
      <w:r w:rsidRPr="003E6C6E">
        <w:t>1</w:t>
      </w:r>
      <w:r w:rsidR="00C76913">
        <w:t>9</w:t>
      </w:r>
      <w:r w:rsidR="00FC2B50" w:rsidRPr="003E6C6E">
        <w:t>.</w:t>
      </w:r>
      <w:r w:rsidRPr="003E6C6E">
        <w:tab/>
      </w:r>
      <w:r w:rsidR="002C0A3D">
        <w:t xml:space="preserve">This agenda item was discussed in combination with agenda item 7(b) on the development of an </w:t>
      </w:r>
      <w:r w:rsidR="006277EC">
        <w:t>international transport infrastructure observatory</w:t>
      </w:r>
      <w:r w:rsidR="002C0A3D">
        <w:t xml:space="preserve">.  </w:t>
      </w:r>
    </w:p>
    <w:p w14:paraId="3C3CE0E7" w14:textId="46F5DE7D" w:rsidR="002C0A3D" w:rsidRDefault="00C76913" w:rsidP="002C0A3D">
      <w:pPr>
        <w:pStyle w:val="SingleTxtG"/>
      </w:pPr>
      <w:r>
        <w:t>20</w:t>
      </w:r>
      <w:r w:rsidR="002C0A3D">
        <w:t>.</w:t>
      </w:r>
      <w:r w:rsidR="002C0A3D">
        <w:tab/>
      </w:r>
      <w:r w:rsidR="00DC0B57" w:rsidRPr="003E6C6E">
        <w:t xml:space="preserve">The Working Party recalled that at its </w:t>
      </w:r>
      <w:r w:rsidR="00DC315B" w:rsidRPr="003E6C6E">
        <w:t>twenty</w:t>
      </w:r>
      <w:r w:rsidR="003E6C6E" w:rsidRPr="003E6C6E">
        <w:t>-</w:t>
      </w:r>
      <w:r w:rsidR="00DC315B" w:rsidRPr="003E6C6E">
        <w:t>eighth s</w:t>
      </w:r>
      <w:r w:rsidR="00DC0B57" w:rsidRPr="003E6C6E">
        <w:t>ession</w:t>
      </w:r>
      <w:r w:rsidR="00E87BA0">
        <w:t xml:space="preserve"> it had taken</w:t>
      </w:r>
      <w:r w:rsidR="00DC0B57" w:rsidRPr="003E6C6E">
        <w:t xml:space="preserve"> note of the ports hinterland connections observatory prepared by </w:t>
      </w:r>
      <w:r w:rsidR="00E20C1E" w:rsidRPr="003E6C6E">
        <w:t>Mediterranean Network (</w:t>
      </w:r>
      <w:r w:rsidR="00DC0B57" w:rsidRPr="003E6C6E">
        <w:t>MedNet</w:t>
      </w:r>
      <w:r w:rsidR="00E20C1E" w:rsidRPr="003E6C6E">
        <w:t>)</w:t>
      </w:r>
      <w:r w:rsidR="00DC0B57" w:rsidRPr="003E6C6E">
        <w:t xml:space="preserve"> programme. </w:t>
      </w:r>
      <w:r w:rsidR="00AC3166" w:rsidRPr="003E6C6E">
        <w:t>It noted that MedNet</w:t>
      </w:r>
      <w:r w:rsidR="00556E99" w:rsidRPr="003E6C6E">
        <w:t xml:space="preserve"> </w:t>
      </w:r>
      <w:r w:rsidR="00DC315B" w:rsidRPr="003E6C6E">
        <w:t xml:space="preserve">had already concluded its life time and that </w:t>
      </w:r>
      <w:r w:rsidR="00AC3166" w:rsidRPr="003E6C6E">
        <w:t xml:space="preserve">the secretariat had received an unofficial confirmation from </w:t>
      </w:r>
      <w:r w:rsidR="00556E99" w:rsidRPr="003E6C6E">
        <w:t xml:space="preserve">the </w:t>
      </w:r>
      <w:r w:rsidR="00AC3166" w:rsidRPr="003E6C6E">
        <w:t xml:space="preserve">MedNet project </w:t>
      </w:r>
      <w:r w:rsidR="00556E99" w:rsidRPr="003E6C6E">
        <w:t>o</w:t>
      </w:r>
      <w:r w:rsidR="00AC3166" w:rsidRPr="003E6C6E">
        <w:t xml:space="preserve">n taking over </w:t>
      </w:r>
      <w:r w:rsidR="00DC315B" w:rsidRPr="003E6C6E">
        <w:t xml:space="preserve">this observatory ensuring its </w:t>
      </w:r>
      <w:r w:rsidR="00AC3166" w:rsidRPr="003E6C6E">
        <w:t>hosting, maintenance and further expansion to all ECE countries</w:t>
      </w:r>
      <w:r w:rsidR="00DC315B" w:rsidRPr="003E6C6E">
        <w:t>.</w:t>
      </w:r>
      <w:r w:rsidR="00AC3166" w:rsidRPr="003E6C6E">
        <w:t xml:space="preserve"> </w:t>
      </w:r>
    </w:p>
    <w:p w14:paraId="068CDE6E" w14:textId="50371EE1" w:rsidR="00AC3166" w:rsidRPr="003E6C6E" w:rsidRDefault="00C76913" w:rsidP="002C0A3D">
      <w:pPr>
        <w:pStyle w:val="SingleTxtG"/>
      </w:pPr>
      <w:r>
        <w:t>21</w:t>
      </w:r>
      <w:r w:rsidR="00DC315B" w:rsidRPr="003E6C6E">
        <w:t>.</w:t>
      </w:r>
      <w:r w:rsidR="003E6C6E" w:rsidRPr="003E6C6E">
        <w:tab/>
      </w:r>
      <w:r w:rsidR="002C0A3D">
        <w:t>During the last session t</w:t>
      </w:r>
      <w:r w:rsidR="00470976" w:rsidRPr="003E6C6E">
        <w:t xml:space="preserve">he secretariat informed the Working Party that no official response from </w:t>
      </w:r>
      <w:r w:rsidR="00E87BA0">
        <w:t xml:space="preserve">the </w:t>
      </w:r>
      <w:r w:rsidR="00E87BA0" w:rsidRPr="003E6C6E">
        <w:t>MedNet</w:t>
      </w:r>
      <w:r w:rsidR="00470976" w:rsidRPr="003E6C6E">
        <w:t xml:space="preserve"> project </w:t>
      </w:r>
      <w:r w:rsidR="006D40BD" w:rsidRPr="003E6C6E">
        <w:t xml:space="preserve">had been </w:t>
      </w:r>
      <w:r w:rsidR="00470976" w:rsidRPr="003E6C6E">
        <w:t>sent so far</w:t>
      </w:r>
      <w:r w:rsidR="00456C32" w:rsidRPr="003E6C6E">
        <w:t>.</w:t>
      </w:r>
      <w:r w:rsidR="00DC315B" w:rsidRPr="003E6C6E">
        <w:t xml:space="preserve"> </w:t>
      </w:r>
      <w:r w:rsidR="00456C32" w:rsidRPr="003E6C6E">
        <w:t>H</w:t>
      </w:r>
      <w:r w:rsidR="00DC315B" w:rsidRPr="003E6C6E">
        <w:t>owever</w:t>
      </w:r>
      <w:r w:rsidR="00456C32" w:rsidRPr="003E6C6E">
        <w:t>,</w:t>
      </w:r>
      <w:r w:rsidR="00DC315B" w:rsidRPr="003E6C6E">
        <w:t xml:space="preserve"> </w:t>
      </w:r>
      <w:r w:rsidR="00456C32" w:rsidRPr="003E6C6E">
        <w:t xml:space="preserve">the secretariat provided information about the GIS project that is currently taking place in cooperation with </w:t>
      </w:r>
      <w:r w:rsidR="00461D11">
        <w:t xml:space="preserve">the </w:t>
      </w:r>
      <w:r w:rsidR="00456C32" w:rsidRPr="003E6C6E">
        <w:t>Is</w:t>
      </w:r>
      <w:r w:rsidR="00E87BA0">
        <w:t xml:space="preserve">lamic </w:t>
      </w:r>
      <w:r w:rsidR="00456C32" w:rsidRPr="003E6C6E">
        <w:t>D</w:t>
      </w:r>
      <w:r w:rsidR="00E87BA0">
        <w:t xml:space="preserve">evelopment </w:t>
      </w:r>
      <w:r w:rsidR="00456C32" w:rsidRPr="003E6C6E">
        <w:t>B</w:t>
      </w:r>
      <w:r w:rsidR="00E87BA0">
        <w:t>ank</w:t>
      </w:r>
      <w:r w:rsidR="00456C32" w:rsidRPr="003E6C6E">
        <w:t xml:space="preserve"> expressing its expectation that many economies of scale could be created between the</w:t>
      </w:r>
      <w:r w:rsidR="00BF18F6" w:rsidRPr="003E6C6E">
        <w:t xml:space="preserve"> two</w:t>
      </w:r>
      <w:r w:rsidR="00456C32" w:rsidRPr="003E6C6E">
        <w:t xml:space="preserve"> projects. </w:t>
      </w:r>
    </w:p>
    <w:p w14:paraId="653DD3A3" w14:textId="6C7BAF77" w:rsidR="00470976" w:rsidRDefault="00C76913">
      <w:pPr>
        <w:pStyle w:val="SingleTxtG"/>
      </w:pPr>
      <w:r>
        <w:t>22</w:t>
      </w:r>
      <w:r w:rsidR="00470976" w:rsidRPr="003E6C6E">
        <w:t>.</w:t>
      </w:r>
      <w:r w:rsidR="00470976" w:rsidRPr="003E6C6E">
        <w:tab/>
      </w:r>
      <w:r w:rsidR="002C0A3D">
        <w:t xml:space="preserve">The secretariat informed the Working Party that the international transport infrastructure observatory is </w:t>
      </w:r>
      <w:r w:rsidR="00EB4238">
        <w:t xml:space="preserve">work in progress but soon it would be </w:t>
      </w:r>
      <w:r w:rsidR="002C0A3D">
        <w:t>a reality</w:t>
      </w:r>
      <w:r w:rsidR="00EB4238">
        <w:t xml:space="preserve">. The </w:t>
      </w:r>
      <w:r w:rsidR="002C0A3D">
        <w:t xml:space="preserve">data included in the MedNet </w:t>
      </w:r>
      <w:r w:rsidR="002C0A3D" w:rsidRPr="002C0A3D">
        <w:t xml:space="preserve">ports hinterland connections observatory </w:t>
      </w:r>
      <w:r w:rsidR="002C0A3D">
        <w:t xml:space="preserve">could be transferred </w:t>
      </w:r>
      <w:r w:rsidR="00EB4238">
        <w:t xml:space="preserve">with an efficient way to the observatory being prepared by the Division. </w:t>
      </w:r>
      <w:r w:rsidR="0008462F" w:rsidRPr="003E6C6E">
        <w:t xml:space="preserve">The Working Party </w:t>
      </w:r>
      <w:r w:rsidR="00EB4238">
        <w:t xml:space="preserve">welcomed this development and </w:t>
      </w:r>
      <w:r w:rsidR="0008462F">
        <w:t xml:space="preserve">requested the secretariat to provide updates </w:t>
      </w:r>
      <w:r w:rsidR="00EB4238">
        <w:t xml:space="preserve">on this agenda item </w:t>
      </w:r>
      <w:r w:rsidR="0008462F">
        <w:t>at its next session.</w:t>
      </w:r>
    </w:p>
    <w:p w14:paraId="0FECFE77" w14:textId="77777777" w:rsidR="004D2BC0" w:rsidRPr="003E6C6E" w:rsidRDefault="00DC6E44">
      <w:pPr>
        <w:pStyle w:val="HChG"/>
      </w:pPr>
      <w:r w:rsidRPr="003E6C6E">
        <w:lastRenderedPageBreak/>
        <w:tab/>
        <w:t>VI.</w:t>
      </w:r>
      <w:r w:rsidRPr="003E6C6E">
        <w:tab/>
      </w:r>
      <w:r w:rsidR="004D2BC0" w:rsidRPr="003E6C6E">
        <w:t xml:space="preserve">Monitoring of the developments relevant to pan-European transport networks (agenda item </w:t>
      </w:r>
      <w:r w:rsidRPr="003E6C6E">
        <w:t>5</w:t>
      </w:r>
      <w:r w:rsidR="004D2BC0" w:rsidRPr="003E6C6E">
        <w:t>)</w:t>
      </w:r>
    </w:p>
    <w:p w14:paraId="11EAE470" w14:textId="77777777" w:rsidR="004D2BC0" w:rsidRPr="003E6C6E" w:rsidRDefault="004D2BC0">
      <w:pPr>
        <w:pStyle w:val="H1G"/>
      </w:pPr>
      <w:r w:rsidRPr="003E6C6E">
        <w:tab/>
      </w:r>
      <w:r w:rsidR="00EA73EF" w:rsidRPr="003E6C6E">
        <w:t>A.</w:t>
      </w:r>
      <w:r w:rsidRPr="003E6C6E">
        <w:tab/>
      </w:r>
      <w:r w:rsidR="007B54E1" w:rsidRPr="003E6C6E">
        <w:t>The European Commission briefing on the progress made in developing the Trans-European Transport Network</w:t>
      </w:r>
    </w:p>
    <w:p w14:paraId="7B4A61EB" w14:textId="77777777" w:rsidR="004D2BC0" w:rsidRPr="00033EF3" w:rsidRDefault="004D2BC0" w:rsidP="004D2BC0">
      <w:pPr>
        <w:pStyle w:val="SingleTxtG"/>
      </w:pPr>
      <w:r w:rsidRPr="00033EF3">
        <w:rPr>
          <w:bCs/>
          <w:i/>
          <w:iCs/>
        </w:rPr>
        <w:t>Documentation</w:t>
      </w:r>
      <w:r w:rsidRPr="00033EF3">
        <w:rPr>
          <w:bCs/>
        </w:rPr>
        <w:t xml:space="preserve">: </w:t>
      </w:r>
      <w:r w:rsidR="007867B5" w:rsidRPr="00033EF3">
        <w:t xml:space="preserve">Informal </w:t>
      </w:r>
      <w:r w:rsidR="002871EA">
        <w:t xml:space="preserve">document No. </w:t>
      </w:r>
      <w:r w:rsidR="00456C32">
        <w:t>3</w:t>
      </w:r>
    </w:p>
    <w:p w14:paraId="6F9B6E47" w14:textId="77777777" w:rsidR="004D2BC0" w:rsidRPr="00033EF3" w:rsidRDefault="00C76913" w:rsidP="00FC2B50">
      <w:pPr>
        <w:pStyle w:val="SingleTxtG"/>
      </w:pPr>
      <w:r>
        <w:rPr>
          <w:bCs/>
          <w:iCs/>
        </w:rPr>
        <w:t>23</w:t>
      </w:r>
      <w:r w:rsidR="00DC6E44">
        <w:rPr>
          <w:bCs/>
          <w:iCs/>
        </w:rPr>
        <w:t>.</w:t>
      </w:r>
      <w:r w:rsidR="00EA73EF" w:rsidRPr="00033EF3">
        <w:rPr>
          <w:bCs/>
          <w:iCs/>
        </w:rPr>
        <w:tab/>
      </w:r>
      <w:r w:rsidR="007B56C2" w:rsidRPr="00033EF3">
        <w:rPr>
          <w:bCs/>
          <w:iCs/>
        </w:rPr>
        <w:t xml:space="preserve">The </w:t>
      </w:r>
      <w:r w:rsidR="002448AA" w:rsidRPr="00033EF3">
        <w:rPr>
          <w:bCs/>
          <w:iCs/>
        </w:rPr>
        <w:t xml:space="preserve">Working Party </w:t>
      </w:r>
      <w:r w:rsidR="004F17BE">
        <w:rPr>
          <w:bCs/>
          <w:iCs/>
        </w:rPr>
        <w:t xml:space="preserve">took note of the information provided by </w:t>
      </w:r>
      <w:r w:rsidR="000977D5">
        <w:rPr>
          <w:bCs/>
          <w:iCs/>
        </w:rPr>
        <w:t>the secretariat (</w:t>
      </w:r>
      <w:r w:rsidR="000977D5" w:rsidRPr="000977D5">
        <w:rPr>
          <w:bCs/>
          <w:iCs/>
        </w:rPr>
        <w:t>Informal document No. 3</w:t>
      </w:r>
      <w:r w:rsidR="000977D5">
        <w:rPr>
          <w:bCs/>
          <w:iCs/>
        </w:rPr>
        <w:t xml:space="preserve">) on the progress made by the </w:t>
      </w:r>
      <w:r w:rsidR="00BF18F6">
        <w:rPr>
          <w:bCs/>
          <w:iCs/>
        </w:rPr>
        <w:t>E</w:t>
      </w:r>
      <w:r w:rsidR="00E87BA0">
        <w:rPr>
          <w:bCs/>
          <w:iCs/>
        </w:rPr>
        <w:t xml:space="preserve">uropean </w:t>
      </w:r>
      <w:r w:rsidR="00BF18F6">
        <w:rPr>
          <w:bCs/>
          <w:iCs/>
        </w:rPr>
        <w:t>U</w:t>
      </w:r>
      <w:r w:rsidR="00E87BA0">
        <w:rPr>
          <w:bCs/>
          <w:iCs/>
        </w:rPr>
        <w:t>nion</w:t>
      </w:r>
      <w:r w:rsidR="00BF18F6">
        <w:rPr>
          <w:bCs/>
          <w:iCs/>
        </w:rPr>
        <w:t xml:space="preserve"> </w:t>
      </w:r>
      <w:r w:rsidR="007B56C2" w:rsidRPr="00033EF3">
        <w:t>in develop</w:t>
      </w:r>
      <w:r w:rsidR="002871EA">
        <w:t xml:space="preserve">ing </w:t>
      </w:r>
      <w:r w:rsidR="007B56C2" w:rsidRPr="00033EF3">
        <w:t>the Trans-European Transport Network</w:t>
      </w:r>
      <w:r w:rsidR="00871AFD" w:rsidRPr="00033EF3">
        <w:t xml:space="preserve">. The </w:t>
      </w:r>
      <w:r w:rsidR="002448AA" w:rsidRPr="00033EF3">
        <w:t xml:space="preserve">Working Party </w:t>
      </w:r>
      <w:r w:rsidR="007B56C2" w:rsidRPr="00033EF3">
        <w:t>invite</w:t>
      </w:r>
      <w:r w:rsidR="00871AFD" w:rsidRPr="00033EF3">
        <w:t>d</w:t>
      </w:r>
      <w:r w:rsidR="007B56C2" w:rsidRPr="00033EF3">
        <w:t xml:space="preserve"> </w:t>
      </w:r>
      <w:r w:rsidR="00456C32">
        <w:t xml:space="preserve">the </w:t>
      </w:r>
      <w:r w:rsidR="00BF18F6">
        <w:t>E</w:t>
      </w:r>
      <w:r w:rsidR="00E87BA0">
        <w:t xml:space="preserve">uropean </w:t>
      </w:r>
      <w:r w:rsidR="00BF18F6">
        <w:t>U</w:t>
      </w:r>
      <w:r w:rsidR="00E87BA0">
        <w:t>nion</w:t>
      </w:r>
      <w:r w:rsidR="00BF18F6">
        <w:t xml:space="preserve"> </w:t>
      </w:r>
      <w:r w:rsidR="00456C32">
        <w:t>to</w:t>
      </w:r>
      <w:r w:rsidR="007B56C2" w:rsidRPr="00033EF3">
        <w:t xml:space="preserve"> </w:t>
      </w:r>
      <w:r w:rsidR="000977D5">
        <w:t>provide</w:t>
      </w:r>
      <w:r w:rsidR="007B56C2" w:rsidRPr="00033EF3">
        <w:t xml:space="preserve"> an update on its activities related to </w:t>
      </w:r>
      <w:r w:rsidR="002448AA" w:rsidRPr="00033EF3">
        <w:t>p</w:t>
      </w:r>
      <w:r w:rsidR="007B56C2" w:rsidRPr="00033EF3">
        <w:t xml:space="preserve">an-European </w:t>
      </w:r>
      <w:r w:rsidR="00BF18F6">
        <w:t>c</w:t>
      </w:r>
      <w:r w:rsidR="007B56C2" w:rsidRPr="00033EF3">
        <w:t xml:space="preserve">orridors at its </w:t>
      </w:r>
      <w:r w:rsidR="00456C32">
        <w:t>thirty</w:t>
      </w:r>
      <w:r w:rsidR="00250BB8">
        <w:t>-</w:t>
      </w:r>
      <w:r w:rsidR="000977D5">
        <w:t>second</w:t>
      </w:r>
      <w:r w:rsidR="00456C32">
        <w:t xml:space="preserve"> </w:t>
      </w:r>
      <w:r w:rsidR="007B56C2" w:rsidRPr="00033EF3">
        <w:t>session in 201</w:t>
      </w:r>
      <w:r w:rsidR="000977D5">
        <w:t>9</w:t>
      </w:r>
      <w:r w:rsidR="007B56C2" w:rsidRPr="00033EF3">
        <w:t>.</w:t>
      </w:r>
    </w:p>
    <w:p w14:paraId="38E28803" w14:textId="77777777" w:rsidR="004D2BC0" w:rsidRPr="00250BB8" w:rsidRDefault="004D2BC0">
      <w:pPr>
        <w:pStyle w:val="H1G"/>
      </w:pPr>
      <w:r w:rsidRPr="00250BB8">
        <w:tab/>
      </w:r>
      <w:r w:rsidR="00EA73EF" w:rsidRPr="00250BB8">
        <w:t>B.</w:t>
      </w:r>
      <w:r w:rsidRPr="00250BB8">
        <w:tab/>
        <w:t>Trans</w:t>
      </w:r>
      <w:r w:rsidRPr="00FA7C10">
        <w:t>-Euro</w:t>
      </w:r>
      <w:r w:rsidRPr="00250BB8">
        <w:t>pean Motorway and Trans-European Railway projects</w:t>
      </w:r>
    </w:p>
    <w:p w14:paraId="6588BC6B" w14:textId="77777777" w:rsidR="000977D5" w:rsidRDefault="004D2BC0" w:rsidP="000977D5">
      <w:pPr>
        <w:pStyle w:val="SingleTxtG"/>
        <w:keepNext/>
        <w:keepLines/>
        <w:rPr>
          <w:bCs/>
        </w:rPr>
      </w:pPr>
      <w:r w:rsidRPr="00033EF3">
        <w:rPr>
          <w:bCs/>
          <w:i/>
          <w:iCs/>
        </w:rPr>
        <w:t>Documentation</w:t>
      </w:r>
      <w:r w:rsidRPr="00033EF3">
        <w:rPr>
          <w:bCs/>
        </w:rPr>
        <w:t xml:space="preserve">: </w:t>
      </w:r>
      <w:r w:rsidR="000977D5" w:rsidRPr="000977D5">
        <w:rPr>
          <w:bCs/>
        </w:rPr>
        <w:t>ECE/TRANS/WP.5/2018/2, ECE/TRANS/WP.5/2018/3</w:t>
      </w:r>
    </w:p>
    <w:p w14:paraId="49B15333" w14:textId="6DA88789" w:rsidR="00A320D1" w:rsidRDefault="00C76913" w:rsidP="001C7F0A">
      <w:pPr>
        <w:pStyle w:val="SingleTxtG"/>
      </w:pPr>
      <w:r>
        <w:t>24</w:t>
      </w:r>
      <w:r w:rsidR="00E37A43" w:rsidRPr="00C86E11">
        <w:t>.</w:t>
      </w:r>
      <w:r w:rsidR="00E37A43" w:rsidRPr="00C86E11">
        <w:tab/>
      </w:r>
      <w:r w:rsidR="00A320D1" w:rsidRPr="00A320D1">
        <w:t xml:space="preserve">The Working Party appreciated the update provided by the TEM Project </w:t>
      </w:r>
      <w:r w:rsidR="00A320D1">
        <w:t xml:space="preserve">Manager </w:t>
      </w:r>
      <w:r w:rsidR="00A320D1" w:rsidRPr="00A320D1">
        <w:t xml:space="preserve">on the TEM activities in </w:t>
      </w:r>
      <w:r w:rsidR="00A320D1" w:rsidRPr="00A673C7">
        <w:t>201</w:t>
      </w:r>
      <w:r w:rsidR="00CF44C5" w:rsidRPr="00A673C7">
        <w:t>7</w:t>
      </w:r>
      <w:r w:rsidR="00A673C7">
        <w:t>–</w:t>
      </w:r>
      <w:r w:rsidR="00A320D1" w:rsidRPr="00A320D1">
        <w:t>201</w:t>
      </w:r>
      <w:r w:rsidR="00CF44C5">
        <w:t>8</w:t>
      </w:r>
      <w:r w:rsidR="00A320D1" w:rsidRPr="00A320D1">
        <w:t>, reiterated its support to the project and invited the project manager to provide an update on relevant developments in the TEM project at its thirty</w:t>
      </w:r>
      <w:r w:rsidR="00461D11">
        <w:t>-</w:t>
      </w:r>
      <w:r w:rsidR="00CF44C5">
        <w:t>second</w:t>
      </w:r>
      <w:r w:rsidR="00A320D1" w:rsidRPr="00A320D1">
        <w:t xml:space="preserve"> session in 201</w:t>
      </w:r>
      <w:r w:rsidR="00CF44C5">
        <w:t>9</w:t>
      </w:r>
      <w:r w:rsidR="00A320D1" w:rsidRPr="00A320D1">
        <w:t>.</w:t>
      </w:r>
    </w:p>
    <w:p w14:paraId="32D1AECF" w14:textId="15B46DDE" w:rsidR="00A320D1" w:rsidRDefault="00CF44C5" w:rsidP="001C7F0A">
      <w:pPr>
        <w:pStyle w:val="SingleTxtG"/>
      </w:pPr>
      <w:r>
        <w:t>2</w:t>
      </w:r>
      <w:r w:rsidR="00C76913">
        <w:t>5</w:t>
      </w:r>
      <w:r>
        <w:t>.</w:t>
      </w:r>
      <w:r>
        <w:tab/>
      </w:r>
      <w:r w:rsidRPr="00CF44C5">
        <w:t>The focus of TEM activities was given to:</w:t>
      </w:r>
    </w:p>
    <w:p w14:paraId="312C0887" w14:textId="4BE77DFB" w:rsidR="00CF44C5" w:rsidRPr="00A673C7" w:rsidRDefault="00A673C7" w:rsidP="001C7F0A">
      <w:pPr>
        <w:pStyle w:val="SingleTxtG"/>
        <w:ind w:firstLine="567"/>
      </w:pPr>
      <w:r w:rsidRPr="00A673C7">
        <w:t>(a)</w:t>
      </w:r>
      <w:r w:rsidRPr="00A673C7">
        <w:tab/>
      </w:r>
      <w:r w:rsidR="00CF44C5" w:rsidRPr="00A673C7">
        <w:t xml:space="preserve">Network improvement and Funding of infrastructure (TEM Network Report, chairing the ECE Group of Experts on Benchmarking Transport Infrastructure Construction Costs, cooperation with the International Transport Infrastructure Observatory (ITIO)); </w:t>
      </w:r>
    </w:p>
    <w:p w14:paraId="014FE7E8" w14:textId="04033D29" w:rsidR="00CF44C5" w:rsidRPr="00A673C7" w:rsidRDefault="00A673C7" w:rsidP="001C7F0A">
      <w:pPr>
        <w:pStyle w:val="SingleTxtG"/>
        <w:ind w:firstLine="567"/>
      </w:pPr>
      <w:r w:rsidRPr="00A673C7">
        <w:t>(b)</w:t>
      </w:r>
      <w:r w:rsidRPr="00A673C7">
        <w:tab/>
      </w:r>
      <w:r w:rsidR="00CF44C5" w:rsidRPr="00A673C7">
        <w:t xml:space="preserve">Operational proficiency for road infrastructure operators and authorities (environmental protection, organization and financing of the roads and motorways, information systems for the management of the road infrastructure, innovations in the road infrastructure management, road safety); </w:t>
      </w:r>
    </w:p>
    <w:p w14:paraId="71805FFB" w14:textId="45E793BF" w:rsidR="00CF44C5" w:rsidRDefault="00A673C7" w:rsidP="001C7F0A">
      <w:pPr>
        <w:pStyle w:val="SingleTxtG"/>
        <w:ind w:firstLine="567"/>
      </w:pPr>
      <w:r w:rsidRPr="00A673C7">
        <w:t>(c)</w:t>
      </w:r>
      <w:r w:rsidRPr="00A673C7">
        <w:tab/>
      </w:r>
      <w:r w:rsidR="00CF44C5" w:rsidRPr="00A673C7">
        <w:t>Trends</w:t>
      </w:r>
      <w:r w:rsidRPr="00A673C7">
        <w:t>.</w:t>
      </w:r>
    </w:p>
    <w:p w14:paraId="64EF22EF" w14:textId="260E767C" w:rsidR="004D2BC0" w:rsidRPr="00FC2B50" w:rsidRDefault="00CF44C5" w:rsidP="001C7F0A">
      <w:pPr>
        <w:pStyle w:val="SingleTxtG"/>
      </w:pPr>
      <w:r>
        <w:t>2</w:t>
      </w:r>
      <w:r w:rsidR="00C76913">
        <w:t>6</w:t>
      </w:r>
      <w:r>
        <w:t>.</w:t>
      </w:r>
      <w:r>
        <w:tab/>
      </w:r>
      <w:r w:rsidR="007B56C2" w:rsidRPr="00C86E11">
        <w:t xml:space="preserve">The Working </w:t>
      </w:r>
      <w:r w:rsidR="002448AA" w:rsidRPr="00C86E11">
        <w:t xml:space="preserve">Party </w:t>
      </w:r>
      <w:r>
        <w:t xml:space="preserve">also </w:t>
      </w:r>
      <w:r w:rsidR="007B56C2" w:rsidRPr="00C86E11">
        <w:t>appreciate</w:t>
      </w:r>
      <w:r w:rsidR="00871AFD" w:rsidRPr="00C86E11">
        <w:t>d</w:t>
      </w:r>
      <w:r w:rsidR="00D8248F" w:rsidRPr="00C86E11">
        <w:t xml:space="preserve"> the update provided by </w:t>
      </w:r>
      <w:r w:rsidR="006D40BD">
        <w:t xml:space="preserve">the </w:t>
      </w:r>
      <w:r w:rsidR="00D8248F" w:rsidRPr="00C86E11">
        <w:t>TER</w:t>
      </w:r>
      <w:r>
        <w:t xml:space="preserve"> </w:t>
      </w:r>
      <w:r w:rsidR="006277EC">
        <w:t>Deputy</w:t>
      </w:r>
      <w:r w:rsidR="006277EC" w:rsidRPr="00C86E11">
        <w:t xml:space="preserve"> </w:t>
      </w:r>
      <w:r w:rsidR="006277EC">
        <w:t>P</w:t>
      </w:r>
      <w:r w:rsidR="006277EC" w:rsidRPr="00C86E11">
        <w:t xml:space="preserve">roject </w:t>
      </w:r>
      <w:r w:rsidR="006277EC">
        <w:t>M</w:t>
      </w:r>
      <w:r w:rsidR="006277EC" w:rsidRPr="00C86E11">
        <w:t xml:space="preserve">anager </w:t>
      </w:r>
      <w:r w:rsidR="007B56C2" w:rsidRPr="00C86E11">
        <w:t xml:space="preserve">on the activities </w:t>
      </w:r>
      <w:r w:rsidR="002448AA" w:rsidRPr="00C86E11">
        <w:t xml:space="preserve">implemented </w:t>
      </w:r>
      <w:r w:rsidR="00994BA0" w:rsidRPr="00C86E11">
        <w:t xml:space="preserve">in </w:t>
      </w:r>
      <w:r w:rsidR="007B56C2" w:rsidRPr="00C86E11">
        <w:t xml:space="preserve">the </w:t>
      </w:r>
      <w:r w:rsidR="007B56C2" w:rsidRPr="00A673C7">
        <w:t>TER</w:t>
      </w:r>
      <w:r w:rsidR="007B56C2" w:rsidRPr="00C86E11">
        <w:t xml:space="preserve"> Project</w:t>
      </w:r>
      <w:r w:rsidR="00D8248F" w:rsidRPr="00C86E11">
        <w:t xml:space="preserve"> </w:t>
      </w:r>
      <w:r w:rsidR="00815E20" w:rsidRPr="00C86E11">
        <w:t>in</w:t>
      </w:r>
      <w:r w:rsidR="00D8248F" w:rsidRPr="00C86E11">
        <w:t xml:space="preserve"> </w:t>
      </w:r>
      <w:r w:rsidR="007B56C2" w:rsidRPr="00C86E11">
        <w:t>201</w:t>
      </w:r>
      <w:r>
        <w:t>7</w:t>
      </w:r>
      <w:r w:rsidR="006277EC">
        <w:t>–</w:t>
      </w:r>
      <w:r w:rsidR="00774EC7" w:rsidRPr="00C86E11">
        <w:t>201</w:t>
      </w:r>
      <w:r>
        <w:t>8</w:t>
      </w:r>
      <w:r w:rsidR="008776C9" w:rsidRPr="00C86E11">
        <w:t xml:space="preserve">, reiterated its support </w:t>
      </w:r>
      <w:r w:rsidR="006D40BD">
        <w:t>for</w:t>
      </w:r>
      <w:r w:rsidR="006D40BD" w:rsidRPr="00C86E11">
        <w:t xml:space="preserve"> </w:t>
      </w:r>
      <w:r w:rsidR="008776C9" w:rsidRPr="00C86E11">
        <w:t>the project</w:t>
      </w:r>
      <w:r w:rsidR="007B56C2" w:rsidRPr="00C86E11">
        <w:t xml:space="preserve"> and invite</w:t>
      </w:r>
      <w:r w:rsidR="00871AFD" w:rsidRPr="00C86E11">
        <w:t>d</w:t>
      </w:r>
      <w:r w:rsidR="007B56C2" w:rsidRPr="00C86E11">
        <w:t xml:space="preserve"> the </w:t>
      </w:r>
      <w:r w:rsidR="006277EC">
        <w:t>P</w:t>
      </w:r>
      <w:r w:rsidR="006277EC" w:rsidRPr="00C86E11">
        <w:t xml:space="preserve">roject </w:t>
      </w:r>
      <w:r w:rsidR="006277EC">
        <w:t>M</w:t>
      </w:r>
      <w:r w:rsidR="006277EC" w:rsidRPr="00C86E11">
        <w:t xml:space="preserve">anager </w:t>
      </w:r>
      <w:r w:rsidR="007B56C2" w:rsidRPr="00C86E11">
        <w:t xml:space="preserve">to provide an update on relevant developments in the TER project at its </w:t>
      </w:r>
      <w:r w:rsidR="00C86E11" w:rsidRPr="00C86E11">
        <w:t>thirt</w:t>
      </w:r>
      <w:r w:rsidR="00A53919">
        <w:t>y</w:t>
      </w:r>
      <w:r w:rsidR="00250BB8">
        <w:t>-</w:t>
      </w:r>
      <w:r>
        <w:t>second</w:t>
      </w:r>
      <w:r w:rsidR="00774EC7" w:rsidRPr="00C86E11">
        <w:t xml:space="preserve"> </w:t>
      </w:r>
      <w:r w:rsidR="007B56C2" w:rsidRPr="00C86E11">
        <w:t>session in 201</w:t>
      </w:r>
      <w:r>
        <w:t>9</w:t>
      </w:r>
      <w:r w:rsidR="008E7739" w:rsidRPr="00C86E11">
        <w:t>.</w:t>
      </w:r>
    </w:p>
    <w:p w14:paraId="451C0EDA" w14:textId="77777777" w:rsidR="002B6A5F" w:rsidRDefault="00774EC7" w:rsidP="002B6A5F">
      <w:pPr>
        <w:pStyle w:val="SingleTxtG"/>
      </w:pPr>
      <w:r>
        <w:t>2</w:t>
      </w:r>
      <w:r w:rsidR="00C76913">
        <w:t>7</w:t>
      </w:r>
      <w:r w:rsidR="00E37A43" w:rsidRPr="00033EF3">
        <w:t>.</w:t>
      </w:r>
      <w:r w:rsidR="00E37A43" w:rsidRPr="00033EF3">
        <w:tab/>
      </w:r>
      <w:r w:rsidR="00407409">
        <w:t xml:space="preserve">The focus of </w:t>
      </w:r>
      <w:r w:rsidR="002B6A5F">
        <w:t xml:space="preserve">TER </w:t>
      </w:r>
      <w:r w:rsidR="00407409">
        <w:t xml:space="preserve">activities </w:t>
      </w:r>
      <w:r w:rsidR="00CF44C5">
        <w:t xml:space="preserve">during the reporting period was on: </w:t>
      </w:r>
    </w:p>
    <w:p w14:paraId="6072ADD7" w14:textId="0C60B956" w:rsidR="00CF44C5" w:rsidRPr="00A673C7" w:rsidRDefault="00A673C7" w:rsidP="001C7F0A">
      <w:pPr>
        <w:pStyle w:val="SingleTxtG"/>
        <w:ind w:firstLine="567"/>
      </w:pPr>
      <w:r w:rsidRPr="00A673C7">
        <w:t>(a)</w:t>
      </w:r>
      <w:r w:rsidRPr="00A673C7">
        <w:tab/>
      </w:r>
      <w:r w:rsidR="00C67305" w:rsidRPr="00A673C7">
        <w:t>Connectivity (High-Speed Master Plan, participation in International fora);</w:t>
      </w:r>
    </w:p>
    <w:p w14:paraId="2A83F97B" w14:textId="25BBB2B1" w:rsidR="00C67305" w:rsidRPr="00A673C7" w:rsidRDefault="00A673C7" w:rsidP="001C7F0A">
      <w:pPr>
        <w:pStyle w:val="SingleTxtG"/>
        <w:ind w:firstLine="567"/>
      </w:pPr>
      <w:r w:rsidRPr="00A673C7">
        <w:t>(b)</w:t>
      </w:r>
      <w:r w:rsidRPr="00A673C7">
        <w:tab/>
      </w:r>
      <w:r w:rsidR="00C67305" w:rsidRPr="00A673C7">
        <w:t xml:space="preserve">Visibility (TER webpage, TER brochure, promotion activities); </w:t>
      </w:r>
    </w:p>
    <w:p w14:paraId="2406BE80" w14:textId="294A992C" w:rsidR="00C67305" w:rsidRPr="00A673C7" w:rsidRDefault="00A673C7" w:rsidP="001C7F0A">
      <w:pPr>
        <w:pStyle w:val="SingleTxtG"/>
        <w:ind w:firstLine="567"/>
      </w:pPr>
      <w:r w:rsidRPr="00A673C7">
        <w:t>(c)</w:t>
      </w:r>
      <w:r w:rsidRPr="00A673C7">
        <w:tab/>
      </w:r>
      <w:r w:rsidR="00C67305" w:rsidRPr="00A673C7">
        <w:t>Capacity-Building (TER Workshop, Identification of infrastructure bottlenecks);</w:t>
      </w:r>
    </w:p>
    <w:p w14:paraId="31C6EDAC" w14:textId="13E44B17" w:rsidR="00C67305" w:rsidRPr="00A673C7" w:rsidRDefault="00A673C7" w:rsidP="001C7F0A">
      <w:pPr>
        <w:pStyle w:val="SingleTxtG"/>
        <w:ind w:firstLine="567"/>
      </w:pPr>
      <w:r w:rsidRPr="00A673C7">
        <w:t>(d)</w:t>
      </w:r>
      <w:r w:rsidRPr="00A673C7">
        <w:tab/>
      </w:r>
      <w:r w:rsidR="00C67305" w:rsidRPr="00A673C7">
        <w:t xml:space="preserve">Development (TER Master Plan </w:t>
      </w:r>
      <w:r w:rsidR="006277EC">
        <w:t>f</w:t>
      </w:r>
      <w:r w:rsidR="006277EC" w:rsidRPr="00A673C7">
        <w:t>ollow</w:t>
      </w:r>
      <w:r w:rsidR="00C67305" w:rsidRPr="00A673C7">
        <w:t xml:space="preserve">-up, </w:t>
      </w:r>
      <w:r w:rsidR="007A218A" w:rsidRPr="00A673C7">
        <w:t>possible extension of TER system, results of the Master Plan Revision implementation</w:t>
      </w:r>
      <w:r w:rsidR="00C67305" w:rsidRPr="00A673C7">
        <w:t>);</w:t>
      </w:r>
    </w:p>
    <w:p w14:paraId="3798A9AA" w14:textId="3821753E" w:rsidR="007A218A" w:rsidRPr="00A673C7" w:rsidRDefault="00A673C7" w:rsidP="001C7F0A">
      <w:pPr>
        <w:pStyle w:val="SingleTxtG"/>
        <w:ind w:firstLine="567"/>
      </w:pPr>
      <w:r w:rsidRPr="00A673C7">
        <w:t>(e)</w:t>
      </w:r>
      <w:r w:rsidRPr="00A673C7">
        <w:tab/>
      </w:r>
      <w:r w:rsidR="007A218A" w:rsidRPr="00A673C7">
        <w:t xml:space="preserve">Management (TER Steering Committee </w:t>
      </w:r>
      <w:r w:rsidR="006277EC">
        <w:t>s</w:t>
      </w:r>
      <w:r w:rsidR="006277EC" w:rsidRPr="00A673C7">
        <w:t>essions</w:t>
      </w:r>
      <w:r w:rsidR="007A218A" w:rsidRPr="00A673C7">
        <w:t>)</w:t>
      </w:r>
      <w:r w:rsidRPr="00A673C7">
        <w:t>.</w:t>
      </w:r>
    </w:p>
    <w:p w14:paraId="76B1B1DA" w14:textId="77777777" w:rsidR="004B1C28" w:rsidRPr="00250BB8" w:rsidRDefault="008C5B00">
      <w:pPr>
        <w:pStyle w:val="HChG"/>
      </w:pPr>
      <w:r w:rsidRPr="00250BB8">
        <w:lastRenderedPageBreak/>
        <w:tab/>
      </w:r>
      <w:r w:rsidR="004B1C28" w:rsidRPr="00250BB8">
        <w:t>VII.</w:t>
      </w:r>
      <w:r w:rsidR="004B1C28" w:rsidRPr="00250BB8">
        <w:tab/>
        <w:t>Transport in the Medit</w:t>
      </w:r>
      <w:r w:rsidR="00306366" w:rsidRPr="00250BB8">
        <w:t>erranean Region (agenda item 6)</w:t>
      </w:r>
    </w:p>
    <w:p w14:paraId="1A00E2E5" w14:textId="77777777" w:rsidR="00AD68FC" w:rsidRPr="00250BB8" w:rsidRDefault="00FA451B">
      <w:pPr>
        <w:pStyle w:val="H1G"/>
      </w:pPr>
      <w:r w:rsidRPr="00250BB8">
        <w:tab/>
        <w:t>A.</w:t>
      </w:r>
      <w:r w:rsidRPr="00250BB8">
        <w:tab/>
      </w:r>
      <w:r w:rsidR="004B1C28" w:rsidRPr="00250BB8">
        <w:t>Report of the Mediterranean Transport Study Centre</w:t>
      </w:r>
    </w:p>
    <w:p w14:paraId="2F0D37D8" w14:textId="77777777" w:rsidR="00DA334F" w:rsidRPr="00033EF3" w:rsidRDefault="00DA334F" w:rsidP="00DA334F">
      <w:pPr>
        <w:pStyle w:val="SingleTxtG"/>
        <w:keepNext/>
        <w:keepLines/>
        <w:ind w:left="1140"/>
        <w:rPr>
          <w:bCs/>
        </w:rPr>
      </w:pPr>
      <w:r w:rsidRPr="00033EF3">
        <w:rPr>
          <w:bCs/>
          <w:i/>
          <w:iCs/>
        </w:rPr>
        <w:t>Documentation</w:t>
      </w:r>
      <w:r w:rsidRPr="00033EF3">
        <w:rPr>
          <w:bCs/>
        </w:rPr>
        <w:t xml:space="preserve">: </w:t>
      </w:r>
      <w:r w:rsidR="00876B96">
        <w:rPr>
          <w:bCs/>
        </w:rPr>
        <w:t xml:space="preserve">Informal document No. </w:t>
      </w:r>
      <w:r w:rsidR="00CC43CB">
        <w:rPr>
          <w:bCs/>
        </w:rPr>
        <w:t>4</w:t>
      </w:r>
    </w:p>
    <w:p w14:paraId="29242C57" w14:textId="49A58F2B" w:rsidR="00DA334F" w:rsidRDefault="00DA334F" w:rsidP="00114D6B">
      <w:pPr>
        <w:pStyle w:val="SingleTxtG"/>
      </w:pPr>
      <w:r w:rsidRPr="007008E1">
        <w:t>2</w:t>
      </w:r>
      <w:r w:rsidR="00C76913">
        <w:t>8</w:t>
      </w:r>
      <w:r w:rsidRPr="007008E1">
        <w:t>.</w:t>
      </w:r>
      <w:r>
        <w:tab/>
        <w:t xml:space="preserve">The </w:t>
      </w:r>
      <w:r w:rsidR="00AE5994" w:rsidRPr="00AE5994">
        <w:t>General Director</w:t>
      </w:r>
      <w:r w:rsidR="00AE5994">
        <w:t xml:space="preserve"> </w:t>
      </w:r>
      <w:r>
        <w:t>of CETMO</w:t>
      </w:r>
      <w:r w:rsidR="006277EC">
        <w:t>,</w:t>
      </w:r>
      <w:r w:rsidR="00AE5994">
        <w:t xml:space="preserve"> </w:t>
      </w:r>
      <w:r w:rsidR="00AE5994" w:rsidRPr="00AE5994">
        <w:t>Mr. Ò</w:t>
      </w:r>
      <w:r w:rsidR="00AE5994">
        <w:t>.</w:t>
      </w:r>
      <w:r w:rsidR="00A673C7">
        <w:t xml:space="preserve"> </w:t>
      </w:r>
      <w:r w:rsidR="00A673C7" w:rsidRPr="00AE5994">
        <w:t xml:space="preserve">Oliver </w:t>
      </w:r>
      <w:r w:rsidR="00AE5994">
        <w:t xml:space="preserve">had the opportunity during the </w:t>
      </w:r>
      <w:r w:rsidR="006277EC">
        <w:t xml:space="preserve">international conference </w:t>
      </w:r>
      <w:r w:rsidR="00AE5994">
        <w:t xml:space="preserve">to </w:t>
      </w:r>
      <w:r>
        <w:t xml:space="preserve">introduce the report on recent activities of CETMO for consideration by the Working Party </w:t>
      </w:r>
      <w:bookmarkStart w:id="3" w:name="_Hlk524690933"/>
      <w:r>
        <w:t>(Informal document No.</w:t>
      </w:r>
      <w:r w:rsidR="00CC43CB">
        <w:t>4</w:t>
      </w:r>
      <w:r>
        <w:t>)</w:t>
      </w:r>
      <w:bookmarkEnd w:id="3"/>
      <w:r>
        <w:t>.</w:t>
      </w:r>
    </w:p>
    <w:p w14:paraId="6BC5DB65" w14:textId="0BE19168" w:rsidR="00AE5994" w:rsidRDefault="00876B96" w:rsidP="00AE5994">
      <w:pPr>
        <w:pStyle w:val="SingleTxtG"/>
      </w:pPr>
      <w:r>
        <w:t>2</w:t>
      </w:r>
      <w:r w:rsidR="00C76913">
        <w:t>9</w:t>
      </w:r>
      <w:r>
        <w:t>.</w:t>
      </w:r>
      <w:r>
        <w:tab/>
      </w:r>
      <w:r w:rsidR="00AE5994">
        <w:t xml:space="preserve">The Working Party took note with appreciation that a Memorandum of Understanding (MoU) between CETMO and ECE will be signed after final approval by </w:t>
      </w:r>
      <w:r w:rsidR="00563ED0" w:rsidRPr="004329A5">
        <w:t xml:space="preserve">the Executive Committee </w:t>
      </w:r>
      <w:r w:rsidR="00563ED0">
        <w:t xml:space="preserve">(EXCOM) </w:t>
      </w:r>
      <w:r w:rsidR="00AE5994">
        <w:t>(21 September</w:t>
      </w:r>
      <w:r w:rsidR="006277EC">
        <w:t xml:space="preserve"> 2018</w:t>
      </w:r>
      <w:r w:rsidR="00AE5994">
        <w:t>) that would further enhance the cooperation among the two institutions. The main objectives of this MoU would be the development of an integrated intermodal network in the CETMO region, the promotion and implementation of the U</w:t>
      </w:r>
      <w:r w:rsidR="00FB4CF5">
        <w:t xml:space="preserve">nited </w:t>
      </w:r>
      <w:r w:rsidR="00AE5994">
        <w:t>N</w:t>
      </w:r>
      <w:r w:rsidR="00FB4CF5">
        <w:t>ations</w:t>
      </w:r>
      <w:r w:rsidR="00AE5994">
        <w:t xml:space="preserve"> transport conventions as well as the cooperation to expand the international transport infrastructure observatory in the CETMO region. </w:t>
      </w:r>
    </w:p>
    <w:p w14:paraId="207EB112" w14:textId="77777777" w:rsidR="00426F5C" w:rsidRDefault="00C76913" w:rsidP="00DA334F">
      <w:pPr>
        <w:ind w:left="1134" w:right="1134"/>
        <w:jc w:val="both"/>
      </w:pPr>
      <w:r>
        <w:t>30</w:t>
      </w:r>
      <w:r w:rsidR="00DA334F">
        <w:t>.</w:t>
      </w:r>
      <w:r w:rsidR="00DA334F">
        <w:tab/>
        <w:t>The Working Party expressed its appreciation to the CETMO secretariat for its comprehensive report</w:t>
      </w:r>
      <w:r w:rsidR="008F057A">
        <w:t xml:space="preserve">, welcomed the cooperation between the two institutions </w:t>
      </w:r>
      <w:r w:rsidR="00DA334F">
        <w:t>and requested an update on CETMO activities for its next session in 201</w:t>
      </w:r>
      <w:r w:rsidR="00AE5994">
        <w:t>9</w:t>
      </w:r>
      <w:r w:rsidR="00DA334F">
        <w:t>.</w:t>
      </w:r>
    </w:p>
    <w:p w14:paraId="375BD149" w14:textId="77777777" w:rsidR="00426F5C" w:rsidRPr="003A2A8F" w:rsidRDefault="00FA451B">
      <w:pPr>
        <w:pStyle w:val="H1G"/>
      </w:pPr>
      <w:r w:rsidRPr="003A2A8F">
        <w:tab/>
        <w:t>B.</w:t>
      </w:r>
      <w:r w:rsidRPr="003A2A8F">
        <w:tab/>
      </w:r>
      <w:r w:rsidR="00426F5C" w:rsidRPr="003A2A8F">
        <w:t>The Euro-Mediterranean transport network</w:t>
      </w:r>
    </w:p>
    <w:p w14:paraId="5878BDE0" w14:textId="77777777" w:rsidR="00426F5C" w:rsidRPr="00426F5C" w:rsidRDefault="00C76913" w:rsidP="00EA1B34">
      <w:pPr>
        <w:ind w:left="1134" w:right="1134"/>
        <w:jc w:val="both"/>
      </w:pPr>
      <w:r>
        <w:t>31</w:t>
      </w:r>
      <w:r w:rsidR="00DA334F">
        <w:t>.</w:t>
      </w:r>
      <w:r w:rsidR="00DA334F">
        <w:tab/>
      </w:r>
      <w:r w:rsidR="001C6822">
        <w:t>Nothing was reported under this agenda item</w:t>
      </w:r>
      <w:r w:rsidR="00CC43CB" w:rsidRPr="00CC43CB">
        <w:t>.</w:t>
      </w:r>
    </w:p>
    <w:p w14:paraId="2B192AD8" w14:textId="77777777" w:rsidR="004B1C28" w:rsidRPr="003A2A8F" w:rsidRDefault="00DA334F">
      <w:pPr>
        <w:pStyle w:val="H1G"/>
      </w:pPr>
      <w:r w:rsidRPr="003A2A8F">
        <w:tab/>
      </w:r>
      <w:r w:rsidR="00FA451B" w:rsidRPr="003A2A8F">
        <w:t>C.</w:t>
      </w:r>
      <w:r w:rsidRPr="003A2A8F">
        <w:tab/>
      </w:r>
      <w:r w:rsidR="004B1C28" w:rsidRPr="003A2A8F">
        <w:t xml:space="preserve">Report of the Union for the Mediterranean </w:t>
      </w:r>
    </w:p>
    <w:p w14:paraId="7F8D6C98" w14:textId="5ED079DA" w:rsidR="00E6335F" w:rsidRPr="00E6335F" w:rsidRDefault="00C76913" w:rsidP="008806C6">
      <w:pPr>
        <w:pStyle w:val="SingleTxtG"/>
      </w:pPr>
      <w:r>
        <w:t>32</w:t>
      </w:r>
      <w:r w:rsidR="00DA334F" w:rsidRPr="00EA1B34">
        <w:t>.</w:t>
      </w:r>
      <w:r w:rsidR="00DA334F" w:rsidRPr="00EA1B34">
        <w:tab/>
      </w:r>
      <w:r w:rsidR="00CC43CB">
        <w:t xml:space="preserve">The </w:t>
      </w:r>
      <w:r w:rsidR="001C6822">
        <w:t xml:space="preserve">information provided by the </w:t>
      </w:r>
      <w:r w:rsidR="00CC43CB">
        <w:t>representative of CETMO</w:t>
      </w:r>
      <w:r w:rsidR="008806C6">
        <w:t xml:space="preserve"> </w:t>
      </w:r>
      <w:r w:rsidR="008806C6" w:rsidRPr="008806C6">
        <w:t>(Informal document No.4)</w:t>
      </w:r>
      <w:r w:rsidR="00CC43CB">
        <w:t xml:space="preserve"> </w:t>
      </w:r>
      <w:r w:rsidR="008806C6">
        <w:t>included also</w:t>
      </w:r>
      <w:r w:rsidR="00CC43CB">
        <w:t xml:space="preserve"> information about the current activities and developments of the </w:t>
      </w:r>
      <w:r w:rsidR="008806C6" w:rsidRPr="008806C6">
        <w:t>Union for the Mediterranean</w:t>
      </w:r>
      <w:r w:rsidR="00CC43CB">
        <w:t>.</w:t>
      </w:r>
    </w:p>
    <w:p w14:paraId="6F8BF209" w14:textId="77777777" w:rsidR="001C1DB7" w:rsidRPr="00842E35" w:rsidRDefault="00426F5C">
      <w:pPr>
        <w:pStyle w:val="HChG"/>
      </w:pPr>
      <w:r w:rsidRPr="00842E35">
        <w:tab/>
      </w:r>
      <w:r w:rsidR="001C1DB7" w:rsidRPr="00842E35">
        <w:t>VI</w:t>
      </w:r>
      <w:r w:rsidR="00AA6008" w:rsidRPr="00842E35">
        <w:t>I</w:t>
      </w:r>
      <w:r w:rsidR="007D65ED" w:rsidRPr="00842E35">
        <w:t>I</w:t>
      </w:r>
      <w:r w:rsidR="001C1DB7" w:rsidRPr="00842E35">
        <w:t>.</w:t>
      </w:r>
      <w:r w:rsidR="001C1DB7" w:rsidRPr="00842E35">
        <w:tab/>
        <w:t xml:space="preserve">Euro-Asian Transport Links (agenda </w:t>
      </w:r>
      <w:r w:rsidR="001C1DB7" w:rsidRPr="008F057A">
        <w:t xml:space="preserve">item </w:t>
      </w:r>
      <w:r w:rsidR="007D65ED" w:rsidRPr="008F057A">
        <w:t>7</w:t>
      </w:r>
      <w:r w:rsidR="001C1DB7" w:rsidRPr="008F057A">
        <w:t>)</w:t>
      </w:r>
    </w:p>
    <w:p w14:paraId="66D135FC" w14:textId="77777777" w:rsidR="001C1DB7" w:rsidRPr="00842E35" w:rsidRDefault="00C2300C">
      <w:pPr>
        <w:pStyle w:val="H1G"/>
      </w:pPr>
      <w:r w:rsidRPr="00842E35">
        <w:tab/>
      </w:r>
      <w:r w:rsidR="00D348C0" w:rsidRPr="00842E35">
        <w:t>A.</w:t>
      </w:r>
      <w:r w:rsidR="00D348C0" w:rsidRPr="00842E35">
        <w:tab/>
        <w:t>Progress in Euro-Asian Transport Links work</w:t>
      </w:r>
    </w:p>
    <w:p w14:paraId="0310E1FD" w14:textId="77777777" w:rsidR="00EC7929" w:rsidRPr="006409AD" w:rsidRDefault="00D348C0" w:rsidP="001C7F0A">
      <w:pPr>
        <w:pStyle w:val="SingleTxtG"/>
      </w:pPr>
      <w:r w:rsidRPr="006409AD">
        <w:rPr>
          <w:i/>
        </w:rPr>
        <w:t>Documentation:</w:t>
      </w:r>
      <w:r w:rsidRPr="006409AD">
        <w:t xml:space="preserve"> </w:t>
      </w:r>
      <w:r w:rsidR="008806C6" w:rsidRPr="008806C6">
        <w:t>EATL phase III Publication</w:t>
      </w:r>
    </w:p>
    <w:p w14:paraId="39BA476E" w14:textId="6793F6DB" w:rsidR="00C225C7" w:rsidRDefault="00C76913" w:rsidP="001C7F0A">
      <w:pPr>
        <w:pStyle w:val="SingleTxtG"/>
      </w:pPr>
      <w:r>
        <w:t>33</w:t>
      </w:r>
      <w:r w:rsidR="00D348C0" w:rsidRPr="007008E1">
        <w:t>.</w:t>
      </w:r>
      <w:r w:rsidR="00D348C0" w:rsidRPr="00EC7929">
        <w:tab/>
      </w:r>
      <w:r w:rsidR="00C225C7">
        <w:t xml:space="preserve">The </w:t>
      </w:r>
      <w:r w:rsidR="002C5792" w:rsidRPr="002C5792">
        <w:t xml:space="preserve">Inland Transport Committee (ITC) </w:t>
      </w:r>
      <w:r w:rsidR="00C225C7">
        <w:t>during its eightieth session requested the Working Party (ECE/TRANS/274</w:t>
      </w:r>
      <w:r w:rsidR="00A673C7">
        <w:t>,</w:t>
      </w:r>
      <w:r w:rsidR="00C225C7">
        <w:t xml:space="preserve"> para</w:t>
      </w:r>
      <w:r w:rsidR="00A673C7">
        <w:t>.</w:t>
      </w:r>
      <w:r w:rsidR="00C225C7">
        <w:t xml:space="preserve"> 71) to address on a regular basis the topic of the intermodal issues </w:t>
      </w:r>
      <w:r w:rsidR="00563ED0">
        <w:t xml:space="preserve">on </w:t>
      </w:r>
      <w:r w:rsidR="00C225C7">
        <w:t>the Euro-Asian Transport Links.</w:t>
      </w:r>
    </w:p>
    <w:p w14:paraId="3A531A5C" w14:textId="3272129D" w:rsidR="0080200E" w:rsidRDefault="00C225C7" w:rsidP="001C7F0A">
      <w:pPr>
        <w:pStyle w:val="SingleTxtG"/>
      </w:pPr>
      <w:r>
        <w:t>3</w:t>
      </w:r>
      <w:r w:rsidR="00C76913">
        <w:t>4</w:t>
      </w:r>
      <w:r>
        <w:t>.</w:t>
      </w:r>
      <w:r>
        <w:tab/>
      </w:r>
      <w:r w:rsidR="00947336">
        <w:t>This topic was extensively discussed during the international conference on “</w:t>
      </w:r>
      <w:r w:rsidR="00563ED0">
        <w:t xml:space="preserve">Making </w:t>
      </w:r>
      <w:r w:rsidR="00947336">
        <w:t xml:space="preserve">the Euro-Asian transport corridors operational”. </w:t>
      </w:r>
    </w:p>
    <w:p w14:paraId="21270C46" w14:textId="47B98251" w:rsidR="00270D44" w:rsidRDefault="00D8052E" w:rsidP="001C7F0A">
      <w:pPr>
        <w:pStyle w:val="SingleTxtG"/>
      </w:pPr>
      <w:r>
        <w:t>3</w:t>
      </w:r>
      <w:r w:rsidR="00C76913">
        <w:t>5</w:t>
      </w:r>
      <w:r>
        <w:t>.</w:t>
      </w:r>
      <w:r>
        <w:tab/>
        <w:t>The Working Party took note that the report of EATL phase III is being prepared as a U</w:t>
      </w:r>
      <w:r w:rsidR="00563ED0">
        <w:t xml:space="preserve">nited </w:t>
      </w:r>
      <w:r>
        <w:t>N</w:t>
      </w:r>
      <w:r w:rsidR="00563ED0">
        <w:t>ations</w:t>
      </w:r>
      <w:r>
        <w:t xml:space="preserve"> publication and that it should be ready </w:t>
      </w:r>
      <w:r w:rsidR="00FA5B62">
        <w:t xml:space="preserve">most probably for </w:t>
      </w:r>
      <w:r w:rsidR="002C5792">
        <w:t>ITC</w:t>
      </w:r>
      <w:r w:rsidR="00FA5B62">
        <w:t xml:space="preserve"> in February. </w:t>
      </w:r>
      <w:r w:rsidR="00CC20B1">
        <w:t xml:space="preserve">Furthermore, the Working Party </w:t>
      </w:r>
      <w:r w:rsidR="00270D44">
        <w:t>was informed by the secretariat that for administrative purposes the EATL publication “</w:t>
      </w:r>
      <w:r w:rsidR="00270D44" w:rsidRPr="00270D44">
        <w:t>Euro-Asian Transport Linkages – Operationalisation of inland transport links between Europe and Asia”</w:t>
      </w:r>
      <w:r w:rsidR="00270D44">
        <w:t xml:space="preserve"> will be published by using the slot </w:t>
      </w:r>
      <w:r w:rsidR="00270D44" w:rsidRPr="00270D44">
        <w:t xml:space="preserve">in the </w:t>
      </w:r>
      <w:r w:rsidR="00563ED0">
        <w:t>p</w:t>
      </w:r>
      <w:r w:rsidR="00563ED0" w:rsidRPr="00270D44">
        <w:t xml:space="preserve">ublications </w:t>
      </w:r>
      <w:r w:rsidR="00563ED0">
        <w:t>p</w:t>
      </w:r>
      <w:r w:rsidR="00563ED0" w:rsidRPr="00270D44">
        <w:t xml:space="preserve">rogramme </w:t>
      </w:r>
      <w:r w:rsidR="00270D44" w:rsidRPr="00270D44">
        <w:t xml:space="preserve">for 2018–2019 (item 26/2869) </w:t>
      </w:r>
      <w:r w:rsidR="00270D44">
        <w:t xml:space="preserve">of </w:t>
      </w:r>
      <w:r w:rsidR="00270D44" w:rsidRPr="00270D44">
        <w:t>the “Study on border crossing and customs questions affecting transport”</w:t>
      </w:r>
      <w:r w:rsidR="00270D44">
        <w:t xml:space="preserve">. This slot became available </w:t>
      </w:r>
      <w:r w:rsidR="00270D44" w:rsidRPr="00270D44">
        <w:t>since the main object</w:t>
      </w:r>
      <w:r w:rsidR="00270D44">
        <w:t>ive</w:t>
      </w:r>
      <w:r w:rsidR="00270D44" w:rsidRPr="00270D44">
        <w:t xml:space="preserve"> of the study had lost its relevance due to recent developments in the application of </w:t>
      </w:r>
      <w:r w:rsidR="00270D44" w:rsidRPr="00270D44">
        <w:lastRenderedPageBreak/>
        <w:t>the TIR Convention</w:t>
      </w:r>
      <w:r w:rsidR="00270D44">
        <w:t>. Two</w:t>
      </w:r>
      <w:r w:rsidR="00563ED0">
        <w:t>-</w:t>
      </w:r>
      <w:r w:rsidR="00270D44">
        <w:t xml:space="preserve">hundred copies will be published in English and </w:t>
      </w:r>
      <w:r w:rsidR="00563ED0">
        <w:t>one-hundred-</w:t>
      </w:r>
      <w:r w:rsidR="00270D44">
        <w:t xml:space="preserve">fifty in Russian. The Working Party approved the use of this slot. </w:t>
      </w:r>
    </w:p>
    <w:p w14:paraId="720E8C87" w14:textId="77777777" w:rsidR="00096C7A" w:rsidRPr="00EC41C9" w:rsidRDefault="00096C7A" w:rsidP="00550072">
      <w:pPr>
        <w:pStyle w:val="H1G"/>
      </w:pPr>
      <w:r w:rsidRPr="00550072">
        <w:tab/>
      </w:r>
      <w:r w:rsidRPr="00EC41C9">
        <w:t>B.</w:t>
      </w:r>
      <w:r w:rsidRPr="00EC41C9">
        <w:tab/>
      </w:r>
      <w:r w:rsidR="00767A61" w:rsidRPr="00EC41C9">
        <w:t>International Transport Infrastructure Observatory</w:t>
      </w:r>
    </w:p>
    <w:p w14:paraId="3332129A" w14:textId="68890FA6" w:rsidR="00FB423C" w:rsidRPr="00767A61" w:rsidRDefault="00FB423C" w:rsidP="001C7F0A">
      <w:pPr>
        <w:pStyle w:val="SingleTxtG"/>
        <w:rPr>
          <w:lang w:val="fr-CH"/>
        </w:rPr>
      </w:pPr>
      <w:r w:rsidRPr="00767A61">
        <w:rPr>
          <w:i/>
          <w:lang w:val="fr-CH"/>
        </w:rPr>
        <w:t>Documentation:</w:t>
      </w:r>
      <w:r w:rsidRPr="00767A61">
        <w:rPr>
          <w:lang w:val="fr-CH"/>
        </w:rPr>
        <w:t xml:space="preserve"> </w:t>
      </w:r>
      <w:r w:rsidR="00FB4CF5">
        <w:rPr>
          <w:lang w:val="fr-CH"/>
        </w:rPr>
        <w:t>E</w:t>
      </w:r>
      <w:r w:rsidR="00767A61" w:rsidRPr="00767A61">
        <w:rPr>
          <w:lang w:val="fr-CH"/>
        </w:rPr>
        <w:t>CE/TRANS/WP.5/2016/3, ECE/TRANS/2018/4</w:t>
      </w:r>
    </w:p>
    <w:p w14:paraId="230065A7" w14:textId="32C926B5" w:rsidR="004D7EAF" w:rsidRDefault="00550072" w:rsidP="00F82C03">
      <w:pPr>
        <w:pStyle w:val="SingleTxtG"/>
      </w:pPr>
      <w:r>
        <w:t>3</w:t>
      </w:r>
      <w:r w:rsidR="00C76913">
        <w:t>6</w:t>
      </w:r>
      <w:r>
        <w:t>.</w:t>
      </w:r>
      <w:r>
        <w:tab/>
      </w:r>
      <w:r w:rsidR="00FB423C">
        <w:t>The Working Party recalled that during its last session</w:t>
      </w:r>
      <w:r w:rsidR="004D7EAF">
        <w:t xml:space="preserve"> was informed about </w:t>
      </w:r>
      <w:r w:rsidR="004D7EAF" w:rsidRPr="004D7EAF">
        <w:t>the development of a transport infrastructure observatory in Europe and Asia which should include all existing initiatives on transport infrastructure development in the European and Asian continents (ECE/TRANS/WP.5/2016/3, ECE/TRANS/2018/4</w:t>
      </w:r>
      <w:r w:rsidR="006842D6">
        <w:t>)</w:t>
      </w:r>
      <w:r w:rsidR="004D7EAF">
        <w:t xml:space="preserve">. More information about this observatory can be found at: </w:t>
      </w:r>
      <w:hyperlink r:id="rId10" w:history="1">
        <w:r w:rsidR="004D7EAF" w:rsidRPr="006A760B">
          <w:rPr>
            <w:rStyle w:val="Hyperlink"/>
          </w:rPr>
          <w:t>www.unece.org/trans/main/wp5/international_transport_infrastructure_observatory.html</w:t>
        </w:r>
      </w:hyperlink>
      <w:r w:rsidR="004D7EAF" w:rsidRPr="004D7EAF">
        <w:t>.</w:t>
      </w:r>
    </w:p>
    <w:p w14:paraId="61488AFD" w14:textId="69DEB9F4" w:rsidR="00550072" w:rsidRDefault="004D7EAF" w:rsidP="001A287F">
      <w:pPr>
        <w:pStyle w:val="SingleTxtG"/>
      </w:pPr>
      <w:r>
        <w:t>3</w:t>
      </w:r>
      <w:r w:rsidR="00C76913">
        <w:t>7</w:t>
      </w:r>
      <w:r>
        <w:t>.</w:t>
      </w:r>
      <w:r>
        <w:tab/>
        <w:t>The secretariat informed the Working Party that the preparation of the observatory is based on funds received by Islamic Development Bank concerning a similar financing transport infrastructure project</w:t>
      </w:r>
      <w:r w:rsidR="008D7CC1">
        <w:t xml:space="preserve"> the “</w:t>
      </w:r>
      <w:r w:rsidR="001A287F" w:rsidRPr="001A287F">
        <w:t>Strengthening regional connectivity with the establishment of a Geographical Information System (GIS)</w:t>
      </w:r>
      <w:r w:rsidR="001A287F">
        <w:t>”</w:t>
      </w:r>
      <w:r>
        <w:t xml:space="preserve">. </w:t>
      </w:r>
      <w:r w:rsidR="001A287F">
        <w:t xml:space="preserve">The observatory </w:t>
      </w:r>
      <w:r w:rsidR="001A287F" w:rsidRPr="001A287F">
        <w:t xml:space="preserve">is an innovative example of how </w:t>
      </w:r>
      <w:r w:rsidR="00563ED0">
        <w:t>g</w:t>
      </w:r>
      <w:r w:rsidR="00563ED0" w:rsidRPr="001A287F">
        <w:t xml:space="preserve">overnment </w:t>
      </w:r>
      <w:r w:rsidR="001A287F" w:rsidRPr="001A287F">
        <w:t>data on new transport infrastructure projects is presented to financial institutions in a transparent, comprehensive and "bankable" way. The observatory is devised as an online platform where (a) governments find all the relevant data to prepare, benchmark and present their transport infrastructure projects</w:t>
      </w:r>
      <w:r w:rsidR="00A673C7">
        <w:t>,</w:t>
      </w:r>
      <w:r w:rsidR="001A287F" w:rsidRPr="001A287F">
        <w:t xml:space="preserve"> and (b) financial institutions can consider, analyse and compare projects from a regional/international perspective and identify projects to finance.</w:t>
      </w:r>
    </w:p>
    <w:p w14:paraId="3708E527" w14:textId="77777777" w:rsidR="00F82C03" w:rsidRDefault="007968AC" w:rsidP="00FB423C">
      <w:pPr>
        <w:pStyle w:val="SingleTxtG"/>
      </w:pPr>
      <w:r>
        <w:t>3</w:t>
      </w:r>
      <w:r w:rsidR="00C76913">
        <w:t>8</w:t>
      </w:r>
      <w:r>
        <w:t>.</w:t>
      </w:r>
      <w:r>
        <w:tab/>
      </w:r>
      <w:r w:rsidR="00F82C03" w:rsidRPr="00F82C03">
        <w:t>The Working Party requested the secretariat to provide more information on this issue at its next session.</w:t>
      </w:r>
    </w:p>
    <w:p w14:paraId="6B4BC974" w14:textId="77777777" w:rsidR="008E18E5" w:rsidRPr="00444FB7" w:rsidRDefault="008E18E5" w:rsidP="00444FB7">
      <w:pPr>
        <w:pStyle w:val="H1G"/>
      </w:pPr>
      <w:r w:rsidRPr="00444FB7">
        <w:tab/>
      </w:r>
      <w:r w:rsidR="00096C7A">
        <w:t>C</w:t>
      </w:r>
      <w:r w:rsidRPr="00444FB7">
        <w:t>.</w:t>
      </w:r>
      <w:r w:rsidRPr="00444FB7">
        <w:tab/>
        <w:t>Other Euro-Asian transport initiatives</w:t>
      </w:r>
    </w:p>
    <w:p w14:paraId="557C617F" w14:textId="77777777" w:rsidR="00466847" w:rsidRDefault="00002B64" w:rsidP="00466847">
      <w:pPr>
        <w:pStyle w:val="SingleTxtG"/>
      </w:pPr>
      <w:r>
        <w:t>3</w:t>
      </w:r>
      <w:r w:rsidR="00C76913">
        <w:t>9</w:t>
      </w:r>
      <w:r w:rsidR="008E18E5" w:rsidRPr="001022B6">
        <w:t>.</w:t>
      </w:r>
      <w:r w:rsidR="008E18E5" w:rsidRPr="00033EF3">
        <w:tab/>
      </w:r>
      <w:r w:rsidR="00466847">
        <w:t xml:space="preserve">No other initiatives were reported under this agenda item. </w:t>
      </w:r>
    </w:p>
    <w:p w14:paraId="1FB536CE" w14:textId="77777777" w:rsidR="006F2604" w:rsidRDefault="006F2604" w:rsidP="006F2604">
      <w:pPr>
        <w:pStyle w:val="HChG"/>
      </w:pPr>
      <w:r>
        <w:tab/>
      </w:r>
      <w:r w:rsidR="003B5319">
        <w:t>IX.</w:t>
      </w:r>
      <w:r w:rsidRPr="006F2604">
        <w:tab/>
      </w:r>
      <w:r w:rsidR="007B54E1" w:rsidRPr="007B54E1">
        <w:t>Group of Experts on Benchmarking Transport Infrastructure Construction Costs</w:t>
      </w:r>
      <w:r w:rsidR="007B54E1" w:rsidRPr="007B54E1" w:rsidDel="007B54E1">
        <w:t xml:space="preserve"> </w:t>
      </w:r>
      <w:r w:rsidRPr="006F2604">
        <w:t>(agenda item 8)</w:t>
      </w:r>
    </w:p>
    <w:p w14:paraId="0604455F" w14:textId="77777777" w:rsidR="006F2604" w:rsidRPr="00B22097" w:rsidRDefault="006F2604" w:rsidP="001C7F0A">
      <w:pPr>
        <w:pStyle w:val="SingleTxtG"/>
        <w:jc w:val="left"/>
      </w:pPr>
      <w:r w:rsidRPr="00B22097">
        <w:rPr>
          <w:i/>
        </w:rPr>
        <w:t>Documentation:</w:t>
      </w:r>
      <w:r w:rsidR="00F26340" w:rsidRPr="00B22097">
        <w:rPr>
          <w:i/>
        </w:rPr>
        <w:t xml:space="preserve"> </w:t>
      </w:r>
      <w:r w:rsidR="00473594" w:rsidRPr="00473594">
        <w:t>ECE/TRANS/WP.5/GE.4/10, ECE/TRANS/WP.5/GE.4/12, ECE/TRANS/WP.5/GE.4/14</w:t>
      </w:r>
    </w:p>
    <w:p w14:paraId="6CE5FA64" w14:textId="5F29AE55" w:rsidR="00B22097" w:rsidRDefault="00C76913" w:rsidP="00F26340">
      <w:pPr>
        <w:pStyle w:val="SingleTxtG"/>
      </w:pPr>
      <w:r>
        <w:t>40</w:t>
      </w:r>
      <w:r w:rsidR="006F2604" w:rsidRPr="007008E1">
        <w:t>.</w:t>
      </w:r>
      <w:r w:rsidR="006F2604">
        <w:tab/>
      </w:r>
      <w:r w:rsidR="00F26340">
        <w:t xml:space="preserve">The Working Party </w:t>
      </w:r>
      <w:r w:rsidR="00B22097">
        <w:t xml:space="preserve">was informed by the Chair of the Group of Experts </w:t>
      </w:r>
      <w:r w:rsidR="00563ED0">
        <w:t xml:space="preserve">about </w:t>
      </w:r>
      <w:r w:rsidR="00B22097">
        <w:t xml:space="preserve">the work undertaken during the three meetings of the Group that took place after the last session of the Working Party. The Working Party noted that </w:t>
      </w:r>
      <w:r w:rsidR="00473594">
        <w:t>for all transport modes including the intermodal terminals and the ports sub</w:t>
      </w:r>
      <w:r w:rsidR="00563ED0">
        <w:t>-</w:t>
      </w:r>
      <w:r w:rsidR="00473594">
        <w:t xml:space="preserve">groups have been prepared </w:t>
      </w:r>
      <w:r w:rsidR="004329A5">
        <w:t xml:space="preserve">led by a </w:t>
      </w:r>
      <w:r w:rsidR="00563ED0">
        <w:t>government</w:t>
      </w:r>
      <w:r w:rsidR="004329A5">
        <w:t xml:space="preserve">, </w:t>
      </w:r>
      <w:r w:rsidR="00563ED0">
        <w:t>railway undertakings</w:t>
      </w:r>
      <w:r w:rsidR="004329A5">
        <w:t xml:space="preserve">, </w:t>
      </w:r>
      <w:r w:rsidR="00563ED0">
        <w:t xml:space="preserve">associations </w:t>
      </w:r>
      <w:r w:rsidR="004329A5">
        <w:t>or a Working Party. For the five items under discussion, meaning roads, railways, inland waterways, ports and intermodal terminals draft terminologies and questionnaires in order to collect data for the benchmarking study have been prepared. For roads these terminologies and questionnaire have already</w:t>
      </w:r>
      <w:r w:rsidR="00563ED0">
        <w:t xml:space="preserve"> been</w:t>
      </w:r>
      <w:r w:rsidR="004329A5">
        <w:t xml:space="preserve"> sent to the Governments in order to collect the relevant data. </w:t>
      </w:r>
      <w:r w:rsidR="006842D6">
        <w:t>For all the other transport modes the work is in progress and input is required by the Governments.</w:t>
      </w:r>
    </w:p>
    <w:p w14:paraId="4DC3C6F6" w14:textId="0FA2581D" w:rsidR="004329A5" w:rsidRDefault="00C76913" w:rsidP="00F26340">
      <w:pPr>
        <w:pStyle w:val="SingleTxtG"/>
      </w:pPr>
      <w:r>
        <w:t>41</w:t>
      </w:r>
      <w:r w:rsidR="004329A5">
        <w:t>.</w:t>
      </w:r>
      <w:r w:rsidR="004329A5">
        <w:tab/>
        <w:t xml:space="preserve">The Chair of the Group stated that more time is needed for the Group to finalize its objectives and deliver its final report. The Working Party appreciated the work done by the Group and thanked the experts for their efforts and contribution. The Working Party also recognized the challenges that the Group faces and therefore decided to </w:t>
      </w:r>
      <w:r w:rsidR="004329A5" w:rsidRPr="004329A5">
        <w:t xml:space="preserve">approve the </w:t>
      </w:r>
      <w:r w:rsidR="004329A5" w:rsidRPr="004329A5">
        <w:lastRenderedPageBreak/>
        <w:t xml:space="preserve">extension of the mandate of the Group for one more year. This extension for one more year should be realized after the final approval by the EXCOM in 2019 in order for the experts to have the opportunity to meet at least four times before submitting their final report to the thirty-third session of </w:t>
      </w:r>
      <w:r w:rsidR="004329A5">
        <w:t>the Working Party</w:t>
      </w:r>
      <w:r w:rsidR="004329A5" w:rsidRPr="004329A5">
        <w:t xml:space="preserve"> in 2020.</w:t>
      </w:r>
    </w:p>
    <w:p w14:paraId="6AB4B64A" w14:textId="77777777" w:rsidR="00F26340" w:rsidRDefault="004329A5" w:rsidP="00F26340">
      <w:pPr>
        <w:pStyle w:val="SingleTxtG"/>
      </w:pPr>
      <w:r>
        <w:t>4</w:t>
      </w:r>
      <w:r w:rsidR="00C76913">
        <w:t>2</w:t>
      </w:r>
      <w:r w:rsidR="00917CC7">
        <w:t>.</w:t>
      </w:r>
      <w:r w:rsidR="00917CC7">
        <w:tab/>
      </w:r>
      <w:r w:rsidR="00413AAB">
        <w:t>The Working Party t</w:t>
      </w:r>
      <w:r w:rsidR="00413AAB" w:rsidRPr="00413AAB">
        <w:t>ook note o</w:t>
      </w:r>
      <w:r w:rsidR="00413AAB">
        <w:t>f</w:t>
      </w:r>
      <w:r w:rsidR="00413AAB" w:rsidRPr="00413AAB">
        <w:t xml:space="preserve"> the information provided by the </w:t>
      </w:r>
      <w:r w:rsidR="00143557">
        <w:t xml:space="preserve">Chair of the Group and </w:t>
      </w:r>
      <w:r w:rsidR="006842D6">
        <w:t xml:space="preserve">the </w:t>
      </w:r>
      <w:r w:rsidR="00413AAB" w:rsidRPr="00413AAB">
        <w:t>secretariat</w:t>
      </w:r>
      <w:r w:rsidR="00143557">
        <w:t xml:space="preserve"> and it </w:t>
      </w:r>
      <w:r w:rsidR="00143557" w:rsidRPr="00F26340">
        <w:t>requested</w:t>
      </w:r>
      <w:r w:rsidR="00F26340" w:rsidRPr="00F26340">
        <w:t xml:space="preserve"> the secretariat to provide more information on this issue at its next session.</w:t>
      </w:r>
    </w:p>
    <w:p w14:paraId="31C21671" w14:textId="77777777" w:rsidR="002A3E33" w:rsidRDefault="003E2B1E" w:rsidP="009D3677">
      <w:pPr>
        <w:pStyle w:val="HChG"/>
      </w:pPr>
      <w:r>
        <w:tab/>
      </w:r>
      <w:r w:rsidR="003B5319" w:rsidRPr="00F26340">
        <w:t>X.</w:t>
      </w:r>
      <w:r w:rsidR="002A3E33" w:rsidRPr="00F26340">
        <w:tab/>
      </w:r>
      <w:r w:rsidR="00096C7A" w:rsidRPr="00F26340">
        <w:t xml:space="preserve">Urban mobility and Public Transport: </w:t>
      </w:r>
      <w:r w:rsidR="00934B94">
        <w:t>P</w:t>
      </w:r>
      <w:r w:rsidR="00096C7A" w:rsidRPr="00F26340">
        <w:t xml:space="preserve">an-European master plan for cycling </w:t>
      </w:r>
      <w:r w:rsidR="002A3E33" w:rsidRPr="00F26340">
        <w:t>(agenda item 9)</w:t>
      </w:r>
    </w:p>
    <w:p w14:paraId="7DE3B38E" w14:textId="77777777" w:rsidR="00053C1E" w:rsidRDefault="005E6AEB" w:rsidP="005F2E45">
      <w:pPr>
        <w:pStyle w:val="SingleTxtG"/>
      </w:pPr>
      <w:r w:rsidRPr="00E56FC3">
        <w:rPr>
          <w:i/>
        </w:rPr>
        <w:t>Documentation:</w:t>
      </w:r>
      <w:r w:rsidRPr="005E6AEB">
        <w:t xml:space="preserve"> </w:t>
      </w:r>
      <w:r w:rsidR="00053C1E" w:rsidRPr="00053C1E">
        <w:t xml:space="preserve">Informal </w:t>
      </w:r>
      <w:r w:rsidR="00934B94">
        <w:t>d</w:t>
      </w:r>
      <w:r w:rsidR="00934B94" w:rsidRPr="00053C1E">
        <w:t xml:space="preserve">ocument </w:t>
      </w:r>
      <w:r w:rsidR="00053C1E" w:rsidRPr="00053C1E">
        <w:t xml:space="preserve">No. </w:t>
      </w:r>
      <w:r w:rsidR="00BC2A73">
        <w:t>5</w:t>
      </w:r>
    </w:p>
    <w:p w14:paraId="236C4BDE" w14:textId="271127E7" w:rsidR="007453FA" w:rsidRDefault="003B5319" w:rsidP="005F2E45">
      <w:pPr>
        <w:pStyle w:val="SingleTxtG"/>
      </w:pPr>
      <w:r>
        <w:t>4</w:t>
      </w:r>
      <w:r w:rsidR="00C76913">
        <w:t>3</w:t>
      </w:r>
      <w:r>
        <w:t>.</w:t>
      </w:r>
      <w:r w:rsidR="005E6AEB">
        <w:tab/>
      </w:r>
      <w:r w:rsidR="007453FA">
        <w:t xml:space="preserve">The Working Party recalled that at its last session </w:t>
      </w:r>
      <w:r w:rsidR="00E874A4">
        <w:t xml:space="preserve">was informed by the secretariat for the cooperation with the THE PEP </w:t>
      </w:r>
      <w:r w:rsidR="007453FA" w:rsidRPr="007453FA">
        <w:t>in develop</w:t>
      </w:r>
      <w:r w:rsidR="00934B94">
        <w:t>ing</w:t>
      </w:r>
      <w:r w:rsidR="007453FA" w:rsidRPr="007453FA">
        <w:t xml:space="preserve"> </w:t>
      </w:r>
      <w:r w:rsidR="00E874A4">
        <w:t xml:space="preserve">the infrastructure module of </w:t>
      </w:r>
      <w:r w:rsidR="007453FA" w:rsidRPr="007453FA">
        <w:t xml:space="preserve">the </w:t>
      </w:r>
      <w:r w:rsidR="00934B94">
        <w:t>P</w:t>
      </w:r>
      <w:r w:rsidR="00934B94" w:rsidRPr="007453FA">
        <w:t>an</w:t>
      </w:r>
      <w:r w:rsidR="007453FA" w:rsidRPr="007453FA">
        <w:t xml:space="preserve">-European master plan for cycling </w:t>
      </w:r>
      <w:r w:rsidR="00E874A4">
        <w:t>(</w:t>
      </w:r>
      <w:r w:rsidR="007453FA" w:rsidRPr="007453FA">
        <w:t>ECE/TRANS/WP.5/2016/4</w:t>
      </w:r>
      <w:r w:rsidR="00E874A4">
        <w:t xml:space="preserve">) based on methodology used for other ECE transport infrastructure projects such as TEM </w:t>
      </w:r>
      <w:r w:rsidR="00E55022">
        <w:t xml:space="preserve">and </w:t>
      </w:r>
      <w:r w:rsidR="00E874A4">
        <w:t xml:space="preserve">TER. </w:t>
      </w:r>
    </w:p>
    <w:p w14:paraId="0CA7521A" w14:textId="58349844" w:rsidR="00E874A4" w:rsidRDefault="007453FA" w:rsidP="001E1362">
      <w:pPr>
        <w:pStyle w:val="SingleTxtG"/>
      </w:pPr>
      <w:r w:rsidRPr="007008E1">
        <w:t>4</w:t>
      </w:r>
      <w:r w:rsidR="00C76913">
        <w:t>4</w:t>
      </w:r>
      <w:r w:rsidRPr="007008E1">
        <w:t>.</w:t>
      </w:r>
      <w:r>
        <w:tab/>
        <w:t xml:space="preserve">The secretariat informed the Working Party </w:t>
      </w:r>
      <w:r w:rsidR="00E874A4">
        <w:t>for the draft report already prepared by the consultants (</w:t>
      </w:r>
      <w:r w:rsidR="00E874A4" w:rsidRPr="00E874A4">
        <w:t>Informal document No. 5</w:t>
      </w:r>
      <w:r w:rsidR="00E874A4">
        <w:t xml:space="preserve">) which includes maps on cycling infrastructure from the majority of the countries of THE PEP cycling partnership as well as their capitals. </w:t>
      </w:r>
    </w:p>
    <w:p w14:paraId="0A0569BE" w14:textId="77777777" w:rsidR="00F926FB" w:rsidRDefault="00F926FB" w:rsidP="001E1362">
      <w:pPr>
        <w:pStyle w:val="SingleTxtG"/>
      </w:pPr>
      <w:r>
        <w:t>4</w:t>
      </w:r>
      <w:r w:rsidR="00C76913">
        <w:t>5</w:t>
      </w:r>
      <w:r>
        <w:t>.</w:t>
      </w:r>
      <w:r>
        <w:tab/>
        <w:t xml:space="preserve">The Working Party thanked the </w:t>
      </w:r>
      <w:r w:rsidR="00E874A4">
        <w:t xml:space="preserve">secretariat for the information provided and requested to provide more updated information on this topic at its next session. </w:t>
      </w:r>
    </w:p>
    <w:p w14:paraId="0CB65DA4" w14:textId="77777777" w:rsidR="004D2BC0" w:rsidRPr="00185635" w:rsidRDefault="005C117A" w:rsidP="00444FB7">
      <w:pPr>
        <w:pStyle w:val="HChG"/>
      </w:pPr>
      <w:r w:rsidRPr="00444FB7">
        <w:tab/>
      </w:r>
      <w:r w:rsidR="006F2604" w:rsidRPr="00185635">
        <w:t>X</w:t>
      </w:r>
      <w:r w:rsidR="00072A39">
        <w:t>I</w:t>
      </w:r>
      <w:r w:rsidR="002320E6" w:rsidRPr="00185635">
        <w:t>.</w:t>
      </w:r>
      <w:r w:rsidR="002320E6" w:rsidRPr="00185635">
        <w:tab/>
        <w:t xml:space="preserve">Climate Change and </w:t>
      </w:r>
      <w:r w:rsidR="005C47F3" w:rsidRPr="00185635">
        <w:t xml:space="preserve">Transport </w:t>
      </w:r>
      <w:r w:rsidR="002320E6" w:rsidRPr="00185635">
        <w:t xml:space="preserve">(agenda item </w:t>
      </w:r>
      <w:r w:rsidR="00072A39">
        <w:t>10</w:t>
      </w:r>
      <w:r w:rsidR="002320E6" w:rsidRPr="00185635">
        <w:t>)</w:t>
      </w:r>
    </w:p>
    <w:p w14:paraId="4B331838" w14:textId="77777777" w:rsidR="002320E6" w:rsidRPr="00444FB7" w:rsidRDefault="00A52B7F" w:rsidP="00444FB7">
      <w:pPr>
        <w:pStyle w:val="H1G"/>
      </w:pPr>
      <w:r w:rsidRPr="00185635">
        <w:tab/>
        <w:t>A.</w:t>
      </w:r>
      <w:r w:rsidR="005C117A" w:rsidRPr="00185635">
        <w:tab/>
      </w:r>
      <w:r w:rsidRPr="00FA4367">
        <w:t xml:space="preserve">Group of Experts on </w:t>
      </w:r>
      <w:r w:rsidR="00631B31" w:rsidRPr="00FA4367">
        <w:t xml:space="preserve">Climate Change </w:t>
      </w:r>
      <w:r w:rsidR="00B61241" w:rsidRPr="00FA4367">
        <w:t xml:space="preserve">Impacts </w:t>
      </w:r>
      <w:r w:rsidRPr="00FA4367">
        <w:t xml:space="preserve">and </w:t>
      </w:r>
      <w:r w:rsidR="00B61241" w:rsidRPr="00FA4367">
        <w:t xml:space="preserve">Adaptation </w:t>
      </w:r>
      <w:r w:rsidR="001F0EFE">
        <w:t xml:space="preserve">for </w:t>
      </w:r>
      <w:r w:rsidR="00B61241" w:rsidRPr="00FA4367">
        <w:t>T</w:t>
      </w:r>
      <w:r w:rsidR="00631B31" w:rsidRPr="00FA4367">
        <w:t xml:space="preserve">ransport </w:t>
      </w:r>
      <w:r w:rsidR="00B61241" w:rsidRPr="00FA4367">
        <w:t xml:space="preserve">Networks </w:t>
      </w:r>
      <w:r w:rsidR="00185635" w:rsidRPr="00FA4367">
        <w:t xml:space="preserve">and </w:t>
      </w:r>
      <w:r w:rsidR="00B61241" w:rsidRPr="00FA4367">
        <w:t>Nodes</w:t>
      </w:r>
    </w:p>
    <w:p w14:paraId="02350CAA" w14:textId="11DF6259" w:rsidR="00053C1E" w:rsidRPr="00E874A4" w:rsidRDefault="00760088" w:rsidP="005344D5">
      <w:pPr>
        <w:pStyle w:val="SingleTxtG"/>
        <w:rPr>
          <w:bCs/>
          <w:iCs/>
          <w:lang w:val="fr-CH"/>
        </w:rPr>
      </w:pPr>
      <w:r w:rsidRPr="00E874A4">
        <w:rPr>
          <w:bCs/>
          <w:i/>
          <w:iCs/>
          <w:lang w:val="fr-CH"/>
        </w:rPr>
        <w:t>Documentation</w:t>
      </w:r>
      <w:r w:rsidRPr="00E874A4">
        <w:rPr>
          <w:bCs/>
          <w:lang w:val="fr-CH"/>
        </w:rPr>
        <w:t xml:space="preserve"> :</w:t>
      </w:r>
      <w:r w:rsidR="00E06920" w:rsidRPr="00E874A4">
        <w:rPr>
          <w:bCs/>
          <w:lang w:val="fr-CH"/>
        </w:rPr>
        <w:t xml:space="preserve"> </w:t>
      </w:r>
      <w:r w:rsidR="00E874A4" w:rsidRPr="00E874A4">
        <w:rPr>
          <w:bCs/>
          <w:iCs/>
          <w:lang w:val="fr-CH"/>
        </w:rPr>
        <w:t>ECE/TRANS/WP.5/GE.3/29</w:t>
      </w:r>
    </w:p>
    <w:p w14:paraId="483393F3" w14:textId="5D8DA880" w:rsidR="00E874A4" w:rsidRDefault="00002B64" w:rsidP="00E874A4">
      <w:pPr>
        <w:pStyle w:val="SingleTxtG"/>
      </w:pPr>
      <w:r w:rsidRPr="00053C1E">
        <w:t>4</w:t>
      </w:r>
      <w:r w:rsidR="00C76913">
        <w:t>6</w:t>
      </w:r>
      <w:r w:rsidR="00231C77" w:rsidRPr="00053C1E">
        <w:t>.</w:t>
      </w:r>
      <w:r w:rsidR="00231C77" w:rsidRPr="00053C1E">
        <w:tab/>
      </w:r>
      <w:r w:rsidR="00E874A4" w:rsidRPr="00E874A4">
        <w:t>The Working Party recall</w:t>
      </w:r>
      <w:r w:rsidR="00E874A4">
        <w:t>ed</w:t>
      </w:r>
      <w:r w:rsidR="00E874A4" w:rsidRPr="00E874A4">
        <w:t xml:space="preserve"> that at its last session</w:t>
      </w:r>
      <w:r w:rsidR="00E55022">
        <w:t>, it had</w:t>
      </w:r>
      <w:r w:rsidR="00E874A4" w:rsidRPr="00E874A4">
        <w:t xml:space="preserve"> approved the extension of the mandate of the Group for one more year after the final approval from EXCOM in order to report back its final report to the </w:t>
      </w:r>
      <w:r w:rsidR="00E55022">
        <w:t>W</w:t>
      </w:r>
      <w:r w:rsidR="00E55022" w:rsidRPr="00E874A4">
        <w:t xml:space="preserve">orking </w:t>
      </w:r>
      <w:r w:rsidR="00E55022">
        <w:t>P</w:t>
      </w:r>
      <w:r w:rsidR="00E55022" w:rsidRPr="00E874A4">
        <w:t xml:space="preserve">arty </w:t>
      </w:r>
      <w:r w:rsidR="00E874A4" w:rsidRPr="00E874A4">
        <w:t xml:space="preserve">in September 2019. </w:t>
      </w:r>
    </w:p>
    <w:p w14:paraId="7DBFA1F9" w14:textId="65D2ED98" w:rsidR="008C2BBF" w:rsidRDefault="00E874A4" w:rsidP="008C2BBF">
      <w:pPr>
        <w:pStyle w:val="SingleTxtG"/>
      </w:pPr>
      <w:r>
        <w:t>4</w:t>
      </w:r>
      <w:r w:rsidR="00C76913">
        <w:t>7</w:t>
      </w:r>
      <w:r>
        <w:t>.</w:t>
      </w:r>
      <w:r>
        <w:tab/>
      </w:r>
      <w:r w:rsidR="008C2BBF">
        <w:t>The Group during its last session decided that the identification of hot spots by the Governments is a complex and long-lasting exercise where the match of accurate data on transport infrastructure and climatic factors projections is just the first step. Detailed analysis of geomorphology, of transport infrastructure conditions, quality and technical specifications as well as sensitivity to climate change impacts should be performed. Furthermore, use of indicators to operationalise the exposure, sensitivity and criticality of network sections should be performed and forecasts for traffic and land use should be included</w:t>
      </w:r>
      <w:r w:rsidR="00451CAD">
        <w:t xml:space="preserve">, a </w:t>
      </w:r>
      <w:r w:rsidR="008C2BBF">
        <w:t>clear and agreed definition of a hot spot should be warranted</w:t>
      </w:r>
      <w:r w:rsidR="00E55022">
        <w:t>.</w:t>
      </w:r>
    </w:p>
    <w:p w14:paraId="3BB5D65A" w14:textId="67F1C7C4" w:rsidR="00E874A4" w:rsidRDefault="005E4BBF" w:rsidP="008C2BBF">
      <w:pPr>
        <w:pStyle w:val="SingleTxtG"/>
      </w:pPr>
      <w:r>
        <w:t>4</w:t>
      </w:r>
      <w:r w:rsidR="00C76913">
        <w:t>8</w:t>
      </w:r>
      <w:r>
        <w:t>.</w:t>
      </w:r>
      <w:r>
        <w:tab/>
        <w:t>Furthermore, they agreed that o</w:t>
      </w:r>
      <w:r w:rsidR="008C2BBF">
        <w:t>nly countries that already have the governmental structure established and have started to perform such hot spots analysis would be able to provide a mapping of hot spots in their countries / regions and even these countries have still restrictions with regard to data availability, extent and spatial resolution to deliver a complete analysis for their transport sector</w:t>
      </w:r>
      <w:r w:rsidR="00461D11">
        <w:t>.</w:t>
      </w:r>
    </w:p>
    <w:p w14:paraId="49ED0F24" w14:textId="66811E03" w:rsidR="007B77C5" w:rsidRPr="00444FB7" w:rsidRDefault="00BE35A4" w:rsidP="00E874A4">
      <w:pPr>
        <w:pStyle w:val="SingleTxtG"/>
      </w:pPr>
      <w:r w:rsidRPr="007008E1">
        <w:t>4</w:t>
      </w:r>
      <w:r w:rsidR="00C76913">
        <w:t>9</w:t>
      </w:r>
      <w:r w:rsidR="00FA4720" w:rsidRPr="007008E1">
        <w:t>.</w:t>
      </w:r>
      <w:r w:rsidR="00C401BD">
        <w:tab/>
      </w:r>
      <w:r w:rsidR="005321AB">
        <w:t xml:space="preserve">The Working Party welcomed the cooperation with the WMO which </w:t>
      </w:r>
      <w:r w:rsidR="00375115">
        <w:t xml:space="preserve">it </w:t>
      </w:r>
      <w:r w:rsidR="004D08C4">
        <w:t>considered as</w:t>
      </w:r>
      <w:r w:rsidR="005321AB">
        <w:t xml:space="preserve"> a great interagency example of cooperation and thanked its representative for her support and contribution. </w:t>
      </w:r>
      <w:r w:rsidR="00C401BD">
        <w:t>The Working Party t</w:t>
      </w:r>
      <w:r w:rsidR="00C401BD" w:rsidRPr="00C401BD">
        <w:t>ook note o</w:t>
      </w:r>
      <w:r w:rsidR="00C401BD">
        <w:t>f</w:t>
      </w:r>
      <w:r w:rsidR="00C401BD" w:rsidRPr="00C401BD">
        <w:t xml:space="preserve"> the information provided by the </w:t>
      </w:r>
      <w:r w:rsidR="00C401BD" w:rsidRPr="00C401BD">
        <w:lastRenderedPageBreak/>
        <w:t>secretariat</w:t>
      </w:r>
      <w:r w:rsidR="00C401BD">
        <w:t xml:space="preserve"> </w:t>
      </w:r>
      <w:r w:rsidR="00DA5FA4">
        <w:t>r</w:t>
      </w:r>
      <w:r w:rsidR="00C401BD" w:rsidRPr="00C401BD">
        <w:t>equest</w:t>
      </w:r>
      <w:r w:rsidR="00DA5FA4">
        <w:t>ed</w:t>
      </w:r>
      <w:r w:rsidR="004200B2">
        <w:t xml:space="preserve"> </w:t>
      </w:r>
      <w:r w:rsidR="00C401BD" w:rsidRPr="00C401BD">
        <w:t xml:space="preserve">the secretariat to provide further information on </w:t>
      </w:r>
      <w:r w:rsidR="00C401BD">
        <w:t xml:space="preserve">developments of </w:t>
      </w:r>
      <w:r w:rsidR="00461D11">
        <w:t xml:space="preserve">the </w:t>
      </w:r>
      <w:r w:rsidR="00C401BD">
        <w:t xml:space="preserve">Group of Experts work </w:t>
      </w:r>
      <w:r w:rsidR="00C401BD" w:rsidRPr="00C401BD">
        <w:t xml:space="preserve">at </w:t>
      </w:r>
      <w:r w:rsidR="00C401BD">
        <w:t>its</w:t>
      </w:r>
      <w:r w:rsidR="00C401BD" w:rsidRPr="00C401BD">
        <w:t xml:space="preserve"> next session.</w:t>
      </w:r>
    </w:p>
    <w:p w14:paraId="266AA6C1" w14:textId="77777777" w:rsidR="004C6A08" w:rsidRPr="00420113" w:rsidRDefault="005C117A" w:rsidP="003E2B1E">
      <w:pPr>
        <w:pStyle w:val="H1G"/>
      </w:pPr>
      <w:r w:rsidRPr="00033EF3">
        <w:tab/>
      </w:r>
      <w:r w:rsidR="001D791F" w:rsidRPr="00033EF3">
        <w:t>B.</w:t>
      </w:r>
      <w:r w:rsidRPr="00033EF3">
        <w:tab/>
      </w:r>
      <w:r w:rsidR="003E2B1E">
        <w:t>Climate Change mitigation: United Nations Economic Commission for Europe For Future Inland Transport Systems tool</w:t>
      </w:r>
    </w:p>
    <w:p w14:paraId="648C0950" w14:textId="7FE94F74" w:rsidR="00D05279" w:rsidRDefault="00C76913" w:rsidP="00D05279">
      <w:pPr>
        <w:pStyle w:val="SingleTxtG"/>
      </w:pPr>
      <w:r>
        <w:t>50</w:t>
      </w:r>
      <w:r w:rsidR="001D791F" w:rsidRPr="00244DEC">
        <w:t>.</w:t>
      </w:r>
      <w:r w:rsidR="001D791F" w:rsidRPr="00244DEC">
        <w:tab/>
      </w:r>
      <w:r w:rsidR="00363DAC" w:rsidRPr="00244DEC">
        <w:t>The Working Party was informed by the secretariat about the 201</w:t>
      </w:r>
      <w:r w:rsidR="00E15070">
        <w:t>7</w:t>
      </w:r>
      <w:r w:rsidR="00461D11">
        <w:t>–</w:t>
      </w:r>
      <w:r w:rsidR="00363DAC" w:rsidRPr="00244DEC">
        <w:t>201</w:t>
      </w:r>
      <w:r w:rsidR="00E15070">
        <w:t>8</w:t>
      </w:r>
      <w:r w:rsidR="00363DAC" w:rsidRPr="00244DEC">
        <w:t xml:space="preserve"> developments in the For Future Inland Transport Systems (ForFITS) </w:t>
      </w:r>
      <w:r w:rsidR="0037057B">
        <w:t xml:space="preserve">tool. </w:t>
      </w:r>
      <w:r w:rsidR="00E15070">
        <w:t xml:space="preserve">It was reported that implementation of </w:t>
      </w:r>
      <w:r w:rsidR="006C45F4" w:rsidRPr="00244DEC">
        <w:t>ForFITS</w:t>
      </w:r>
      <w:r w:rsidR="00E15070">
        <w:t xml:space="preserve"> was performed in the city of </w:t>
      </w:r>
      <w:r w:rsidR="00D05279">
        <w:t>Mannheim</w:t>
      </w:r>
      <w:r w:rsidR="00461D11">
        <w:t xml:space="preserve"> (Germany)</w:t>
      </w:r>
      <w:r w:rsidR="00D05279">
        <w:t>. Marking two</w:t>
      </w:r>
      <w:r w:rsidR="00461D11">
        <w:t>-</w:t>
      </w:r>
      <w:r w:rsidR="00D05279">
        <w:t>hundred years since the invention of the Draisine, an ancestor of the bicycle, in Mannheim, the city hosted the twelfth Relay Race Workshop of Transport, Health and Environment Pan-European Programme (THE PEP) on “</w:t>
      </w:r>
      <w:bookmarkStart w:id="4" w:name="_Hlk532488189"/>
      <w:r w:rsidR="00D05279">
        <w:t>Cycling and walking make THE Link – Transport, Health and Environment</w:t>
      </w:r>
      <w:bookmarkEnd w:id="4"/>
      <w:r w:rsidR="00D05279">
        <w:t>” (21 September 2017). As part of the efforts to develop policy</w:t>
      </w:r>
      <w:r w:rsidR="00846CC5">
        <w:t>–</w:t>
      </w:r>
      <w:r w:rsidR="00D05279">
        <w:t>relevant knowledge and disseminate good practices, the ECE Sustainable Transport Division, as one of the three pillars of THE PEP, was invited to develop an analysis of CO</w:t>
      </w:r>
      <w:r w:rsidR="00D05279" w:rsidRPr="00CB2DE6">
        <w:rPr>
          <w:vertAlign w:val="subscript"/>
        </w:rPr>
        <w:t>2</w:t>
      </w:r>
      <w:r w:rsidR="00D05279">
        <w:t xml:space="preserve"> emission projections in the city of Mannheim using </w:t>
      </w:r>
      <w:r w:rsidR="006C45F4" w:rsidRPr="00244DEC">
        <w:t>ForFITS</w:t>
      </w:r>
      <w:r w:rsidR="00D05279">
        <w:t xml:space="preserve">. </w:t>
      </w:r>
    </w:p>
    <w:p w14:paraId="6B4E1BAD" w14:textId="349A15DE" w:rsidR="001D791F" w:rsidRPr="00033EF3" w:rsidRDefault="00C76913" w:rsidP="00D05279">
      <w:pPr>
        <w:pStyle w:val="SingleTxtG"/>
      </w:pPr>
      <w:r>
        <w:t>51</w:t>
      </w:r>
      <w:r w:rsidR="00D05279">
        <w:t>.</w:t>
      </w:r>
      <w:r w:rsidR="00D05279">
        <w:tab/>
      </w:r>
      <w:r w:rsidR="001D791F" w:rsidRPr="00244DEC">
        <w:t xml:space="preserve">The </w:t>
      </w:r>
      <w:r w:rsidR="002871EA" w:rsidRPr="00244DEC">
        <w:t>Working Party</w:t>
      </w:r>
      <w:r w:rsidR="001D791F" w:rsidRPr="00244DEC">
        <w:t xml:space="preserve"> </w:t>
      </w:r>
      <w:r w:rsidR="00EB2555" w:rsidRPr="00244DEC">
        <w:t xml:space="preserve">took note of the information provided and reiterated its support on the further development of this tool. The Working Party requested the secretariat to present any developments on this issue at </w:t>
      </w:r>
      <w:r w:rsidR="00375115">
        <w:t>its</w:t>
      </w:r>
      <w:r w:rsidR="00375115" w:rsidRPr="00244DEC">
        <w:t xml:space="preserve"> </w:t>
      </w:r>
      <w:r w:rsidR="00EB2555" w:rsidRPr="00244DEC">
        <w:t>next session</w:t>
      </w:r>
      <w:r w:rsidR="001D791F" w:rsidRPr="00244DEC">
        <w:t>.</w:t>
      </w:r>
    </w:p>
    <w:p w14:paraId="2E889EFB" w14:textId="0CF39C09" w:rsidR="004D2BC0" w:rsidRPr="00033EF3" w:rsidRDefault="00006663" w:rsidP="009D3677">
      <w:pPr>
        <w:pStyle w:val="HChG"/>
      </w:pPr>
      <w:r w:rsidRPr="00244DEC">
        <w:tab/>
      </w:r>
      <w:r w:rsidR="00F0651B" w:rsidRPr="00033EF3">
        <w:t>X</w:t>
      </w:r>
      <w:r w:rsidR="00072A39">
        <w:t>II</w:t>
      </w:r>
      <w:r w:rsidR="00F0651B" w:rsidRPr="00033EF3">
        <w:t>.</w:t>
      </w:r>
      <w:r w:rsidR="00F0651B" w:rsidRPr="00033EF3">
        <w:tab/>
        <w:t xml:space="preserve">Review of the transport situation, transport trends and economics in </w:t>
      </w:r>
      <w:r w:rsidR="006C45F4">
        <w:t xml:space="preserve">the </w:t>
      </w:r>
      <w:r w:rsidR="00F0651B" w:rsidRPr="00033EF3">
        <w:t xml:space="preserve">ECE region (agenda item </w:t>
      </w:r>
      <w:r w:rsidR="00072A39">
        <w:t>11</w:t>
      </w:r>
      <w:r w:rsidR="00F0651B" w:rsidRPr="00033EF3">
        <w:t>)</w:t>
      </w:r>
    </w:p>
    <w:p w14:paraId="4A47C2A6" w14:textId="77777777" w:rsidR="004D2BC0" w:rsidRPr="00B00CC7" w:rsidRDefault="004D2BC0">
      <w:pPr>
        <w:pStyle w:val="H1G"/>
      </w:pPr>
      <w:r w:rsidRPr="00B00CC7">
        <w:tab/>
      </w:r>
      <w:r w:rsidR="008E5035" w:rsidRPr="00B00CC7">
        <w:t>A.</w:t>
      </w:r>
      <w:r w:rsidRPr="00B00CC7">
        <w:tab/>
      </w:r>
      <w:r w:rsidR="0033052E" w:rsidRPr="0033052E">
        <w:t xml:space="preserve">Transport Trends and Economics 2018–2019: Mobility as a Service </w:t>
      </w:r>
    </w:p>
    <w:p w14:paraId="3E032E60" w14:textId="77777777" w:rsidR="004D2BC0" w:rsidRPr="00AD4C9B" w:rsidRDefault="004D2BC0" w:rsidP="008E5035">
      <w:pPr>
        <w:pStyle w:val="SingleTxtG"/>
        <w:rPr>
          <w:b/>
        </w:rPr>
      </w:pPr>
      <w:r w:rsidRPr="00AD4C9B">
        <w:rPr>
          <w:bCs/>
          <w:i/>
          <w:iCs/>
        </w:rPr>
        <w:t>Documentation</w:t>
      </w:r>
      <w:r w:rsidRPr="00AD4C9B">
        <w:rPr>
          <w:bCs/>
        </w:rPr>
        <w:t xml:space="preserve">: </w:t>
      </w:r>
      <w:r w:rsidR="003C1501" w:rsidRPr="00AD4C9B">
        <w:rPr>
          <w:bCs/>
        </w:rPr>
        <w:t xml:space="preserve">ECE/TRANS/WP.5/2018/4, Informal Document No. 6 </w:t>
      </w:r>
    </w:p>
    <w:p w14:paraId="1B16EB13" w14:textId="7290D7CF" w:rsidR="003C1501" w:rsidRDefault="003C1501" w:rsidP="00F0651B">
      <w:pPr>
        <w:pStyle w:val="SingleTxtG"/>
      </w:pPr>
      <w:r>
        <w:t>5</w:t>
      </w:r>
      <w:r w:rsidR="00C76913">
        <w:t>2</w:t>
      </w:r>
      <w:r w:rsidR="008E5035" w:rsidRPr="00AB3749">
        <w:t>.</w:t>
      </w:r>
      <w:r w:rsidR="00F0651B" w:rsidRPr="00AB3749">
        <w:tab/>
      </w:r>
      <w:r>
        <w:t>The Working Party recalled that at its last session and while discussing the theme for transport trends and economics 2016</w:t>
      </w:r>
      <w:r w:rsidR="00846CC5">
        <w:t>–</w:t>
      </w:r>
      <w:r>
        <w:t>2017</w:t>
      </w:r>
      <w:r w:rsidR="006C45F4">
        <w:t>, it</w:t>
      </w:r>
      <w:r>
        <w:t xml:space="preserve"> decided </w:t>
      </w:r>
      <w:r w:rsidR="00CB2DE6">
        <w:t>that:</w:t>
      </w:r>
    </w:p>
    <w:p w14:paraId="5944F558" w14:textId="2445C410" w:rsidR="00D72863" w:rsidRPr="00062684" w:rsidRDefault="00062684" w:rsidP="009D3677">
      <w:pPr>
        <w:pStyle w:val="SingleTxtG"/>
        <w:ind w:firstLine="567"/>
      </w:pPr>
      <w:r w:rsidRPr="00062684">
        <w:t>(a)</w:t>
      </w:r>
      <w:r w:rsidRPr="00062684">
        <w:tab/>
      </w:r>
      <w:r w:rsidR="00D72863" w:rsidRPr="00062684">
        <w:t xml:space="preserve">The questionnaire and analysis prepared under documents ECE/TRANS/WP.5/2016/5, ECE/TRANS/WP.5/2016/6 were quite challenging and difficult to be answered by the Governments since some of </w:t>
      </w:r>
      <w:r w:rsidR="007008E1" w:rsidRPr="00062684">
        <w:t>those questions</w:t>
      </w:r>
      <w:r w:rsidR="00D72863" w:rsidRPr="00062684">
        <w:t xml:space="preserve"> were not directly </w:t>
      </w:r>
      <w:r w:rsidR="00375115">
        <w:t>related to</w:t>
      </w:r>
      <w:r w:rsidR="00D72863" w:rsidRPr="00062684">
        <w:t xml:space="preserve"> transport. Therefore, the secretariat suggested the theme for the transport trends and economics 2016</w:t>
      </w:r>
      <w:r w:rsidR="006C45F4">
        <w:t>–</w:t>
      </w:r>
      <w:r w:rsidR="00D72863" w:rsidRPr="00062684">
        <w:t xml:space="preserve">2017 to be “Mobility as a </w:t>
      </w:r>
      <w:r w:rsidR="006C45F4">
        <w:t>S</w:t>
      </w:r>
      <w:r w:rsidR="006C45F4" w:rsidRPr="00062684">
        <w:t>ervice</w:t>
      </w:r>
      <w:r w:rsidR="00D72863" w:rsidRPr="00062684">
        <w:t>” to take advantage of the excellent presentations and input</w:t>
      </w:r>
      <w:r w:rsidR="00985896">
        <w:t>s</w:t>
      </w:r>
      <w:r w:rsidR="00D72863" w:rsidRPr="00062684">
        <w:t xml:space="preserve"> received during the workshop of the second day of the session; </w:t>
      </w:r>
    </w:p>
    <w:p w14:paraId="458508B6" w14:textId="237F517C" w:rsidR="00D72863" w:rsidRDefault="00062684" w:rsidP="009D3677">
      <w:pPr>
        <w:pStyle w:val="SingleTxtG"/>
        <w:ind w:firstLine="567"/>
      </w:pPr>
      <w:r w:rsidRPr="00A80123">
        <w:t>(b)</w:t>
      </w:r>
      <w:r w:rsidRPr="00A80123">
        <w:tab/>
      </w:r>
      <w:r w:rsidR="00D72863" w:rsidRPr="00A80123">
        <w:t xml:space="preserve">The secretariat </w:t>
      </w:r>
      <w:r w:rsidR="003C1501" w:rsidRPr="00A80123">
        <w:t>should prepare</w:t>
      </w:r>
      <w:r w:rsidR="00D72863" w:rsidRPr="00A80123">
        <w:t xml:space="preserve"> a formal document for the next session of </w:t>
      </w:r>
      <w:r w:rsidR="00985896" w:rsidRPr="00037BA0">
        <w:t>the WP.5</w:t>
      </w:r>
      <w:r w:rsidR="00D72863" w:rsidRPr="00A80123">
        <w:t xml:space="preserve"> </w:t>
      </w:r>
      <w:r w:rsidR="00A80123" w:rsidRPr="00037BA0">
        <w:t xml:space="preserve">which should include </w:t>
      </w:r>
      <w:r w:rsidR="00D72863" w:rsidRPr="00A80123">
        <w:t>a draft road</w:t>
      </w:r>
      <w:r w:rsidR="00407280" w:rsidRPr="00A80123">
        <w:t xml:space="preserve"> </w:t>
      </w:r>
      <w:r w:rsidR="00D72863" w:rsidRPr="00A80123">
        <w:t xml:space="preserve">map on the contributions of member States and of the Working Party sessions in implementing the 2030 Agenda for the </w:t>
      </w:r>
      <w:r w:rsidR="00A80123">
        <w:t xml:space="preserve">consideration of the </w:t>
      </w:r>
      <w:r w:rsidR="00D72863" w:rsidRPr="00A80123">
        <w:t>Working Party</w:t>
      </w:r>
      <w:r w:rsidR="00A80123">
        <w:t>.</w:t>
      </w:r>
    </w:p>
    <w:p w14:paraId="1BABFC7F" w14:textId="176A2193" w:rsidR="003C1501" w:rsidRDefault="003C1501" w:rsidP="003C1501">
      <w:pPr>
        <w:pStyle w:val="SingleTxtG"/>
      </w:pPr>
      <w:r>
        <w:t>5</w:t>
      </w:r>
      <w:r w:rsidR="00C76913">
        <w:t>3</w:t>
      </w:r>
      <w:r>
        <w:t>.</w:t>
      </w:r>
      <w:r>
        <w:tab/>
        <w:t xml:space="preserve">The </w:t>
      </w:r>
      <w:r w:rsidR="006C45F4">
        <w:t xml:space="preserve">Working Party </w:t>
      </w:r>
      <w:r>
        <w:t>decided to postpone discussion on the draft road map (</w:t>
      </w:r>
      <w:r w:rsidRPr="003C1501">
        <w:t>ECE/TRANS/WP.5/2018/4</w:t>
      </w:r>
      <w:r>
        <w:t xml:space="preserve">) for its next session since it would be appropriate to discuss this document while discussing and approving its work plan for the next biennium. </w:t>
      </w:r>
    </w:p>
    <w:p w14:paraId="30024777" w14:textId="5D96B195" w:rsidR="003C1501" w:rsidRDefault="003C1501" w:rsidP="003C1501">
      <w:pPr>
        <w:pStyle w:val="SingleTxtG"/>
      </w:pPr>
      <w:r>
        <w:t>5</w:t>
      </w:r>
      <w:r w:rsidR="00C76913">
        <w:t>4</w:t>
      </w:r>
      <w:r>
        <w:t>.</w:t>
      </w:r>
      <w:r>
        <w:tab/>
        <w:t xml:space="preserve">As it concerns </w:t>
      </w:r>
      <w:r w:rsidR="0033052E">
        <w:t xml:space="preserve">the publication </w:t>
      </w:r>
      <w:r w:rsidR="0033052E" w:rsidRPr="0033052E">
        <w:t xml:space="preserve">Transport Trends and Economics 2018–2019: </w:t>
      </w:r>
      <w:r w:rsidR="0033052E">
        <w:t xml:space="preserve">“Mobility as a </w:t>
      </w:r>
      <w:r w:rsidR="006C45F4">
        <w:t>Service</w:t>
      </w:r>
      <w:r w:rsidR="0033052E">
        <w:t>” (</w:t>
      </w:r>
      <w:r w:rsidR="0033052E" w:rsidRPr="0033052E">
        <w:t>Informal Document No. 6</w:t>
      </w:r>
      <w:r w:rsidR="0033052E">
        <w:t xml:space="preserve">) the secretariat provided the following information: </w:t>
      </w:r>
    </w:p>
    <w:p w14:paraId="627C63F7" w14:textId="79278F45" w:rsidR="0033052E" w:rsidRDefault="00846CC5" w:rsidP="001C7F0A">
      <w:pPr>
        <w:pStyle w:val="SingleTxtG"/>
        <w:ind w:firstLine="567"/>
      </w:pPr>
      <w:r>
        <w:t>(a)</w:t>
      </w:r>
      <w:r>
        <w:tab/>
      </w:r>
      <w:r w:rsidR="00A1269F">
        <w:t xml:space="preserve">Several experts will contribute </w:t>
      </w:r>
      <w:r w:rsidR="006C45F4">
        <w:t xml:space="preserve">to </w:t>
      </w:r>
      <w:r w:rsidR="00A1269F">
        <w:t>the preparation of this publication. The chapters and the names of the experts agreed so far to contribute are as follows:</w:t>
      </w:r>
    </w:p>
    <w:p w14:paraId="5913DC5C" w14:textId="04382958" w:rsidR="004B22CA" w:rsidRPr="00846CC5" w:rsidRDefault="00846CC5" w:rsidP="001C7F0A">
      <w:pPr>
        <w:pStyle w:val="SingleTxtG"/>
        <w:ind w:firstLine="567"/>
      </w:pPr>
      <w:r w:rsidRPr="00846CC5">
        <w:lastRenderedPageBreak/>
        <w:t>(i)</w:t>
      </w:r>
      <w:r w:rsidRPr="00846CC5">
        <w:tab/>
      </w:r>
      <w:r w:rsidR="004B22CA" w:rsidRPr="00846CC5">
        <w:t xml:space="preserve">Chapter </w:t>
      </w:r>
      <w:r w:rsidR="007F6758">
        <w:t>I:</w:t>
      </w:r>
      <w:r w:rsidR="007F6758" w:rsidRPr="00846CC5">
        <w:t xml:space="preserve"> </w:t>
      </w:r>
      <w:r w:rsidR="004B22CA" w:rsidRPr="00846CC5">
        <w:t>Introduction – Mobility as a Service</w:t>
      </w:r>
      <w:r w:rsidR="00A1269F" w:rsidRPr="00846CC5">
        <w:t xml:space="preserve">, </w:t>
      </w:r>
      <w:r w:rsidR="007F6758" w:rsidRPr="00846CC5">
        <w:t>Prof</w:t>
      </w:r>
      <w:r w:rsidR="007F6758">
        <w:t>.</w:t>
      </w:r>
      <w:r w:rsidR="007F6758" w:rsidRPr="00846CC5">
        <w:t xml:space="preserve"> D</w:t>
      </w:r>
      <w:r w:rsidR="007F6758">
        <w:t>.</w:t>
      </w:r>
      <w:r w:rsidR="007F6758" w:rsidRPr="00846CC5">
        <w:t xml:space="preserve"> </w:t>
      </w:r>
      <w:r w:rsidR="00A1269F" w:rsidRPr="00846CC5">
        <w:t>Dimitriou;</w:t>
      </w:r>
    </w:p>
    <w:p w14:paraId="69F9A942" w14:textId="7996C1FF" w:rsidR="00A1269F" w:rsidRPr="00846CC5" w:rsidRDefault="00846CC5" w:rsidP="001C7F0A">
      <w:pPr>
        <w:pStyle w:val="SingleTxtG"/>
        <w:ind w:firstLine="567"/>
      </w:pPr>
      <w:r w:rsidRPr="00846CC5">
        <w:t>(ii)</w:t>
      </w:r>
      <w:r w:rsidRPr="00846CC5">
        <w:tab/>
      </w:r>
      <w:r w:rsidR="00A1269F" w:rsidRPr="00846CC5">
        <w:t xml:space="preserve">Chapter </w:t>
      </w:r>
      <w:r w:rsidR="007F6758">
        <w:t>II:</w:t>
      </w:r>
      <w:r w:rsidR="007F6758" w:rsidRPr="00846CC5">
        <w:t xml:space="preserve"> </w:t>
      </w:r>
      <w:r w:rsidR="00A1269F" w:rsidRPr="00846CC5">
        <w:t xml:space="preserve">Car sharing; </w:t>
      </w:r>
    </w:p>
    <w:p w14:paraId="29DF4223" w14:textId="279D5A36" w:rsidR="00A1269F" w:rsidRPr="00846CC5" w:rsidRDefault="00846CC5" w:rsidP="001C7F0A">
      <w:pPr>
        <w:pStyle w:val="SingleTxtG"/>
        <w:ind w:firstLine="567"/>
      </w:pPr>
      <w:r w:rsidRPr="00846CC5">
        <w:t>(iii)</w:t>
      </w:r>
      <w:r w:rsidRPr="00846CC5">
        <w:tab/>
      </w:r>
      <w:r w:rsidR="00A1269F" w:rsidRPr="00846CC5">
        <w:t xml:space="preserve">Chapter </w:t>
      </w:r>
      <w:r w:rsidR="007F6758">
        <w:t>III:</w:t>
      </w:r>
      <w:r w:rsidR="007F6758" w:rsidRPr="00846CC5">
        <w:t xml:space="preserve"> </w:t>
      </w:r>
      <w:r w:rsidR="00A1269F" w:rsidRPr="00846CC5">
        <w:t>Bike sharing;</w:t>
      </w:r>
    </w:p>
    <w:p w14:paraId="74F90789" w14:textId="5A9A85C9" w:rsidR="00A1269F" w:rsidRPr="00846CC5" w:rsidRDefault="00846CC5" w:rsidP="001C7F0A">
      <w:pPr>
        <w:pStyle w:val="SingleTxtG"/>
        <w:ind w:firstLine="567"/>
      </w:pPr>
      <w:r w:rsidRPr="00846CC5">
        <w:t>(iv)</w:t>
      </w:r>
      <w:r w:rsidRPr="00846CC5">
        <w:tab/>
      </w:r>
      <w:r w:rsidR="00A1269F" w:rsidRPr="00846CC5">
        <w:t xml:space="preserve">Chapter </w:t>
      </w:r>
      <w:r w:rsidR="007F6758">
        <w:t>IV:</w:t>
      </w:r>
      <w:r w:rsidR="007F6758" w:rsidRPr="00846CC5">
        <w:t xml:space="preserve"> </w:t>
      </w:r>
      <w:r w:rsidR="00A1269F" w:rsidRPr="00846CC5">
        <w:t>Railways and Mobility as a Service;</w:t>
      </w:r>
    </w:p>
    <w:p w14:paraId="10A31646" w14:textId="4C4B7809" w:rsidR="00A1269F" w:rsidRPr="00846CC5" w:rsidRDefault="00846CC5" w:rsidP="001C7F0A">
      <w:pPr>
        <w:pStyle w:val="SingleTxtG"/>
        <w:ind w:firstLine="567"/>
      </w:pPr>
      <w:r w:rsidRPr="00846CC5">
        <w:t>(v)</w:t>
      </w:r>
      <w:r w:rsidRPr="00846CC5">
        <w:tab/>
      </w:r>
      <w:r w:rsidR="00A1269F" w:rsidRPr="00846CC5">
        <w:t xml:space="preserve">Chapter </w:t>
      </w:r>
      <w:r w:rsidR="007F6758">
        <w:t>V:</w:t>
      </w:r>
      <w:r w:rsidR="007F6758" w:rsidRPr="00846CC5">
        <w:t xml:space="preserve"> </w:t>
      </w:r>
      <w:r w:rsidR="00A1269F" w:rsidRPr="00846CC5">
        <w:t>Enablers of Mobility as a Service operators (Mrs. S</w:t>
      </w:r>
      <w:r w:rsidR="007F6758">
        <w:t>.</w:t>
      </w:r>
      <w:r w:rsidR="00A1269F" w:rsidRPr="00846CC5">
        <w:t xml:space="preserve"> Pichler, Fluidtime); </w:t>
      </w:r>
    </w:p>
    <w:p w14:paraId="5B9A2683" w14:textId="30AD8DF8" w:rsidR="00A1269F" w:rsidRPr="00846CC5" w:rsidRDefault="00846CC5" w:rsidP="001C7F0A">
      <w:pPr>
        <w:pStyle w:val="SingleTxtG"/>
        <w:ind w:firstLine="567"/>
      </w:pPr>
      <w:r w:rsidRPr="00846CC5">
        <w:t>(vi)</w:t>
      </w:r>
      <w:r w:rsidRPr="00846CC5">
        <w:tab/>
      </w:r>
      <w:r w:rsidR="00A1269F" w:rsidRPr="00846CC5">
        <w:t xml:space="preserve">Chapter </w:t>
      </w:r>
      <w:r w:rsidR="007F6758">
        <w:t>VI:</w:t>
      </w:r>
      <w:r w:rsidR="007F6758" w:rsidRPr="00846CC5">
        <w:t xml:space="preserve"> </w:t>
      </w:r>
      <w:r w:rsidR="00A1269F" w:rsidRPr="00846CC5">
        <w:t>Revenue allocation challenge (Prof. A</w:t>
      </w:r>
      <w:r w:rsidR="007F6758">
        <w:t>.</w:t>
      </w:r>
      <w:r w:rsidR="00A1269F" w:rsidRPr="00846CC5">
        <w:t xml:space="preserve"> Rouboutsos); </w:t>
      </w:r>
    </w:p>
    <w:p w14:paraId="43C45A70" w14:textId="70B821B5" w:rsidR="00A1269F" w:rsidRPr="00846CC5" w:rsidRDefault="00846CC5" w:rsidP="001C7F0A">
      <w:pPr>
        <w:pStyle w:val="SingleTxtG"/>
        <w:ind w:firstLine="567"/>
      </w:pPr>
      <w:r w:rsidRPr="00846CC5">
        <w:t>(vii)</w:t>
      </w:r>
      <w:r w:rsidRPr="00846CC5">
        <w:tab/>
      </w:r>
      <w:r w:rsidR="00A1269F" w:rsidRPr="00846CC5">
        <w:t xml:space="preserve">Chapter </w:t>
      </w:r>
      <w:r w:rsidR="007F6758">
        <w:t>VII:</w:t>
      </w:r>
      <w:r w:rsidR="007F6758" w:rsidRPr="00846CC5">
        <w:t xml:space="preserve"> </w:t>
      </w:r>
      <w:r w:rsidR="00A1269F" w:rsidRPr="00846CC5">
        <w:t>The infrastructure perspective (Mr. A</w:t>
      </w:r>
      <w:r w:rsidR="007F6758">
        <w:t>.</w:t>
      </w:r>
      <w:r w:rsidR="00A1269F" w:rsidRPr="00846CC5">
        <w:t xml:space="preserve"> Maciejewski);</w:t>
      </w:r>
    </w:p>
    <w:p w14:paraId="5ECE5546" w14:textId="62F20AD2" w:rsidR="00A1269F" w:rsidRDefault="00846CC5" w:rsidP="001C7F0A">
      <w:pPr>
        <w:pStyle w:val="SingleTxtG"/>
        <w:ind w:firstLine="567"/>
      </w:pPr>
      <w:r w:rsidRPr="00846CC5">
        <w:t>(viii)</w:t>
      </w:r>
      <w:r w:rsidRPr="00846CC5">
        <w:tab/>
      </w:r>
      <w:r w:rsidR="00A1269F" w:rsidRPr="00846CC5">
        <w:t xml:space="preserve">Chapter </w:t>
      </w:r>
      <w:r w:rsidR="007F6758">
        <w:t>VIII:</w:t>
      </w:r>
      <w:r w:rsidR="007F6758" w:rsidRPr="00846CC5">
        <w:t xml:space="preserve"> </w:t>
      </w:r>
      <w:r w:rsidR="00A1269F" w:rsidRPr="00846CC5">
        <w:t>Conclusions and recommendations</w:t>
      </w:r>
      <w:r>
        <w:t>.</w:t>
      </w:r>
    </w:p>
    <w:p w14:paraId="2CAA4F6C" w14:textId="22053EA0" w:rsidR="00A1269F" w:rsidRDefault="00846CC5" w:rsidP="001C7F0A">
      <w:pPr>
        <w:pStyle w:val="SingleTxtG"/>
        <w:ind w:firstLine="567"/>
      </w:pPr>
      <w:r>
        <w:t>(b)</w:t>
      </w:r>
      <w:r>
        <w:tab/>
      </w:r>
      <w:r w:rsidR="00A1269F">
        <w:t xml:space="preserve">For Chapters </w:t>
      </w:r>
      <w:r w:rsidR="007F6758">
        <w:t>II</w:t>
      </w:r>
      <w:r w:rsidR="00A1269F">
        <w:t>,</w:t>
      </w:r>
      <w:r>
        <w:t xml:space="preserve"> </w:t>
      </w:r>
      <w:r w:rsidR="007F6758">
        <w:t>III</w:t>
      </w:r>
      <w:r w:rsidR="00A1269F">
        <w:t xml:space="preserve"> and </w:t>
      </w:r>
      <w:r w:rsidR="007F6758">
        <w:t>IV</w:t>
      </w:r>
      <w:r w:rsidR="00A1269F">
        <w:t xml:space="preserve"> no experts were identified so far. The secretariat kindly invited the Governments to provide some experts that would contribute </w:t>
      </w:r>
      <w:r w:rsidR="007F6758">
        <w:t xml:space="preserve">to </w:t>
      </w:r>
      <w:r w:rsidR="00A1269F">
        <w:t xml:space="preserve">the preparation of those chapters; </w:t>
      </w:r>
    </w:p>
    <w:p w14:paraId="1CB5B8C7" w14:textId="3E4047D5" w:rsidR="00A1269F" w:rsidRDefault="00846CC5" w:rsidP="001C7F0A">
      <w:pPr>
        <w:pStyle w:val="SingleTxtG"/>
        <w:ind w:firstLine="567"/>
      </w:pPr>
      <w:r>
        <w:t>(c)</w:t>
      </w:r>
      <w:r>
        <w:tab/>
      </w:r>
      <w:r w:rsidR="00A1269F">
        <w:t xml:space="preserve">The first draft of the publication should be ready for ITC in </w:t>
      </w:r>
      <w:r w:rsidR="007F6758">
        <w:t>February 2019</w:t>
      </w:r>
      <w:r w:rsidR="00A1269F">
        <w:t>. The final draft should be ready at the next session of the Working Party</w:t>
      </w:r>
      <w:r w:rsidR="007F6758">
        <w:t xml:space="preserve"> in 2019</w:t>
      </w:r>
      <w:r>
        <w:t>.</w:t>
      </w:r>
    </w:p>
    <w:p w14:paraId="49720B9A" w14:textId="77777777" w:rsidR="006D0090" w:rsidRDefault="00BE35A4" w:rsidP="00F0651B">
      <w:pPr>
        <w:pStyle w:val="SingleTxtG"/>
      </w:pPr>
      <w:r>
        <w:t>5</w:t>
      </w:r>
      <w:r w:rsidR="00C76913">
        <w:t>5</w:t>
      </w:r>
      <w:r w:rsidR="00D72863">
        <w:t>.</w:t>
      </w:r>
      <w:r w:rsidR="00D72863">
        <w:tab/>
        <w:t xml:space="preserve">The </w:t>
      </w:r>
      <w:r w:rsidR="00C4256F">
        <w:t>Working Party t</w:t>
      </w:r>
      <w:r w:rsidR="00C4256F" w:rsidRPr="00C4256F">
        <w:t xml:space="preserve">ook note of the information provided by the secretariat </w:t>
      </w:r>
      <w:r w:rsidR="00D72863">
        <w:t xml:space="preserve">and approved its proposals. It requested the secretariat to provide more information on both issues at its next session. </w:t>
      </w:r>
    </w:p>
    <w:p w14:paraId="3733F70D" w14:textId="77777777" w:rsidR="00062684" w:rsidRPr="00033EF3" w:rsidRDefault="00062684" w:rsidP="009D3677">
      <w:pPr>
        <w:pStyle w:val="H1G"/>
      </w:pPr>
      <w:r>
        <w:tab/>
      </w:r>
      <w:r w:rsidRPr="00062684">
        <w:t>B.</w:t>
      </w:r>
      <w:r w:rsidRPr="00062684">
        <w:tab/>
      </w:r>
      <w:r w:rsidR="00A1269F" w:rsidRPr="00A1269F">
        <w:t xml:space="preserve">Transport Trends and Economics 2016–2017: Innovative ways for financing Transport Infrastructure </w:t>
      </w:r>
    </w:p>
    <w:p w14:paraId="5F9991FA" w14:textId="431089B3" w:rsidR="00072A39" w:rsidRDefault="00072A39" w:rsidP="009D3677">
      <w:pPr>
        <w:pStyle w:val="SingleTxtG"/>
      </w:pPr>
      <w:r w:rsidRPr="00E603BA">
        <w:rPr>
          <w:bCs/>
          <w:i/>
          <w:iCs/>
        </w:rPr>
        <w:t>Documentation</w:t>
      </w:r>
      <w:r w:rsidRPr="00E603BA">
        <w:rPr>
          <w:bCs/>
        </w:rPr>
        <w:t xml:space="preserve">: </w:t>
      </w:r>
      <w:r w:rsidR="00A1269F">
        <w:t>ECE Publication</w:t>
      </w:r>
    </w:p>
    <w:p w14:paraId="2181FF03" w14:textId="7E65C07F" w:rsidR="00072A39" w:rsidRPr="00072A39" w:rsidRDefault="00AB3749" w:rsidP="009D3677">
      <w:pPr>
        <w:pStyle w:val="SingleTxtG"/>
        <w:rPr>
          <w:lang w:val="en-US"/>
        </w:rPr>
      </w:pPr>
      <w:r w:rsidRPr="007008E1">
        <w:t>5</w:t>
      </w:r>
      <w:r w:rsidR="00C76913">
        <w:t>6</w:t>
      </w:r>
      <w:r w:rsidR="00840C35" w:rsidRPr="007008E1">
        <w:t>.</w:t>
      </w:r>
      <w:r w:rsidR="00840C35" w:rsidRPr="00033EF3">
        <w:tab/>
      </w:r>
      <w:r w:rsidR="00C4256F">
        <w:t xml:space="preserve">The Working Party </w:t>
      </w:r>
      <w:r w:rsidR="00A1269F">
        <w:t>welcomed the preparation of the publication on Transport</w:t>
      </w:r>
      <w:r w:rsidR="00A1269F" w:rsidRPr="00A1269F">
        <w:t xml:space="preserve"> Trends and Economics 2016–2017: </w:t>
      </w:r>
      <w:r w:rsidR="007F6758">
        <w:t>“</w:t>
      </w:r>
      <w:r w:rsidR="00A1269F" w:rsidRPr="00A1269F">
        <w:t>Innovative ways for financing Transport Infrastructure</w:t>
      </w:r>
      <w:r w:rsidR="007F6758">
        <w:t>”</w:t>
      </w:r>
      <w:r w:rsidR="00A1269F" w:rsidRPr="00A1269F">
        <w:t xml:space="preserve"> </w:t>
      </w:r>
      <w:r w:rsidR="00A1269F">
        <w:t>which was distributed during the meeting and thanked the secretariat for its efforts.</w:t>
      </w:r>
    </w:p>
    <w:p w14:paraId="1320CBBE" w14:textId="77777777" w:rsidR="004D2BC0" w:rsidRPr="009F3903" w:rsidRDefault="004D2BC0" w:rsidP="009F3903">
      <w:pPr>
        <w:pStyle w:val="H1G"/>
      </w:pPr>
      <w:r w:rsidRPr="009F3903">
        <w:tab/>
      </w:r>
      <w:r w:rsidR="00FD453E">
        <w:t>C</w:t>
      </w:r>
      <w:r w:rsidR="008E5035" w:rsidRPr="009F3903">
        <w:t>.</w:t>
      </w:r>
      <w:r w:rsidRPr="009F3903">
        <w:tab/>
        <w:t xml:space="preserve">Transport </w:t>
      </w:r>
      <w:r w:rsidR="00082BC3" w:rsidRPr="009F3903">
        <w:t xml:space="preserve">Trends </w:t>
      </w:r>
      <w:r w:rsidRPr="009F3903">
        <w:t xml:space="preserve">and </w:t>
      </w:r>
      <w:r w:rsidR="00082BC3" w:rsidRPr="009F3903">
        <w:t xml:space="preserve">Challenges </w:t>
      </w:r>
      <w:r w:rsidRPr="009F3903">
        <w:t>in the road sector</w:t>
      </w:r>
    </w:p>
    <w:p w14:paraId="6C34ED98" w14:textId="77777777" w:rsidR="004D2BC0" w:rsidRPr="008F347B" w:rsidRDefault="004D2BC0" w:rsidP="004D2BC0">
      <w:pPr>
        <w:pStyle w:val="SingleTxtG"/>
      </w:pPr>
      <w:r w:rsidRPr="00E603BA">
        <w:rPr>
          <w:bCs/>
          <w:i/>
          <w:iCs/>
        </w:rPr>
        <w:t>Documentation</w:t>
      </w:r>
      <w:r w:rsidRPr="00E603BA">
        <w:rPr>
          <w:bCs/>
        </w:rPr>
        <w:t xml:space="preserve">: Informal </w:t>
      </w:r>
      <w:r w:rsidR="008E5035" w:rsidRPr="00E603BA">
        <w:rPr>
          <w:bCs/>
        </w:rPr>
        <w:t xml:space="preserve">document </w:t>
      </w:r>
      <w:r w:rsidRPr="00E603BA">
        <w:rPr>
          <w:bCs/>
        </w:rPr>
        <w:t>No</w:t>
      </w:r>
      <w:r w:rsidR="008E5035" w:rsidRPr="00E603BA">
        <w:rPr>
          <w:bCs/>
        </w:rPr>
        <w:t>.</w:t>
      </w:r>
      <w:r w:rsidRPr="00E603BA">
        <w:rPr>
          <w:bCs/>
        </w:rPr>
        <w:t xml:space="preserve"> </w:t>
      </w:r>
      <w:r w:rsidR="007713E4">
        <w:rPr>
          <w:bCs/>
        </w:rPr>
        <w:t>7</w:t>
      </w:r>
    </w:p>
    <w:p w14:paraId="458BDB8D" w14:textId="7029245A" w:rsidR="00710C9C" w:rsidRDefault="00BE35A4" w:rsidP="00710C9C">
      <w:pPr>
        <w:pStyle w:val="SingleTxtG"/>
      </w:pPr>
      <w:r>
        <w:t>5</w:t>
      </w:r>
      <w:r w:rsidR="00C76913">
        <w:t>7</w:t>
      </w:r>
      <w:r w:rsidR="008E5035" w:rsidRPr="00254E4D">
        <w:t>.</w:t>
      </w:r>
      <w:r w:rsidR="008E5035" w:rsidRPr="00254E4D">
        <w:tab/>
      </w:r>
      <w:r w:rsidR="007713E4">
        <w:t xml:space="preserve">Mr. </w:t>
      </w:r>
      <w:r w:rsidR="00446682" w:rsidRPr="00446682">
        <w:t>M</w:t>
      </w:r>
      <w:r w:rsidR="00446682">
        <w:t>.</w:t>
      </w:r>
      <w:r w:rsidR="00446682" w:rsidRPr="00446682">
        <w:t xml:space="preserve"> </w:t>
      </w:r>
      <w:r w:rsidR="00846CC5" w:rsidRPr="00446682">
        <w:t xml:space="preserve">Bauernfeind </w:t>
      </w:r>
      <w:r w:rsidR="00446682">
        <w:t xml:space="preserve">(Austria) presented the </w:t>
      </w:r>
      <w:r w:rsidR="00F438BB">
        <w:t xml:space="preserve">effects of </w:t>
      </w:r>
      <w:r w:rsidR="00846CC5">
        <w:t xml:space="preserve">Brexit </w:t>
      </w:r>
      <w:r w:rsidR="00F438BB">
        <w:t>on transport in general.</w:t>
      </w:r>
      <w:r w:rsidR="00710C9C">
        <w:t xml:space="preserve"> There </w:t>
      </w:r>
      <w:r w:rsidR="007F6758">
        <w:t xml:space="preserve">were </w:t>
      </w:r>
      <w:r w:rsidR="00710C9C">
        <w:t xml:space="preserve">two main scenarios. The first scenario speaks about </w:t>
      </w:r>
      <w:r w:rsidR="007F6758">
        <w:t xml:space="preserve">the </w:t>
      </w:r>
      <w:r w:rsidR="00710C9C">
        <w:t>conclusion</w:t>
      </w:r>
      <w:r w:rsidR="007F6758">
        <w:t>s</w:t>
      </w:r>
      <w:r w:rsidR="00710C9C">
        <w:t xml:space="preserve"> of leaving </w:t>
      </w:r>
      <w:r w:rsidR="007F6758">
        <w:t xml:space="preserve">the </w:t>
      </w:r>
      <w:r w:rsidR="00710C9C">
        <w:t xml:space="preserve">agreement and the second one speaks about no agreement. In that case the possible general consequences would be as follows: </w:t>
      </w:r>
    </w:p>
    <w:p w14:paraId="21728977" w14:textId="07D2FA21" w:rsidR="00710C9C" w:rsidRPr="00846CC5" w:rsidRDefault="00846CC5" w:rsidP="001C7F0A">
      <w:pPr>
        <w:pStyle w:val="SingleTxtG"/>
        <w:ind w:firstLine="567"/>
      </w:pPr>
      <w:r w:rsidRPr="00846CC5">
        <w:t>(a)</w:t>
      </w:r>
      <w:r w:rsidRPr="00846CC5">
        <w:tab/>
      </w:r>
      <w:r w:rsidR="007F6758">
        <w:t xml:space="preserve">The United Kingdom </w:t>
      </w:r>
      <w:r w:rsidR="00710C9C" w:rsidRPr="00846CC5">
        <w:t>will be no longer subject to E</w:t>
      </w:r>
      <w:r w:rsidRPr="00846CC5">
        <w:t xml:space="preserve">uropean </w:t>
      </w:r>
      <w:r w:rsidR="00710C9C" w:rsidRPr="00846CC5">
        <w:t>U</w:t>
      </w:r>
      <w:r w:rsidRPr="00846CC5">
        <w:t>nion</w:t>
      </w:r>
      <w:r w:rsidR="00710C9C" w:rsidRPr="00846CC5">
        <w:t xml:space="preserve"> law in general and no more member of the common market; </w:t>
      </w:r>
    </w:p>
    <w:p w14:paraId="42105A85" w14:textId="0A10E6BC" w:rsidR="00710C9C" w:rsidRPr="00846CC5" w:rsidRDefault="00846CC5" w:rsidP="001C7F0A">
      <w:pPr>
        <w:pStyle w:val="SingleTxtG"/>
        <w:ind w:firstLine="567"/>
      </w:pPr>
      <w:r w:rsidRPr="00846CC5">
        <w:t>(b)</w:t>
      </w:r>
      <w:r w:rsidRPr="00846CC5">
        <w:tab/>
      </w:r>
      <w:r w:rsidR="00710C9C" w:rsidRPr="00846CC5">
        <w:t xml:space="preserve">Then WTO-rules will apply; </w:t>
      </w:r>
    </w:p>
    <w:p w14:paraId="086D7451" w14:textId="135125D6" w:rsidR="00710C9C" w:rsidRPr="00846CC5" w:rsidRDefault="00846CC5" w:rsidP="001C7F0A">
      <w:pPr>
        <w:pStyle w:val="SingleTxtG"/>
        <w:ind w:firstLine="567"/>
      </w:pPr>
      <w:r w:rsidRPr="00846CC5">
        <w:t>(c)</w:t>
      </w:r>
      <w:r w:rsidRPr="00846CC5">
        <w:tab/>
      </w:r>
      <w:r w:rsidR="00710C9C" w:rsidRPr="00846CC5">
        <w:t xml:space="preserve">UK will be no longer party/subject to international agreements concluded by </w:t>
      </w:r>
      <w:r w:rsidR="007F6758">
        <w:t xml:space="preserve">the </w:t>
      </w:r>
      <w:r w:rsidR="00710C9C" w:rsidRPr="00846CC5">
        <w:t>E</w:t>
      </w:r>
      <w:r w:rsidR="007F6758">
        <w:t xml:space="preserve">uropean </w:t>
      </w:r>
      <w:r w:rsidR="00710C9C" w:rsidRPr="00846CC5">
        <w:t>U</w:t>
      </w:r>
      <w:r w:rsidR="007F6758">
        <w:t>nion</w:t>
      </w:r>
      <w:r w:rsidR="00710C9C" w:rsidRPr="00846CC5">
        <w:t xml:space="preserve"> (e. g. trade or aviation agreements with third countries); </w:t>
      </w:r>
    </w:p>
    <w:p w14:paraId="6A13EC4A" w14:textId="5BC6642C" w:rsidR="00710C9C" w:rsidRPr="00846CC5" w:rsidRDefault="00846CC5" w:rsidP="001C7F0A">
      <w:pPr>
        <w:pStyle w:val="SingleTxtG"/>
        <w:ind w:firstLine="567"/>
      </w:pPr>
      <w:r w:rsidRPr="00846CC5">
        <w:t>(d)</w:t>
      </w:r>
      <w:r w:rsidRPr="00846CC5">
        <w:tab/>
      </w:r>
      <w:r w:rsidR="00710C9C" w:rsidRPr="00846CC5">
        <w:t>Border controls for customs, (technical) standards</w:t>
      </w:r>
      <w:r w:rsidR="007F6758">
        <w:t>,</w:t>
      </w:r>
      <w:r w:rsidR="00710C9C" w:rsidRPr="00846CC5">
        <w:t xml:space="preserve"> etc. necessary </w:t>
      </w:r>
      <w:r w:rsidR="00BA26A2" w:rsidRPr="00846CC5">
        <w:t xml:space="preserve">for </w:t>
      </w:r>
      <w:r w:rsidR="00710C9C" w:rsidRPr="00846CC5">
        <w:t xml:space="preserve">timely delivery of goods/passengers </w:t>
      </w:r>
      <w:r w:rsidR="00BA26A2" w:rsidRPr="00846CC5">
        <w:t xml:space="preserve">would be </w:t>
      </w:r>
      <w:r w:rsidR="00710C9C" w:rsidRPr="00846CC5">
        <w:t>seriously endangered</w:t>
      </w:r>
      <w:r w:rsidR="00BA26A2" w:rsidRPr="00846CC5">
        <w:t xml:space="preserve">; </w:t>
      </w:r>
    </w:p>
    <w:p w14:paraId="195CBAD0" w14:textId="701DC243" w:rsidR="00710C9C" w:rsidRPr="00846CC5" w:rsidRDefault="00846CC5" w:rsidP="001C7F0A">
      <w:pPr>
        <w:pStyle w:val="SingleTxtG"/>
        <w:ind w:firstLine="567"/>
      </w:pPr>
      <w:r w:rsidRPr="00846CC5">
        <w:t>(e)</w:t>
      </w:r>
      <w:r w:rsidRPr="00846CC5">
        <w:tab/>
      </w:r>
      <w:r w:rsidR="00710C9C" w:rsidRPr="00846CC5">
        <w:t xml:space="preserve">Hard border between Ireland and Northern Ireland with possible consequences for </w:t>
      </w:r>
      <w:r w:rsidR="00951B79">
        <w:t xml:space="preserve">the </w:t>
      </w:r>
      <w:r w:rsidR="00710C9C" w:rsidRPr="00846CC5">
        <w:t>Good Friday Agreement</w:t>
      </w:r>
      <w:r w:rsidR="00BA26A2" w:rsidRPr="00846CC5">
        <w:t>;</w:t>
      </w:r>
    </w:p>
    <w:p w14:paraId="15776E92" w14:textId="0E2BEC72" w:rsidR="002627F0" w:rsidRPr="00254E4D" w:rsidRDefault="00846CC5" w:rsidP="001C7F0A">
      <w:pPr>
        <w:pStyle w:val="SingleTxtG"/>
        <w:ind w:firstLine="567"/>
      </w:pPr>
      <w:r>
        <w:lastRenderedPageBreak/>
        <w:t>(f)</w:t>
      </w:r>
      <w:r>
        <w:tab/>
      </w:r>
      <w:r w:rsidR="00710C9C" w:rsidRPr="00710C9C">
        <w:t xml:space="preserve">Guidelines on future relations foresee sectoral agreements for transport: if no deal and no implementation period </w:t>
      </w:r>
      <w:r w:rsidR="00BA26A2">
        <w:t xml:space="preserve">then </w:t>
      </w:r>
      <w:r w:rsidR="00710C9C" w:rsidRPr="00710C9C">
        <w:t xml:space="preserve">disruptions of transport operations </w:t>
      </w:r>
      <w:r w:rsidR="00BA26A2">
        <w:t>might occur</w:t>
      </w:r>
      <w:r>
        <w:t>.</w:t>
      </w:r>
    </w:p>
    <w:p w14:paraId="21D98293" w14:textId="77777777" w:rsidR="002627F0" w:rsidRPr="00033EF3" w:rsidRDefault="00BE35A4" w:rsidP="002627F0">
      <w:pPr>
        <w:pStyle w:val="SingleTxtG"/>
      </w:pPr>
      <w:r>
        <w:t>5</w:t>
      </w:r>
      <w:r w:rsidR="00C76913">
        <w:t>8</w:t>
      </w:r>
      <w:r w:rsidR="009F3903">
        <w:t>.</w:t>
      </w:r>
      <w:r w:rsidR="002627F0" w:rsidRPr="00254E4D">
        <w:tab/>
      </w:r>
      <w:r w:rsidR="004D2BC0" w:rsidRPr="00254E4D">
        <w:t xml:space="preserve">The Working Party expressed its appreciation to </w:t>
      </w:r>
      <w:r w:rsidR="00BA26A2">
        <w:t xml:space="preserve">the representative of Austria </w:t>
      </w:r>
      <w:r w:rsidR="004D2BC0" w:rsidRPr="00254E4D">
        <w:t xml:space="preserve">for the presentation </w:t>
      </w:r>
      <w:r w:rsidR="002627F0" w:rsidRPr="00254E4D">
        <w:t xml:space="preserve">and invited </w:t>
      </w:r>
      <w:r w:rsidR="00BA26A2">
        <w:t xml:space="preserve">Governments </w:t>
      </w:r>
      <w:r w:rsidR="002627F0" w:rsidRPr="00254E4D">
        <w:t xml:space="preserve">to provide an update on relevant developments in the road sector at its </w:t>
      </w:r>
      <w:r w:rsidR="00062684">
        <w:t>thirty-</w:t>
      </w:r>
      <w:r w:rsidR="00BA26A2">
        <w:t>second</w:t>
      </w:r>
      <w:r w:rsidR="00A2431B" w:rsidRPr="00254E4D">
        <w:t xml:space="preserve"> </w:t>
      </w:r>
      <w:r w:rsidR="002627F0" w:rsidRPr="00254E4D">
        <w:t>session in 201</w:t>
      </w:r>
      <w:r w:rsidR="00BA26A2">
        <w:t>9</w:t>
      </w:r>
      <w:r w:rsidR="000C28BF" w:rsidRPr="00254E4D">
        <w:t>.</w:t>
      </w:r>
    </w:p>
    <w:p w14:paraId="30730956" w14:textId="77777777" w:rsidR="004D2BC0" w:rsidRPr="009F3903" w:rsidRDefault="000C28BF" w:rsidP="009F3903">
      <w:pPr>
        <w:pStyle w:val="H1G"/>
      </w:pPr>
      <w:r w:rsidRPr="009F3903">
        <w:tab/>
      </w:r>
      <w:r w:rsidR="00F926FB">
        <w:t>D</w:t>
      </w:r>
      <w:r w:rsidR="008E5035" w:rsidRPr="009F3903">
        <w:t>.</w:t>
      </w:r>
      <w:r w:rsidR="004D2BC0" w:rsidRPr="009F3903">
        <w:tab/>
        <w:t xml:space="preserve">Transport </w:t>
      </w:r>
      <w:r w:rsidR="00082BC3" w:rsidRPr="009F3903">
        <w:t xml:space="preserve">Trends </w:t>
      </w:r>
      <w:r w:rsidR="004D2BC0" w:rsidRPr="009F3903">
        <w:t xml:space="preserve">and </w:t>
      </w:r>
      <w:r w:rsidR="00082BC3" w:rsidRPr="009F3903">
        <w:t xml:space="preserve">Challenges </w:t>
      </w:r>
      <w:r w:rsidR="004D2BC0" w:rsidRPr="009F3903">
        <w:t>in the rail sector</w:t>
      </w:r>
    </w:p>
    <w:p w14:paraId="4839EA1B" w14:textId="77777777" w:rsidR="002627F0" w:rsidRPr="00033EF3" w:rsidRDefault="00E6693B" w:rsidP="004D2BC0">
      <w:pPr>
        <w:pStyle w:val="SingleTxtG"/>
      </w:pPr>
      <w:r w:rsidRPr="00033EF3">
        <w:rPr>
          <w:i/>
        </w:rPr>
        <w:t>Documentation:</w:t>
      </w:r>
      <w:r w:rsidRPr="00033EF3">
        <w:t xml:space="preserve"> Informal document No.</w:t>
      </w:r>
      <w:r w:rsidR="00BA26A2">
        <w:t>8</w:t>
      </w:r>
    </w:p>
    <w:p w14:paraId="70D6DAAF" w14:textId="2D3D2322" w:rsidR="008E1DC5" w:rsidRDefault="00BE35A4" w:rsidP="00684CC5">
      <w:pPr>
        <w:pStyle w:val="SingleTxtG"/>
      </w:pPr>
      <w:r>
        <w:t>5</w:t>
      </w:r>
      <w:r w:rsidR="00C76913">
        <w:t>9</w:t>
      </w:r>
      <w:r w:rsidR="000C28BF" w:rsidRPr="00033EF3">
        <w:t>.</w:t>
      </w:r>
      <w:r w:rsidR="00E6693B" w:rsidRPr="00033EF3">
        <w:tab/>
      </w:r>
      <w:r w:rsidR="000900FA" w:rsidRPr="000900FA">
        <w:t xml:space="preserve">The representative of </w:t>
      </w:r>
      <w:r w:rsidR="000900FA">
        <w:t>UIC</w:t>
      </w:r>
      <w:r w:rsidR="000900FA" w:rsidRPr="000900FA">
        <w:t>, Mr</w:t>
      </w:r>
      <w:r w:rsidR="00C55C04">
        <w:t>s</w:t>
      </w:r>
      <w:r w:rsidR="000900FA" w:rsidRPr="000900FA">
        <w:t xml:space="preserve">. </w:t>
      </w:r>
      <w:r w:rsidR="00C55C04" w:rsidRPr="00C55C04">
        <w:t>S</w:t>
      </w:r>
      <w:r w:rsidR="00062684">
        <w:t>.</w:t>
      </w:r>
      <w:r w:rsidR="00C55C04" w:rsidRPr="00C55C04">
        <w:t xml:space="preserve"> </w:t>
      </w:r>
      <w:r w:rsidR="00597F4C" w:rsidRPr="00C55C04">
        <w:t>Markovic</w:t>
      </w:r>
      <w:r w:rsidR="00C55C04" w:rsidRPr="00C55C04">
        <w:t>-</w:t>
      </w:r>
      <w:r w:rsidR="00597F4C" w:rsidRPr="00C55C04">
        <w:t>Chenais</w:t>
      </w:r>
      <w:r w:rsidR="000900FA" w:rsidRPr="000900FA">
        <w:t xml:space="preserve">, gave a presentation on transport trends and challenges in the </w:t>
      </w:r>
      <w:r w:rsidR="00684CC5">
        <w:t>rail</w:t>
      </w:r>
      <w:r w:rsidR="000900FA" w:rsidRPr="000900FA">
        <w:t xml:space="preserve"> sector.</w:t>
      </w:r>
      <w:r w:rsidR="00F926FB">
        <w:t xml:space="preserve"> </w:t>
      </w:r>
      <w:r w:rsidR="00EA5EB2">
        <w:t>She</w:t>
      </w:r>
      <w:r w:rsidR="00684CC5">
        <w:t xml:space="preserve"> provided information on trends and challenges for </w:t>
      </w:r>
      <w:r w:rsidR="00EA5EB2">
        <w:t xml:space="preserve">the </w:t>
      </w:r>
      <w:r w:rsidR="00684CC5">
        <w:t xml:space="preserve">rail sector </w:t>
      </w:r>
      <w:r w:rsidR="00407280">
        <w:t>based on</w:t>
      </w:r>
      <w:r w:rsidR="00684CC5">
        <w:t xml:space="preserve"> data </w:t>
      </w:r>
      <w:r w:rsidR="00407280">
        <w:t xml:space="preserve">from </w:t>
      </w:r>
      <w:r w:rsidR="00684CC5">
        <w:t>the UIC synopsis which provides p</w:t>
      </w:r>
      <w:r w:rsidR="00684CC5" w:rsidRPr="00684CC5">
        <w:t>rovisional data</w:t>
      </w:r>
      <w:r w:rsidR="00684CC5">
        <w:t xml:space="preserve"> on</w:t>
      </w:r>
      <w:r w:rsidR="00684CC5" w:rsidRPr="00684CC5">
        <w:t xml:space="preserve"> annual basis</w:t>
      </w:r>
      <w:r w:rsidR="00684CC5">
        <w:t xml:space="preserve"> for all continents, the length of lines, rolling </w:t>
      </w:r>
      <w:r w:rsidR="00E90725">
        <w:t>s</w:t>
      </w:r>
      <w:r w:rsidR="00684CC5">
        <w:t xml:space="preserve">tock, the average staff strength, the train performance in train-km, the rail traffic in pass., pass-km, tonnes, tonne-km and the </w:t>
      </w:r>
      <w:r w:rsidR="00C76913">
        <w:t>high-speed</w:t>
      </w:r>
      <w:r w:rsidR="00684CC5">
        <w:t xml:space="preserve"> traffic. </w:t>
      </w:r>
    </w:p>
    <w:p w14:paraId="7D905359" w14:textId="77777777" w:rsidR="00684CC5" w:rsidRPr="00033EF3" w:rsidRDefault="00C76913" w:rsidP="008E1DC5">
      <w:pPr>
        <w:pStyle w:val="SingleTxtG"/>
      </w:pPr>
      <w:r>
        <w:t>60</w:t>
      </w:r>
      <w:r w:rsidR="008E1DC5">
        <w:t>.</w:t>
      </w:r>
      <w:r w:rsidR="008E1DC5">
        <w:tab/>
      </w:r>
      <w:r w:rsidR="008E1DC5" w:rsidRPr="00254E4D">
        <w:t xml:space="preserve">The Working Party expressed its appreciation to </w:t>
      </w:r>
      <w:r w:rsidR="008E1DC5">
        <w:t>UIC</w:t>
      </w:r>
      <w:r w:rsidR="008E1DC5" w:rsidRPr="00254E4D">
        <w:t xml:space="preserve"> for the presentation on the analysis of recent </w:t>
      </w:r>
      <w:r w:rsidR="008E1DC5">
        <w:t>rail</w:t>
      </w:r>
      <w:r w:rsidR="008E1DC5" w:rsidRPr="00254E4D">
        <w:t xml:space="preserve"> transport trends and challenges and invited </w:t>
      </w:r>
      <w:r w:rsidR="008E1DC5">
        <w:t>UIC</w:t>
      </w:r>
      <w:r w:rsidR="008E1DC5" w:rsidRPr="00254E4D">
        <w:t xml:space="preserve"> to provide an update on relevant developments in the </w:t>
      </w:r>
      <w:r w:rsidR="008E1DC5">
        <w:t>rail</w:t>
      </w:r>
      <w:r w:rsidR="008E1DC5" w:rsidRPr="00254E4D">
        <w:t xml:space="preserve"> sector at its </w:t>
      </w:r>
      <w:r w:rsidR="00F926FB">
        <w:t>thirty</w:t>
      </w:r>
      <w:r w:rsidR="00062684">
        <w:t>-</w:t>
      </w:r>
      <w:r w:rsidR="00BA26A2">
        <w:t>second</w:t>
      </w:r>
      <w:r w:rsidR="008E1DC5" w:rsidRPr="00254E4D">
        <w:t xml:space="preserve"> session in 201</w:t>
      </w:r>
      <w:r w:rsidR="00BA26A2">
        <w:t>9</w:t>
      </w:r>
      <w:r w:rsidR="008E1DC5" w:rsidRPr="00254E4D">
        <w:t>.</w:t>
      </w:r>
    </w:p>
    <w:p w14:paraId="24DA6D34" w14:textId="77777777" w:rsidR="00992CA0" w:rsidRPr="009F3903" w:rsidRDefault="00642E34" w:rsidP="009F3903">
      <w:pPr>
        <w:pStyle w:val="H1G"/>
      </w:pPr>
      <w:r w:rsidRPr="009F3903">
        <w:tab/>
      </w:r>
      <w:r w:rsidR="003764F2">
        <w:t>E</w:t>
      </w:r>
      <w:r w:rsidRPr="009F3903">
        <w:t>.</w:t>
      </w:r>
      <w:r w:rsidRPr="009F3903">
        <w:tab/>
        <w:t xml:space="preserve">Transport </w:t>
      </w:r>
      <w:r w:rsidR="00082BC3" w:rsidRPr="009F3903">
        <w:t xml:space="preserve">Trends </w:t>
      </w:r>
      <w:r w:rsidRPr="009F3903">
        <w:t xml:space="preserve">and </w:t>
      </w:r>
      <w:r w:rsidR="00082BC3" w:rsidRPr="009F3903">
        <w:t xml:space="preserve">Challenges </w:t>
      </w:r>
      <w:r w:rsidRPr="009F3903">
        <w:t>in the inland waterways sector</w:t>
      </w:r>
    </w:p>
    <w:p w14:paraId="6A9C1EB5" w14:textId="77777777" w:rsidR="00992CA0" w:rsidRDefault="00C76913" w:rsidP="00337FA7">
      <w:pPr>
        <w:pStyle w:val="SingleTxtG"/>
      </w:pPr>
      <w:r>
        <w:t>61</w:t>
      </w:r>
      <w:r w:rsidR="00642E34" w:rsidRPr="00254E4D">
        <w:t>.</w:t>
      </w:r>
      <w:r w:rsidR="00642E34" w:rsidRPr="00254E4D">
        <w:tab/>
      </w:r>
      <w:r w:rsidR="00B86462" w:rsidRPr="00B86462">
        <w:t xml:space="preserve">The </w:t>
      </w:r>
      <w:r w:rsidR="00EC1CB5">
        <w:t>secretariat provided information</w:t>
      </w:r>
      <w:r w:rsidR="00B86462" w:rsidRPr="00B86462">
        <w:t xml:space="preserve"> on transport trends and challenges in the </w:t>
      </w:r>
      <w:r w:rsidR="00EA5EB2">
        <w:t>inland waterways</w:t>
      </w:r>
      <w:r w:rsidR="00EA5EB2" w:rsidRPr="00B86462">
        <w:t xml:space="preserve"> </w:t>
      </w:r>
      <w:r w:rsidR="00B86462" w:rsidRPr="00B86462">
        <w:t>sector.</w:t>
      </w:r>
    </w:p>
    <w:p w14:paraId="0252F627" w14:textId="77777777" w:rsidR="00B86462" w:rsidRDefault="00BA26A2" w:rsidP="00077E6A">
      <w:pPr>
        <w:pStyle w:val="SingleTxtG"/>
      </w:pPr>
      <w:r>
        <w:t>6</w:t>
      </w:r>
      <w:r w:rsidR="00C76913">
        <w:t>2</w:t>
      </w:r>
      <w:r w:rsidR="00077E6A">
        <w:t>.</w:t>
      </w:r>
      <w:r w:rsidR="00077E6A">
        <w:tab/>
      </w:r>
      <w:r w:rsidR="00077E6A" w:rsidRPr="00254E4D">
        <w:t xml:space="preserve">The Working Party expressed its appreciation to </w:t>
      </w:r>
      <w:r w:rsidR="00077E6A">
        <w:t>the secretariat</w:t>
      </w:r>
      <w:r w:rsidR="00077E6A" w:rsidRPr="00254E4D">
        <w:t xml:space="preserve"> for the presentation on the analysis of recent </w:t>
      </w:r>
      <w:r w:rsidR="00077E6A">
        <w:t xml:space="preserve">inland water transport </w:t>
      </w:r>
      <w:r w:rsidR="00077E6A" w:rsidRPr="00254E4D">
        <w:t xml:space="preserve">trends and challenges and </w:t>
      </w:r>
      <w:r w:rsidR="00077E6A">
        <w:t>requested the secretariat</w:t>
      </w:r>
      <w:r w:rsidR="00077E6A" w:rsidRPr="00254E4D">
        <w:t xml:space="preserve"> to provide an update on relevant developments in the </w:t>
      </w:r>
      <w:r w:rsidR="00077E6A">
        <w:t>inland waterways</w:t>
      </w:r>
      <w:r w:rsidR="00077E6A" w:rsidRPr="00254E4D">
        <w:t xml:space="preserve"> sector at its </w:t>
      </w:r>
      <w:r w:rsidR="003764F2">
        <w:t>thirty</w:t>
      </w:r>
      <w:r w:rsidR="001856BF">
        <w:t>-</w:t>
      </w:r>
      <w:r>
        <w:t>second</w:t>
      </w:r>
      <w:r w:rsidR="003764F2">
        <w:t xml:space="preserve"> </w:t>
      </w:r>
      <w:r w:rsidR="003764F2" w:rsidRPr="00254E4D">
        <w:t>session</w:t>
      </w:r>
      <w:r w:rsidR="00077E6A" w:rsidRPr="00254E4D">
        <w:t xml:space="preserve"> in 201</w:t>
      </w:r>
      <w:r>
        <w:t>9</w:t>
      </w:r>
      <w:r w:rsidR="00077E6A" w:rsidRPr="00254E4D">
        <w:t>.</w:t>
      </w:r>
      <w:r w:rsidR="00077E6A">
        <w:t xml:space="preserve"> </w:t>
      </w:r>
    </w:p>
    <w:p w14:paraId="43B9D4F7" w14:textId="77777777" w:rsidR="007831C5" w:rsidRPr="009F3903" w:rsidRDefault="009F3903" w:rsidP="009F3903">
      <w:pPr>
        <w:pStyle w:val="H1G"/>
      </w:pPr>
      <w:r>
        <w:tab/>
      </w:r>
      <w:r w:rsidR="003764F2">
        <w:t>F</w:t>
      </w:r>
      <w:r w:rsidR="007831C5" w:rsidRPr="009F3903">
        <w:t>.</w:t>
      </w:r>
      <w:r w:rsidRPr="009F3903">
        <w:tab/>
      </w:r>
      <w:r w:rsidR="007831C5" w:rsidRPr="009F3903">
        <w:t>UNECE Transport Statistics analysis</w:t>
      </w:r>
    </w:p>
    <w:p w14:paraId="4B2BD44F" w14:textId="77777777" w:rsidR="00077E6A" w:rsidRDefault="00BA26A2" w:rsidP="009F3903">
      <w:pPr>
        <w:pStyle w:val="SingleTxtG"/>
      </w:pPr>
      <w:r>
        <w:t>6</w:t>
      </w:r>
      <w:r w:rsidR="00C76913">
        <w:t>3</w:t>
      </w:r>
      <w:r w:rsidR="007831C5" w:rsidRPr="009F3903">
        <w:t>.</w:t>
      </w:r>
      <w:r w:rsidR="007831C5" w:rsidRPr="009F3903">
        <w:tab/>
      </w:r>
      <w:r w:rsidR="00D9000B" w:rsidRPr="00B86462">
        <w:t xml:space="preserve">The </w:t>
      </w:r>
      <w:r w:rsidR="003764F2" w:rsidRPr="003764F2">
        <w:t>s</w:t>
      </w:r>
      <w:r w:rsidR="00EC1CB5">
        <w:t xml:space="preserve">ecretariat provided information </w:t>
      </w:r>
      <w:r w:rsidR="00D9000B" w:rsidRPr="00B86462">
        <w:t xml:space="preserve">on </w:t>
      </w:r>
      <w:r w:rsidR="00EA5EB2">
        <w:t xml:space="preserve">the analysis of </w:t>
      </w:r>
      <w:r w:rsidR="00D9000B" w:rsidRPr="00B86462">
        <w:t xml:space="preserve">transport </w:t>
      </w:r>
      <w:r w:rsidR="00D9000B">
        <w:t xml:space="preserve">statistics </w:t>
      </w:r>
      <w:r w:rsidR="00EA5EB2">
        <w:t xml:space="preserve">in the </w:t>
      </w:r>
      <w:r w:rsidR="00D9000B">
        <w:t>ECE</w:t>
      </w:r>
      <w:r w:rsidR="00A00B78">
        <w:t xml:space="preserve"> </w:t>
      </w:r>
      <w:r w:rsidR="003764F2">
        <w:t>region</w:t>
      </w:r>
      <w:r w:rsidR="00D9000B">
        <w:t xml:space="preserve">. </w:t>
      </w:r>
    </w:p>
    <w:p w14:paraId="6B7CBD9A" w14:textId="77777777" w:rsidR="008675FD" w:rsidRDefault="00BA26A2" w:rsidP="009F3903">
      <w:pPr>
        <w:pStyle w:val="SingleTxtG"/>
      </w:pPr>
      <w:r>
        <w:t>6</w:t>
      </w:r>
      <w:r w:rsidR="00C76913">
        <w:t>4</w:t>
      </w:r>
      <w:r w:rsidR="008675FD" w:rsidRPr="009F3903">
        <w:t>.</w:t>
      </w:r>
      <w:r w:rsidR="009F3903" w:rsidRPr="009F3903">
        <w:tab/>
      </w:r>
      <w:r w:rsidR="008675FD" w:rsidRPr="009F3903">
        <w:t xml:space="preserve">The Working Party appreciated the information provided by the secretariat. It requested the secretariat to provide more information </w:t>
      </w:r>
      <w:r w:rsidR="00840A82" w:rsidRPr="009F3903">
        <w:t>on</w:t>
      </w:r>
      <w:r w:rsidR="008675FD" w:rsidRPr="009F3903">
        <w:t xml:space="preserve"> transport statistics for the </w:t>
      </w:r>
      <w:r w:rsidR="003C7E5E">
        <w:t>ECE region at the next session.</w:t>
      </w:r>
    </w:p>
    <w:p w14:paraId="2B82B428" w14:textId="77777777" w:rsidR="004D2BC0" w:rsidRPr="009F3903" w:rsidRDefault="00115582" w:rsidP="009F3903">
      <w:pPr>
        <w:pStyle w:val="HChG"/>
      </w:pPr>
      <w:r w:rsidRPr="009F3903">
        <w:tab/>
      </w:r>
      <w:r w:rsidR="00F54E43" w:rsidRPr="009F3903">
        <w:t>X</w:t>
      </w:r>
      <w:r w:rsidR="00CB5F9F">
        <w:t>III</w:t>
      </w:r>
      <w:r w:rsidR="004D2BC0" w:rsidRPr="009F3903">
        <w:t>.</w:t>
      </w:r>
      <w:r w:rsidR="004D2BC0" w:rsidRPr="009F3903">
        <w:tab/>
        <w:t>Technical assistance to countries with economies</w:t>
      </w:r>
      <w:r w:rsidR="00EC1CB5">
        <w:t xml:space="preserve"> in transition</w:t>
      </w:r>
      <w:r w:rsidR="004D2BC0" w:rsidRPr="009F3903">
        <w:t xml:space="preserve"> (agenda item </w:t>
      </w:r>
      <w:r w:rsidR="00CB5F9F">
        <w:t>12</w:t>
      </w:r>
      <w:r w:rsidR="004D2BC0" w:rsidRPr="009F3903">
        <w:t>)</w:t>
      </w:r>
    </w:p>
    <w:p w14:paraId="50463C12" w14:textId="77777777" w:rsidR="004D2BC0" w:rsidRPr="00033EF3" w:rsidRDefault="004D2BC0" w:rsidP="00DE4D13">
      <w:pPr>
        <w:pStyle w:val="SingleTxtG"/>
        <w:keepNext/>
        <w:keepLines/>
      </w:pPr>
      <w:r w:rsidRPr="00033EF3">
        <w:rPr>
          <w:i/>
          <w:iCs/>
        </w:rPr>
        <w:t>Documentation</w:t>
      </w:r>
      <w:r w:rsidRPr="00033EF3">
        <w:t xml:space="preserve">: </w:t>
      </w:r>
      <w:r w:rsidR="009F79F0" w:rsidRPr="00033EF3">
        <w:t xml:space="preserve">Informal document No. </w:t>
      </w:r>
      <w:r w:rsidR="00BA26A2">
        <w:t>9</w:t>
      </w:r>
    </w:p>
    <w:p w14:paraId="317B5AB4" w14:textId="77777777" w:rsidR="00A77245" w:rsidRDefault="00BA26A2" w:rsidP="007F08D6">
      <w:pPr>
        <w:pStyle w:val="SingleTxtG"/>
      </w:pPr>
      <w:r>
        <w:t>6</w:t>
      </w:r>
      <w:r w:rsidR="00087847">
        <w:t>5</w:t>
      </w:r>
      <w:r w:rsidR="00E7100D" w:rsidRPr="007F08D6">
        <w:t>.</w:t>
      </w:r>
      <w:r w:rsidR="00E7100D" w:rsidRPr="00597F4C">
        <w:tab/>
      </w:r>
      <w:r w:rsidR="00A77245" w:rsidRPr="00597F4C">
        <w:t xml:space="preserve">The </w:t>
      </w:r>
      <w:r w:rsidR="00CB5F9F" w:rsidRPr="00597F4C">
        <w:t>secretariat</w:t>
      </w:r>
      <w:r w:rsidR="00A77245" w:rsidRPr="00597F4C">
        <w:t xml:space="preserve"> informed the </w:t>
      </w:r>
      <w:r w:rsidR="002871EA" w:rsidRPr="00597F4C">
        <w:t>Working Party</w:t>
      </w:r>
      <w:r w:rsidR="00A77245" w:rsidRPr="00597F4C">
        <w:t xml:space="preserve"> </w:t>
      </w:r>
      <w:r w:rsidR="00B52BDB" w:rsidRPr="00597F4C">
        <w:t xml:space="preserve">about </w:t>
      </w:r>
      <w:r w:rsidR="00A77245" w:rsidRPr="00597F4C">
        <w:t xml:space="preserve">technical assistance </w:t>
      </w:r>
      <w:r w:rsidR="00EA5EB2" w:rsidRPr="00597F4C">
        <w:t xml:space="preserve">activities </w:t>
      </w:r>
      <w:r w:rsidR="00A77245" w:rsidRPr="00597F4C">
        <w:t>to count</w:t>
      </w:r>
      <w:r w:rsidR="00DE4D13" w:rsidRPr="00597F4C">
        <w:t>ries with economies</w:t>
      </w:r>
      <w:r w:rsidR="008932DE" w:rsidRPr="008932DE">
        <w:t xml:space="preserve"> </w:t>
      </w:r>
      <w:r w:rsidR="008932DE">
        <w:t xml:space="preserve">in </w:t>
      </w:r>
      <w:r w:rsidR="008932DE" w:rsidRPr="00597F4C">
        <w:t>transition</w:t>
      </w:r>
      <w:r w:rsidR="00DE4D13" w:rsidRPr="00597F4C">
        <w:t>.</w:t>
      </w:r>
      <w:r w:rsidR="007549DD" w:rsidRPr="00597F4C">
        <w:t xml:space="preserve"> The Working Party noted that assistance in the field of transport is focused, but not limited to strengthening the capacity of countries of Eastern and </w:t>
      </w:r>
      <w:r w:rsidR="00840A82" w:rsidRPr="00597F4C">
        <w:t>South-eastern</w:t>
      </w:r>
      <w:r w:rsidR="007549DD" w:rsidRPr="00597F4C">
        <w:t xml:space="preserve"> Europe, South Caucasus and Central Asia, in particular</w:t>
      </w:r>
      <w:r w:rsidR="00260181">
        <w:t>,</w:t>
      </w:r>
      <w:r w:rsidR="007549DD" w:rsidRPr="00597F4C">
        <w:t xml:space="preserve"> the landlocked countries. Furthermore, assistance related to </w:t>
      </w:r>
      <w:r w:rsidR="00840A82" w:rsidRPr="00597F4C">
        <w:t xml:space="preserve">the work of the </w:t>
      </w:r>
      <w:r w:rsidR="007549DD" w:rsidRPr="00597F4C">
        <w:t xml:space="preserve">Division </w:t>
      </w:r>
      <w:r w:rsidR="00840A82" w:rsidRPr="00597F4C">
        <w:t>is</w:t>
      </w:r>
      <w:r w:rsidR="007549DD" w:rsidRPr="00597F4C">
        <w:t xml:space="preserve"> provided to other member States. Technical assistance activities aim at acceding to and implementing United </w:t>
      </w:r>
      <w:r w:rsidR="007549DD" w:rsidRPr="00597F4C">
        <w:lastRenderedPageBreak/>
        <w:t>Nations legal instruments, norms and standards, transferring know-how as well as sharing best practices in transport.</w:t>
      </w:r>
    </w:p>
    <w:p w14:paraId="64536EE6" w14:textId="6665DA4F" w:rsidR="00BA26A2" w:rsidRDefault="00BA26A2" w:rsidP="00EF2177">
      <w:pPr>
        <w:pStyle w:val="SingleTxtG"/>
      </w:pPr>
      <w:r w:rsidRPr="00087847">
        <w:t>6</w:t>
      </w:r>
      <w:r w:rsidR="00087847" w:rsidRPr="00087847">
        <w:t>6</w:t>
      </w:r>
      <w:r w:rsidRPr="00087847">
        <w:t>.</w:t>
      </w:r>
      <w:r>
        <w:tab/>
      </w:r>
      <w:r w:rsidR="004E3639">
        <w:t xml:space="preserve">Three capacity building workshops were organized </w:t>
      </w:r>
      <w:r w:rsidR="00EF2177">
        <w:t>on transport</w:t>
      </w:r>
      <w:r w:rsidR="00951B79">
        <w:t>-</w:t>
      </w:r>
      <w:r w:rsidR="00EF2177">
        <w:t xml:space="preserve">related </w:t>
      </w:r>
      <w:r w:rsidR="00FB4CF5">
        <w:t xml:space="preserve">Sustainable </w:t>
      </w:r>
      <w:r w:rsidR="00DE6B41">
        <w:t>Development Goals</w:t>
      </w:r>
      <w:r w:rsidR="00EF2177">
        <w:t xml:space="preserve">. One in Podgorica in October 2017, </w:t>
      </w:r>
      <w:r w:rsidR="00CB2DE6">
        <w:t xml:space="preserve">a second </w:t>
      </w:r>
      <w:r w:rsidR="00EF2177">
        <w:t>one in Astana in November 2017 and the third one in Ljubljana in November 2017. The UNDA</w:t>
      </w:r>
      <w:r w:rsidR="007A7DAA">
        <w:rPr>
          <w:rStyle w:val="FootnoteReference"/>
        </w:rPr>
        <w:footnoteReference w:id="2"/>
      </w:r>
      <w:r w:rsidR="00EF2177">
        <w:t xml:space="preserve"> project on </w:t>
      </w:r>
      <w:r w:rsidR="00951B79">
        <w:t>“</w:t>
      </w:r>
      <w:r w:rsidR="00EF2177">
        <w:t>Strengthening the national road safety management capacities of selected developing countries and countries with economies in transition</w:t>
      </w:r>
      <w:r w:rsidR="00951B79">
        <w:t>”</w:t>
      </w:r>
      <w:r w:rsidR="00EF2177">
        <w:t xml:space="preserve"> was finalized in March 2018. The beneficiary countries were Albania, Georgia, the Dominican Republic and Viet Nam and the project was realized in cooperation with</w:t>
      </w:r>
      <w:r w:rsidR="002A5E0D">
        <w:t xml:space="preserve"> </w:t>
      </w:r>
      <w:r w:rsidR="00EF2177">
        <w:t>ESCAP</w:t>
      </w:r>
      <w:r w:rsidR="007874A7">
        <w:t xml:space="preserve"> </w:t>
      </w:r>
      <w:r w:rsidR="00EF2177">
        <w:t>and ECLAC.</w:t>
      </w:r>
    </w:p>
    <w:p w14:paraId="6FD260A4" w14:textId="77777777" w:rsidR="00A77245" w:rsidRDefault="00BE35A4" w:rsidP="001C7F0A">
      <w:pPr>
        <w:pStyle w:val="SingleTxtG"/>
      </w:pPr>
      <w:r>
        <w:t>6</w:t>
      </w:r>
      <w:r w:rsidR="006E151B">
        <w:t>7</w:t>
      </w:r>
      <w:r w:rsidR="00A77245" w:rsidRPr="00254E4D">
        <w:t>.</w:t>
      </w:r>
      <w:r w:rsidR="00A77245" w:rsidRPr="00254E4D">
        <w:tab/>
      </w:r>
      <w:r w:rsidR="007549DD" w:rsidRPr="00254E4D">
        <w:t xml:space="preserve">The Working Party took note of the information provided by the </w:t>
      </w:r>
      <w:r w:rsidR="004734B9">
        <w:t>regional advisor</w:t>
      </w:r>
      <w:r w:rsidR="007549DD" w:rsidRPr="00254E4D">
        <w:t xml:space="preserve"> on progress made </w:t>
      </w:r>
      <w:r w:rsidR="008E2065">
        <w:t>i</w:t>
      </w:r>
      <w:r w:rsidR="007549DD" w:rsidRPr="00254E4D">
        <w:t xml:space="preserve">n technical assistance to countries with economies in transition </w:t>
      </w:r>
      <w:r w:rsidR="008E2065" w:rsidRPr="00254E4D">
        <w:t>and requested</w:t>
      </w:r>
      <w:r w:rsidR="007549DD" w:rsidRPr="00254E4D">
        <w:t xml:space="preserve"> the secretariat to provide information </w:t>
      </w:r>
      <w:r w:rsidR="008E2065">
        <w:t>a</w:t>
      </w:r>
      <w:r w:rsidR="007549DD" w:rsidRPr="00254E4D">
        <w:t>t the next session.</w:t>
      </w:r>
    </w:p>
    <w:p w14:paraId="74D273C7" w14:textId="77777777" w:rsidR="006D32D3" w:rsidRPr="006D32D3" w:rsidRDefault="003C797B" w:rsidP="003C797B">
      <w:pPr>
        <w:pStyle w:val="HChG"/>
      </w:pPr>
      <w:r>
        <w:tab/>
      </w:r>
      <w:r w:rsidR="006D32D3" w:rsidRPr="007008E1">
        <w:t>XIV.</w:t>
      </w:r>
      <w:r w:rsidRPr="007008E1">
        <w:tab/>
      </w:r>
      <w:r w:rsidR="00CE1254" w:rsidRPr="007008E1">
        <w:t xml:space="preserve">Activities of United Nations Economic Commission for Europe bodies of interest to the Working Party </w:t>
      </w:r>
      <w:r w:rsidR="001856BF">
        <w:br/>
      </w:r>
      <w:r w:rsidR="006D32D3" w:rsidRPr="007008E1">
        <w:t>(agenda item 13)</w:t>
      </w:r>
    </w:p>
    <w:p w14:paraId="48B09167" w14:textId="77777777" w:rsidR="009A68FA" w:rsidRDefault="009A68FA" w:rsidP="001C7F0A">
      <w:pPr>
        <w:pStyle w:val="SingleTxtG"/>
      </w:pPr>
      <w:r w:rsidRPr="001E0435">
        <w:rPr>
          <w:i/>
          <w:iCs/>
        </w:rPr>
        <w:t>Documentation</w:t>
      </w:r>
      <w:r w:rsidRPr="001E0435">
        <w:t>:</w:t>
      </w:r>
      <w:r>
        <w:t xml:space="preserve"> </w:t>
      </w:r>
      <w:r w:rsidRPr="009A68FA">
        <w:t>ECE/TRANS/2</w:t>
      </w:r>
      <w:r w:rsidR="006E151B">
        <w:t>7</w:t>
      </w:r>
      <w:r w:rsidRPr="009A68FA">
        <w:t>4</w:t>
      </w:r>
    </w:p>
    <w:p w14:paraId="38C6FCDA" w14:textId="77777777" w:rsidR="00C4632D" w:rsidRDefault="00BE35A4" w:rsidP="001C7F0A">
      <w:pPr>
        <w:pStyle w:val="SingleTxtG"/>
      </w:pPr>
      <w:r>
        <w:t>6</w:t>
      </w:r>
      <w:r w:rsidR="006E151B">
        <w:t>8</w:t>
      </w:r>
      <w:r w:rsidR="006D32D3">
        <w:t>.</w:t>
      </w:r>
      <w:r w:rsidR="006D32D3">
        <w:tab/>
      </w:r>
      <w:r w:rsidR="00140BF8">
        <w:t xml:space="preserve">The secretariat informed the Working Party that </w:t>
      </w:r>
      <w:r w:rsidR="00C4632D">
        <w:t>t</w:t>
      </w:r>
      <w:r w:rsidR="00C4632D" w:rsidRPr="00C4632D">
        <w:t>he Committee at its seventy-eighth session had recognised the need to adapt to new realities and dynamics in the strategic environment within which the Committee operates. It had decided that the secretariat should draft a strategy paper on the priorities and the main directions in consultation with the Bureau, the Chairs of the subsidiary bodies and the Administrative Committees of transport conventions under the purview of the Committee. The Committee had the opportunity to review the advance version of the Executive Summary of the Strategy Paper (ECE/TRANS/2017/R.1) which included the main findings and recommendations, in order to consider ways to enhance the role and impact of the Committee and its subsidiary bodies vis-à-vis emerging challenges and opportunities globally.</w:t>
      </w:r>
      <w:r w:rsidR="006E151B">
        <w:t xml:space="preserve"> </w:t>
      </w:r>
    </w:p>
    <w:p w14:paraId="44DF0845" w14:textId="1E8E2C86" w:rsidR="006E151B" w:rsidRDefault="006E151B" w:rsidP="001C7F0A">
      <w:pPr>
        <w:pStyle w:val="SingleTxtG"/>
      </w:pPr>
      <w:r>
        <w:t>69.</w:t>
      </w:r>
      <w:r>
        <w:tab/>
        <w:t xml:space="preserve">The ITC Bureau, supported by the secretariat, has further elaborated the draft ITC Strategy until 2030 (Zero Draft of ECE/TRANS/2019/R.1). In line with ITC decisions (ECE/TRANS/274, para. 17), </w:t>
      </w:r>
      <w:r w:rsidR="009A1E49">
        <w:t>the Bureau requested that (</w:t>
      </w:r>
      <w:r>
        <w:t>a) the discussion of the ITC strategy becomes part of the agendas of the meetings of the Working Parties until the end of the year</w:t>
      </w:r>
      <w:r w:rsidR="00FA4921">
        <w:t>,</w:t>
      </w:r>
      <w:r>
        <w:t xml:space="preserve"> and (b) that the draft strategy document be circulated accordingly to governments to facilitate the consultations. </w:t>
      </w:r>
      <w:r w:rsidR="009A1E49">
        <w:t>Given the above background, the</w:t>
      </w:r>
      <w:r>
        <w:t xml:space="preserve"> secretariat present</w:t>
      </w:r>
      <w:r w:rsidR="009A1E49">
        <w:t xml:space="preserve">ed </w:t>
      </w:r>
      <w:r>
        <w:t>ECE/TRANS/2019/R.1 for discussion and comments by the Working Party.</w:t>
      </w:r>
      <w:r w:rsidR="009A1E49">
        <w:t xml:space="preserve"> No comments received from the Working Party on this topic.</w:t>
      </w:r>
    </w:p>
    <w:p w14:paraId="3B4D0713" w14:textId="4F4EC175" w:rsidR="00991A7D" w:rsidRDefault="009A1E49" w:rsidP="001C7F0A">
      <w:pPr>
        <w:pStyle w:val="SingleTxtG"/>
      </w:pPr>
      <w:r>
        <w:t>70.</w:t>
      </w:r>
      <w:r>
        <w:tab/>
      </w:r>
      <w:r w:rsidR="00C733CC">
        <w:t>The Working Party t</w:t>
      </w:r>
      <w:r w:rsidR="00140BF8" w:rsidRPr="00140BF8">
        <w:t xml:space="preserve">ook note of the information provided by the secretariat on the ITC strategy paper and </w:t>
      </w:r>
      <w:r w:rsidR="00C4632D">
        <w:t xml:space="preserve">requested the secretariat to provide information of ITC decisions at its next session. </w:t>
      </w:r>
    </w:p>
    <w:p w14:paraId="15152CBC" w14:textId="1B6088DD" w:rsidR="00C4632D" w:rsidRPr="008C718D" w:rsidRDefault="00C4632D" w:rsidP="009A1E49">
      <w:pPr>
        <w:pStyle w:val="HChG"/>
      </w:pPr>
      <w:r>
        <w:tab/>
        <w:t>XV.</w:t>
      </w:r>
      <w:r>
        <w:tab/>
      </w:r>
      <w:r w:rsidR="009A1E49" w:rsidRPr="009A1E49">
        <w:t>Election of officers for the Working Party sessions in 2019 and 2020</w:t>
      </w:r>
      <w:r w:rsidR="00B05C46">
        <w:t xml:space="preserve"> (agenda item 14)</w:t>
      </w:r>
    </w:p>
    <w:p w14:paraId="372A8BF9" w14:textId="68152E55" w:rsidR="00FD1DC7" w:rsidRDefault="009A1E49" w:rsidP="001C7F0A">
      <w:pPr>
        <w:pStyle w:val="SingleTxtG"/>
        <w:rPr>
          <w:lang w:eastAsia="en-GB"/>
        </w:rPr>
      </w:pPr>
      <w:r>
        <w:rPr>
          <w:lang w:eastAsia="en-GB"/>
        </w:rPr>
        <w:t>71</w:t>
      </w:r>
      <w:r w:rsidR="00C4632D">
        <w:rPr>
          <w:lang w:eastAsia="en-GB"/>
        </w:rPr>
        <w:t>.</w:t>
      </w:r>
      <w:r w:rsidR="00C4632D">
        <w:rPr>
          <w:lang w:eastAsia="en-GB"/>
        </w:rPr>
        <w:tab/>
      </w:r>
      <w:r w:rsidR="00C4632D" w:rsidRPr="008C718D">
        <w:rPr>
          <w:lang w:eastAsia="en-GB"/>
        </w:rPr>
        <w:t>The Working Party</w:t>
      </w:r>
      <w:r>
        <w:rPr>
          <w:lang w:eastAsia="en-GB"/>
        </w:rPr>
        <w:t xml:space="preserve"> </w:t>
      </w:r>
      <w:r w:rsidR="00420629">
        <w:rPr>
          <w:lang w:eastAsia="en-GB"/>
        </w:rPr>
        <w:t>elected</w:t>
      </w:r>
      <w:r w:rsidR="00CB2DE6">
        <w:rPr>
          <w:lang w:eastAsia="en-GB"/>
        </w:rPr>
        <w:t xml:space="preserve"> for its sessions in 2019 and 2020</w:t>
      </w:r>
      <w:r w:rsidR="00951B79">
        <w:rPr>
          <w:lang w:eastAsia="en-GB"/>
        </w:rPr>
        <w:t>,</w:t>
      </w:r>
      <w:r w:rsidR="00420629">
        <w:rPr>
          <w:lang w:eastAsia="en-GB"/>
        </w:rPr>
        <w:t xml:space="preserve"> its </w:t>
      </w:r>
      <w:r w:rsidR="00420629" w:rsidRPr="001C7F0A">
        <w:rPr>
          <w:bCs/>
        </w:rPr>
        <w:t>Chair</w:t>
      </w:r>
      <w:r w:rsidR="00420629">
        <w:rPr>
          <w:lang w:eastAsia="en-GB"/>
        </w:rPr>
        <w:t xml:space="preserve"> Mr. </w:t>
      </w:r>
      <w:r w:rsidR="00FA4921">
        <w:rPr>
          <w:lang w:eastAsia="en-GB"/>
        </w:rPr>
        <w:t xml:space="preserve">P. </w:t>
      </w:r>
      <w:r w:rsidR="00420629">
        <w:rPr>
          <w:lang w:eastAsia="en-GB"/>
        </w:rPr>
        <w:t xml:space="preserve">De Wildt (Netherlands) </w:t>
      </w:r>
      <w:r w:rsidR="008546A9">
        <w:rPr>
          <w:lang w:eastAsia="en-GB"/>
        </w:rPr>
        <w:t xml:space="preserve">and its </w:t>
      </w:r>
      <w:r w:rsidR="00FA4921">
        <w:rPr>
          <w:lang w:eastAsia="en-GB"/>
        </w:rPr>
        <w:t>Vice-</w:t>
      </w:r>
      <w:r w:rsidR="008546A9">
        <w:rPr>
          <w:lang w:eastAsia="en-GB"/>
        </w:rPr>
        <w:t xml:space="preserve">Chair Mr. </w:t>
      </w:r>
      <w:r w:rsidR="00FA4921" w:rsidRPr="008546A9">
        <w:rPr>
          <w:lang w:eastAsia="en-GB"/>
        </w:rPr>
        <w:t>S</w:t>
      </w:r>
      <w:r w:rsidR="00FA4921">
        <w:rPr>
          <w:lang w:eastAsia="en-GB"/>
        </w:rPr>
        <w:t>.</w:t>
      </w:r>
      <w:r w:rsidR="00FA4921" w:rsidRPr="008546A9">
        <w:rPr>
          <w:lang w:eastAsia="en-GB"/>
        </w:rPr>
        <w:t xml:space="preserve"> </w:t>
      </w:r>
      <w:r w:rsidR="008546A9" w:rsidRPr="008546A9">
        <w:rPr>
          <w:lang w:eastAsia="en-GB"/>
        </w:rPr>
        <w:t>Andreev</w:t>
      </w:r>
      <w:r w:rsidR="008546A9">
        <w:rPr>
          <w:lang w:eastAsia="en-GB"/>
        </w:rPr>
        <w:t xml:space="preserve"> (Russian Federation).</w:t>
      </w:r>
    </w:p>
    <w:p w14:paraId="106967E0" w14:textId="77777777" w:rsidR="004D2BC0" w:rsidRPr="00254E4D" w:rsidRDefault="001E0435">
      <w:pPr>
        <w:pStyle w:val="HChG"/>
      </w:pPr>
      <w:r>
        <w:lastRenderedPageBreak/>
        <w:tab/>
        <w:t>XVI.</w:t>
      </w:r>
      <w:r>
        <w:tab/>
      </w:r>
      <w:r w:rsidR="004D2BC0" w:rsidRPr="00254E4D">
        <w:t>Other business (agenda item 1</w:t>
      </w:r>
      <w:r w:rsidR="00096C7A">
        <w:t>5</w:t>
      </w:r>
      <w:r w:rsidR="004D2BC0" w:rsidRPr="00254E4D">
        <w:t>)</w:t>
      </w:r>
    </w:p>
    <w:p w14:paraId="36C2C249" w14:textId="77777777" w:rsidR="004D2BC0" w:rsidRPr="00254E4D" w:rsidRDefault="008546A9" w:rsidP="00663F18">
      <w:pPr>
        <w:pStyle w:val="SingleTxtG"/>
      </w:pPr>
      <w:r>
        <w:rPr>
          <w:bCs/>
        </w:rPr>
        <w:t>72</w:t>
      </w:r>
      <w:r w:rsidR="00DF4698" w:rsidRPr="00254E4D">
        <w:rPr>
          <w:bCs/>
        </w:rPr>
        <w:t>.</w:t>
      </w:r>
      <w:r w:rsidR="00DF4698" w:rsidRPr="00254E4D">
        <w:rPr>
          <w:bCs/>
        </w:rPr>
        <w:tab/>
      </w:r>
      <w:r w:rsidR="007831C5" w:rsidRPr="00254E4D">
        <w:rPr>
          <w:bCs/>
        </w:rPr>
        <w:t xml:space="preserve">No other business was reported. </w:t>
      </w:r>
    </w:p>
    <w:p w14:paraId="68A4300D" w14:textId="77777777" w:rsidR="004D2BC0" w:rsidRPr="00996A03" w:rsidRDefault="00DF4698" w:rsidP="00996A03">
      <w:pPr>
        <w:pStyle w:val="HChG"/>
      </w:pPr>
      <w:r w:rsidRPr="00996A03">
        <w:tab/>
      </w:r>
      <w:r w:rsidR="004D2BC0" w:rsidRPr="00996A03">
        <w:t>XV</w:t>
      </w:r>
      <w:r w:rsidR="001E0435">
        <w:t>II</w:t>
      </w:r>
      <w:r w:rsidR="004D2BC0" w:rsidRPr="00996A03">
        <w:t>.</w:t>
      </w:r>
      <w:r w:rsidR="004D2BC0" w:rsidRPr="00996A03">
        <w:tab/>
        <w:t>Date of next session (agenda item 1</w:t>
      </w:r>
      <w:r w:rsidR="00096C7A">
        <w:t>6</w:t>
      </w:r>
      <w:r w:rsidR="004D2BC0" w:rsidRPr="00996A03">
        <w:t>)</w:t>
      </w:r>
    </w:p>
    <w:p w14:paraId="7DD45223" w14:textId="1B2FA3B3" w:rsidR="007831C5" w:rsidRPr="00996A03" w:rsidRDefault="008546A9" w:rsidP="00996A03">
      <w:pPr>
        <w:pStyle w:val="SingleTxtG"/>
      </w:pPr>
      <w:r>
        <w:t>73</w:t>
      </w:r>
      <w:r w:rsidR="00DF4698" w:rsidRPr="00996A03">
        <w:t>.</w:t>
      </w:r>
      <w:r w:rsidR="00DF4698" w:rsidRPr="00996A03">
        <w:tab/>
      </w:r>
      <w:r w:rsidR="009A68FA" w:rsidRPr="009A68FA">
        <w:t xml:space="preserve">Th Working Party’s </w:t>
      </w:r>
      <w:r w:rsidR="003E685A">
        <w:t>thirty-</w:t>
      </w:r>
      <w:r>
        <w:t xml:space="preserve">second </w:t>
      </w:r>
      <w:r w:rsidR="009A68FA" w:rsidRPr="009A68FA">
        <w:t xml:space="preserve">session is tentatively scheduled to take place in Geneva from </w:t>
      </w:r>
      <w:r>
        <w:t>2</w:t>
      </w:r>
      <w:r w:rsidR="009A68FA" w:rsidRPr="009A68FA">
        <w:t xml:space="preserve"> to </w:t>
      </w:r>
      <w:r>
        <w:t>4</w:t>
      </w:r>
      <w:r w:rsidR="009A68FA" w:rsidRPr="009A68FA">
        <w:t xml:space="preserve"> September 201</w:t>
      </w:r>
      <w:r>
        <w:t>9</w:t>
      </w:r>
      <w:r w:rsidR="009A68FA" w:rsidRPr="009A68FA">
        <w:t>.</w:t>
      </w:r>
    </w:p>
    <w:p w14:paraId="55600CBD" w14:textId="77777777" w:rsidR="004D2BC0" w:rsidRPr="00996A03" w:rsidRDefault="004D2BC0" w:rsidP="00996A03">
      <w:pPr>
        <w:pStyle w:val="HChG"/>
      </w:pPr>
      <w:r w:rsidRPr="00996A03">
        <w:tab/>
        <w:t>X</w:t>
      </w:r>
      <w:r w:rsidR="00096C7A">
        <w:t>VIII</w:t>
      </w:r>
      <w:r w:rsidRPr="00996A03">
        <w:t>.</w:t>
      </w:r>
      <w:r w:rsidRPr="00996A03">
        <w:tab/>
        <w:t xml:space="preserve">Adoption of the </w:t>
      </w:r>
      <w:r w:rsidR="000604A7">
        <w:t xml:space="preserve">main </w:t>
      </w:r>
      <w:r w:rsidR="00186ED6" w:rsidRPr="00996A03">
        <w:t xml:space="preserve">decisions </w:t>
      </w:r>
      <w:r w:rsidRPr="00996A03">
        <w:t>(agenda item 1</w:t>
      </w:r>
      <w:r w:rsidR="00096C7A">
        <w:t>7</w:t>
      </w:r>
      <w:r w:rsidRPr="00996A03">
        <w:t>)</w:t>
      </w:r>
    </w:p>
    <w:p w14:paraId="60D58A98" w14:textId="08974C7E" w:rsidR="00FA4921" w:rsidRDefault="008546A9" w:rsidP="00996A03">
      <w:pPr>
        <w:pStyle w:val="SingleTxtG"/>
      </w:pPr>
      <w:r>
        <w:t>74</w:t>
      </w:r>
      <w:r w:rsidR="00872FA7" w:rsidRPr="00996A03">
        <w:t>.</w:t>
      </w:r>
      <w:r w:rsidR="00872FA7" w:rsidRPr="00996A03">
        <w:tab/>
      </w:r>
      <w:r w:rsidR="004D2BC0" w:rsidRPr="00996A03">
        <w:t xml:space="preserve">The Working Party adopted the list of main decisions of its </w:t>
      </w:r>
      <w:r w:rsidR="00951B79">
        <w:t>thirty-</w:t>
      </w:r>
      <w:r>
        <w:t xml:space="preserve">first </w:t>
      </w:r>
      <w:r w:rsidR="004D2BC0" w:rsidRPr="00996A03">
        <w:t>session and request</w:t>
      </w:r>
      <w:r w:rsidR="00186ED6" w:rsidRPr="00996A03">
        <w:t>ed</w:t>
      </w:r>
      <w:r w:rsidR="004D2BC0" w:rsidRPr="00996A03">
        <w:t xml:space="preserve"> the secretariat and the Chair to prepare the full and complete report </w:t>
      </w:r>
      <w:r w:rsidR="00186ED6" w:rsidRPr="00996A03">
        <w:t xml:space="preserve">for </w:t>
      </w:r>
      <w:r w:rsidR="004D2BC0" w:rsidRPr="00996A03">
        <w:t>circulat</w:t>
      </w:r>
      <w:r w:rsidR="00186ED6" w:rsidRPr="00996A03">
        <w:t>ion</w:t>
      </w:r>
      <w:r w:rsidR="004D2BC0" w:rsidRPr="00996A03">
        <w:t xml:space="preserve"> to the members of the Working Party for comments on items other tha</w:t>
      </w:r>
      <w:r w:rsidR="00444C39" w:rsidRPr="00996A03">
        <w:t>n</w:t>
      </w:r>
      <w:r w:rsidR="004D2BC0" w:rsidRPr="00996A03">
        <w:t xml:space="preserve"> those in the list of main decisions.</w:t>
      </w:r>
    </w:p>
    <w:p w14:paraId="0FE2BD87" w14:textId="77777777" w:rsidR="00FA4921" w:rsidRDefault="00FA4921">
      <w:pPr>
        <w:suppressAutoHyphens w:val="0"/>
        <w:spacing w:line="240" w:lineRule="auto"/>
      </w:pPr>
      <w:r>
        <w:br w:type="page"/>
      </w:r>
    </w:p>
    <w:p w14:paraId="5A4DAFD5" w14:textId="7AF2036F" w:rsidR="008546A9" w:rsidRDefault="00FA4921" w:rsidP="008546A9">
      <w:pPr>
        <w:pStyle w:val="HChG"/>
      </w:pPr>
      <w:r>
        <w:lastRenderedPageBreak/>
        <w:t>Annex</w:t>
      </w:r>
    </w:p>
    <w:p w14:paraId="715F6986" w14:textId="487A8C6A" w:rsidR="008546A9" w:rsidRDefault="007A7DAA" w:rsidP="001C7F0A">
      <w:pPr>
        <w:pStyle w:val="HChG"/>
      </w:pPr>
      <w:bookmarkStart w:id="5" w:name="_Hlk530154146"/>
      <w:r>
        <w:tab/>
      </w:r>
      <w:r>
        <w:tab/>
      </w:r>
      <w:bookmarkStart w:id="6" w:name="_Hlk531077732"/>
      <w:r w:rsidR="008546A9" w:rsidRPr="005623EF">
        <w:t>Conclusions</w:t>
      </w:r>
      <w:r w:rsidR="008546A9">
        <w:t xml:space="preserve"> and Recommendations of the International Conference on </w:t>
      </w:r>
      <w:r w:rsidR="008546A9" w:rsidRPr="008546A9">
        <w:t>Making Euro-Asian Transport Corridors Operational</w:t>
      </w:r>
      <w:bookmarkEnd w:id="5"/>
    </w:p>
    <w:p w14:paraId="3A534D7E" w14:textId="20698C96" w:rsidR="00FA4921" w:rsidRPr="007A7DAA" w:rsidRDefault="007A7DAA" w:rsidP="001C7F0A">
      <w:pPr>
        <w:pStyle w:val="SingleTxtG"/>
      </w:pPr>
      <w:r>
        <w:t>1.</w:t>
      </w:r>
      <w:r>
        <w:tab/>
      </w:r>
      <w:r w:rsidR="00EC41C9" w:rsidRPr="007A7DAA">
        <w:t>The Conference acknowledged the importance of:</w:t>
      </w:r>
    </w:p>
    <w:p w14:paraId="59FCF37A" w14:textId="74B2B201" w:rsidR="008E5216" w:rsidRPr="007A7DAA" w:rsidRDefault="007865E0" w:rsidP="007865E0">
      <w:pPr>
        <w:pStyle w:val="Bullet1G"/>
        <w:numPr>
          <w:ilvl w:val="0"/>
          <w:numId w:val="0"/>
        </w:numPr>
        <w:tabs>
          <w:tab w:val="left" w:pos="1701"/>
        </w:tabs>
        <w:ind w:left="1701" w:hanging="170"/>
      </w:pPr>
      <w:r w:rsidRPr="007A7DAA">
        <w:t>•</w:t>
      </w:r>
      <w:r w:rsidRPr="007A7DAA">
        <w:tab/>
      </w:r>
      <w:r w:rsidR="00EC41C9" w:rsidRPr="007A7DAA">
        <w:t>further development of the effective transport linkages between Europe and Asia</w:t>
      </w:r>
      <w:r w:rsidR="0096493A">
        <w:t>;</w:t>
      </w:r>
      <w:r w:rsidR="0096493A" w:rsidRPr="007A7DAA">
        <w:t xml:space="preserve"> </w:t>
      </w:r>
    </w:p>
    <w:p w14:paraId="58157C6A" w14:textId="6A30FEFA" w:rsidR="008E5216" w:rsidRPr="00FA4921" w:rsidRDefault="007865E0" w:rsidP="007865E0">
      <w:pPr>
        <w:pStyle w:val="Bullet1G"/>
        <w:numPr>
          <w:ilvl w:val="0"/>
          <w:numId w:val="0"/>
        </w:numPr>
        <w:tabs>
          <w:tab w:val="left" w:pos="1701"/>
        </w:tabs>
        <w:ind w:left="1701" w:hanging="170"/>
      </w:pPr>
      <w:r w:rsidRPr="00FA4921">
        <w:t>•</w:t>
      </w:r>
      <w:r w:rsidRPr="00FA4921">
        <w:tab/>
      </w:r>
      <w:r w:rsidR="00EC41C9" w:rsidRPr="00FA4921">
        <w:t xml:space="preserve">eliminating </w:t>
      </w:r>
      <w:r w:rsidR="00EC41C9" w:rsidRPr="007A7DAA">
        <w:t>bottlenecks</w:t>
      </w:r>
      <w:r w:rsidR="0096493A">
        <w:t>;</w:t>
      </w:r>
      <w:r w:rsidR="0096493A" w:rsidRPr="00FA4921">
        <w:t xml:space="preserve"> </w:t>
      </w:r>
    </w:p>
    <w:p w14:paraId="4B52DA54" w14:textId="0A11DBFC" w:rsidR="008E5216" w:rsidRPr="00FA4921" w:rsidRDefault="007865E0" w:rsidP="007865E0">
      <w:pPr>
        <w:pStyle w:val="Bullet1G"/>
        <w:numPr>
          <w:ilvl w:val="0"/>
          <w:numId w:val="0"/>
        </w:numPr>
        <w:tabs>
          <w:tab w:val="left" w:pos="1701"/>
        </w:tabs>
        <w:ind w:left="1701" w:hanging="170"/>
      </w:pPr>
      <w:r w:rsidRPr="00FA4921">
        <w:t>•</w:t>
      </w:r>
      <w:r w:rsidRPr="00FA4921">
        <w:tab/>
      </w:r>
      <w:r w:rsidR="00EC41C9" w:rsidRPr="00FA4921">
        <w:t>simplif</w:t>
      </w:r>
      <w:r w:rsidR="008E5216" w:rsidRPr="00FA4921">
        <w:t>ying border</w:t>
      </w:r>
      <w:r w:rsidR="00763B0B">
        <w:t xml:space="preserve"> </w:t>
      </w:r>
      <w:r w:rsidR="008E5216" w:rsidRPr="00FA4921">
        <w:t>crossing procedures</w:t>
      </w:r>
      <w:r w:rsidR="0096493A">
        <w:t>;</w:t>
      </w:r>
      <w:r w:rsidR="008E5216" w:rsidRPr="00FA4921">
        <w:t xml:space="preserve"> and </w:t>
      </w:r>
    </w:p>
    <w:p w14:paraId="448EB0F7" w14:textId="2FBD3E75" w:rsidR="008E5216" w:rsidRDefault="007865E0" w:rsidP="007865E0">
      <w:pPr>
        <w:pStyle w:val="Bullet1G"/>
        <w:numPr>
          <w:ilvl w:val="0"/>
          <w:numId w:val="0"/>
        </w:numPr>
        <w:tabs>
          <w:tab w:val="left" w:pos="1701"/>
        </w:tabs>
        <w:ind w:left="1701" w:hanging="170"/>
      </w:pPr>
      <w:r>
        <w:t>•</w:t>
      </w:r>
      <w:r>
        <w:tab/>
      </w:r>
      <w:r w:rsidR="00FA4921" w:rsidRPr="00FA4921">
        <w:t>a</w:t>
      </w:r>
      <w:r w:rsidR="008E5216" w:rsidRPr="00FA4921">
        <w:t>cknowledging the importance and the impact that the intelligent transport systems implementation, the digitalization of transport, the full computerization of border crossing points, the use of satellite track and trace services for both the rail and road services, the introduction of autonomous vehicles (trucks and locomotives) can have on the transportation along Euro-Asian transport routes and the need to pay particular attention to these trends.</w:t>
      </w:r>
    </w:p>
    <w:p w14:paraId="3127D583" w14:textId="64A527C9" w:rsidR="00EC41C9" w:rsidRDefault="007A7DAA">
      <w:pPr>
        <w:pStyle w:val="SingleTxtG"/>
      </w:pPr>
      <w:r>
        <w:t>2.</w:t>
      </w:r>
      <w:r>
        <w:tab/>
      </w:r>
      <w:r w:rsidR="00EC41C9">
        <w:t xml:space="preserve">To achieve these goals, due attention must be paid to unification of railway regimes in particular to the reconsignment from </w:t>
      </w:r>
      <w:r w:rsidR="002A5E0D" w:rsidRPr="002A5E0D">
        <w:t xml:space="preserve">the Agreement on International Goods Transport by Rail </w:t>
      </w:r>
      <w:r w:rsidR="002A5E0D">
        <w:t>(</w:t>
      </w:r>
      <w:r w:rsidR="00EC41C9">
        <w:t>SMGS</w:t>
      </w:r>
      <w:r w:rsidR="002A5E0D">
        <w:t>)</w:t>
      </w:r>
      <w:r w:rsidR="00EC41C9">
        <w:t xml:space="preserve"> to </w:t>
      </w:r>
      <w:r w:rsidR="00FB4CF5">
        <w:t xml:space="preserve">the </w:t>
      </w:r>
      <w:r w:rsidR="00FB4CF5" w:rsidRPr="00FB4CF5">
        <w:t xml:space="preserve">Uniform Rules concerning the Contract of International Carriage of Goods by Rail </w:t>
      </w:r>
      <w:r w:rsidR="00FB4CF5">
        <w:t>(</w:t>
      </w:r>
      <w:r w:rsidR="00EC41C9">
        <w:t>CIM</w:t>
      </w:r>
      <w:r w:rsidR="00FB4CF5">
        <w:t>)</w:t>
      </w:r>
      <w:r w:rsidR="00EC41C9">
        <w:t xml:space="preserve"> along the corridors, which is a source of extra costs and time. Any mistake while translating from one consignment note to the other could be weeks of waiting time at border crossings etc. The non-existence of one contract of carriage, one liability and one consignment note along the total trip of the trains decreases the reliability of the services and the trust of the market on the services provided. </w:t>
      </w:r>
    </w:p>
    <w:p w14:paraId="6036DE00" w14:textId="5FB449A4" w:rsidR="00EC41C9" w:rsidRDefault="007A7DAA">
      <w:pPr>
        <w:pStyle w:val="SingleTxtG"/>
      </w:pPr>
      <w:r>
        <w:t>3.</w:t>
      </w:r>
      <w:r>
        <w:tab/>
      </w:r>
      <w:r w:rsidR="00EC41C9">
        <w:t xml:space="preserve">The </w:t>
      </w:r>
      <w:r w:rsidR="00EC41C9" w:rsidRPr="007A7DAA">
        <w:t>participants</w:t>
      </w:r>
      <w:r w:rsidR="00EC41C9">
        <w:t xml:space="preserve"> noted: </w:t>
      </w:r>
    </w:p>
    <w:p w14:paraId="33EF96EB" w14:textId="55E929A4" w:rsidR="00EC41C9" w:rsidRDefault="007A7DAA" w:rsidP="001C7F0A">
      <w:pPr>
        <w:pStyle w:val="SingleTxtG"/>
        <w:ind w:firstLine="567"/>
      </w:pPr>
      <w:r>
        <w:t>(a)</w:t>
      </w:r>
      <w:r>
        <w:tab/>
      </w:r>
      <w:r w:rsidR="00EC41C9">
        <w:t>the significance of a dialogue between representatives of executive authorities, business, science and international organizations, aimed at achieving above mentioned goals</w:t>
      </w:r>
      <w:r w:rsidR="0096493A">
        <w:t xml:space="preserve">; </w:t>
      </w:r>
    </w:p>
    <w:p w14:paraId="097D84F3" w14:textId="3813982F" w:rsidR="00EC41C9" w:rsidRDefault="007A7DAA" w:rsidP="001C7F0A">
      <w:pPr>
        <w:pStyle w:val="SingleTxtG"/>
        <w:ind w:firstLine="567"/>
      </w:pPr>
      <w:r>
        <w:t>(b)</w:t>
      </w:r>
      <w:r>
        <w:tab/>
      </w:r>
      <w:r w:rsidR="00EC41C9">
        <w:t>the importance of paying the necessary attention to the international transport corridors functioning, to the transit time reduction, to the cost, safety and reliability of transportations.</w:t>
      </w:r>
    </w:p>
    <w:p w14:paraId="2F620E02" w14:textId="5B452A72" w:rsidR="00EC41C9" w:rsidRDefault="007A7DAA" w:rsidP="00EC41C9">
      <w:pPr>
        <w:pStyle w:val="SingleTxtG"/>
      </w:pPr>
      <w:r>
        <w:t>4.</w:t>
      </w:r>
      <w:r>
        <w:tab/>
      </w:r>
      <w:r w:rsidR="00EC41C9">
        <w:t>The participants also noted that:</w:t>
      </w:r>
    </w:p>
    <w:p w14:paraId="5FC03140" w14:textId="62C22275" w:rsidR="00EC41C9" w:rsidRDefault="007A7DAA" w:rsidP="001C7F0A">
      <w:pPr>
        <w:pStyle w:val="SingleTxtG"/>
        <w:ind w:firstLine="567"/>
      </w:pPr>
      <w:r>
        <w:t>(a)</w:t>
      </w:r>
      <w:r>
        <w:tab/>
      </w:r>
      <w:r w:rsidR="00EC41C9">
        <w:t>The East bound cargo traffic is lesser compared to the Westbound one with increasing trend of the difference; However, these statistics are mainly referring to trade between Europe and China and do not include other “producing” countries such as India, Pakistan, Bangladesh, South Korea etc</w:t>
      </w:r>
      <w:r w:rsidR="0096493A">
        <w:t>.;</w:t>
      </w:r>
      <w:r w:rsidR="00EC41C9">
        <w:t xml:space="preserve"> </w:t>
      </w:r>
    </w:p>
    <w:p w14:paraId="6B2E4BE0" w14:textId="48BFB8CD" w:rsidR="00EC41C9" w:rsidRDefault="007A7DAA" w:rsidP="001C7F0A">
      <w:pPr>
        <w:pStyle w:val="SingleTxtG"/>
        <w:ind w:firstLine="567"/>
      </w:pPr>
      <w:r>
        <w:t>(b)</w:t>
      </w:r>
      <w:r>
        <w:tab/>
      </w:r>
      <w:r w:rsidR="00EC41C9">
        <w:t xml:space="preserve">Transportation mode share China – </w:t>
      </w:r>
      <w:r w:rsidR="007874A7">
        <w:t xml:space="preserve">European </w:t>
      </w:r>
      <w:r w:rsidR="00EC41C9">
        <w:t>U</w:t>
      </w:r>
      <w:r w:rsidR="007874A7">
        <w:t>nion</w:t>
      </w:r>
      <w:r w:rsidR="00EC41C9">
        <w:t xml:space="preserve"> in value: Vessel 95</w:t>
      </w:r>
      <w:r w:rsidR="0096493A">
        <w:t xml:space="preserve"> per cent, </w:t>
      </w:r>
      <w:r w:rsidR="00EC41C9">
        <w:t>Plane 4</w:t>
      </w:r>
      <w:r w:rsidR="0096493A">
        <w:t xml:space="preserve"> per cent, </w:t>
      </w:r>
      <w:r w:rsidR="00EC41C9">
        <w:t>Railway 1</w:t>
      </w:r>
      <w:r w:rsidR="0096493A">
        <w:t xml:space="preserve"> per cent</w:t>
      </w:r>
      <w:r w:rsidR="00EC41C9">
        <w:t>;</w:t>
      </w:r>
    </w:p>
    <w:p w14:paraId="6A21B23B" w14:textId="657DDF23" w:rsidR="00EC41C9" w:rsidRDefault="007A7DAA" w:rsidP="001C7F0A">
      <w:pPr>
        <w:pStyle w:val="SingleTxtG"/>
        <w:ind w:firstLine="567"/>
      </w:pPr>
      <w:r>
        <w:t>(c)</w:t>
      </w:r>
      <w:r>
        <w:tab/>
      </w:r>
      <w:r w:rsidR="00EC41C9">
        <w:t>Approximately 40</w:t>
      </w:r>
      <w:r w:rsidR="0096493A">
        <w:t xml:space="preserve"> per cent </w:t>
      </w:r>
      <w:r w:rsidR="00EC41C9">
        <w:t xml:space="preserve">of total cargo turnover between China and Europe is of high value-added products. What about e-business / smaller packages, fast consuming products, garments? Current products from Europe to China include: Wood, furniture, electrical appliances, health products, wine, engineering products, metal and tile products. Products exported from China to Europe include: </w:t>
      </w:r>
      <w:r w:rsidR="0096493A">
        <w:t>textiles</w:t>
      </w:r>
      <w:r w:rsidR="00EC41C9">
        <w:t>, clothing, toys, consumer goods, spare parts for cars, agricultural products, tomato sauce, seasonings, chemical products, high-tech products, including electronics and accessories. These goods apparently may be transported by inland transport vessels;</w:t>
      </w:r>
    </w:p>
    <w:p w14:paraId="29BF63F7" w14:textId="20FACE65" w:rsidR="00EC41C9" w:rsidRDefault="007A7DAA" w:rsidP="001C7F0A">
      <w:pPr>
        <w:pStyle w:val="SingleTxtG"/>
        <w:ind w:firstLine="567"/>
      </w:pPr>
      <w:r>
        <w:lastRenderedPageBreak/>
        <w:t>(d)</w:t>
      </w:r>
      <w:r>
        <w:tab/>
      </w:r>
      <w:r w:rsidR="00EC41C9">
        <w:t xml:space="preserve">Container trains in China are subsidized by the authorities of some Cities through which the route passes. For some Cities, the subsidies are valid until 2020. Long term planning is needed that would enhance reliability of the services provided and trust by the market; </w:t>
      </w:r>
    </w:p>
    <w:p w14:paraId="2E6ACF1A" w14:textId="2F5E4256" w:rsidR="00EC41C9" w:rsidRDefault="007A7DAA" w:rsidP="001C7F0A">
      <w:pPr>
        <w:pStyle w:val="SingleTxtG"/>
        <w:ind w:firstLine="567"/>
      </w:pPr>
      <w:r>
        <w:t>(e)</w:t>
      </w:r>
      <w:r>
        <w:tab/>
      </w:r>
      <w:r w:rsidR="00EC41C9">
        <w:t xml:space="preserve"> Since 1st August 2018 in China there is a new </w:t>
      </w:r>
      <w:r w:rsidR="0075228C" w:rsidRPr="0075228C">
        <w:t xml:space="preserve">Harmonized System </w:t>
      </w:r>
      <w:r w:rsidR="0075228C">
        <w:t>(</w:t>
      </w:r>
      <w:r w:rsidR="00EC41C9">
        <w:t>HS</w:t>
      </w:r>
      <w:r w:rsidR="0075228C">
        <w:t>)</w:t>
      </w:r>
      <w:r w:rsidR="00EC41C9">
        <w:t xml:space="preserve"> code with 13 digits. The international transport of dangerous goods cargo in tank container is not according to the International Conventions (SMGS and </w:t>
      </w:r>
      <w:r w:rsidR="00EC41C9" w:rsidRPr="003E638D">
        <w:t>RID</w:t>
      </w:r>
      <w:r w:rsidR="003E638D" w:rsidRPr="001C7F0A">
        <w:rPr>
          <w:rStyle w:val="FootnoteReference"/>
        </w:rPr>
        <w:footnoteReference w:id="3"/>
      </w:r>
      <w:r w:rsidR="00EC41C9">
        <w:t xml:space="preserve">) therefore it is basically impossible to be realized. The transport of non-dangerous goods in tank containers in China requests a non-dangerous goods certificate valid only if it is released by a laboratory authorised by China Rail therefore, in practice, the international standards of the </w:t>
      </w:r>
      <w:r w:rsidR="00763B0B" w:rsidRPr="00763B0B">
        <w:t>MSDS</w:t>
      </w:r>
      <w:r w:rsidR="00EC41C9">
        <w:t xml:space="preserve"> paper do not apply</w:t>
      </w:r>
      <w:r>
        <w:t>.</w:t>
      </w:r>
    </w:p>
    <w:p w14:paraId="5297E027" w14:textId="48F6B8C9" w:rsidR="00EC41C9" w:rsidRDefault="00E40528" w:rsidP="00EC41C9">
      <w:pPr>
        <w:pStyle w:val="SingleTxtG"/>
      </w:pPr>
      <w:r>
        <w:t>5.</w:t>
      </w:r>
      <w:r>
        <w:tab/>
      </w:r>
      <w:r w:rsidR="00EC41C9">
        <w:t xml:space="preserve">The participants agreed: </w:t>
      </w:r>
    </w:p>
    <w:p w14:paraId="277F0B7D" w14:textId="4FAF316D" w:rsidR="00EC41C9" w:rsidRDefault="00FF2D86" w:rsidP="001C7F0A">
      <w:pPr>
        <w:pStyle w:val="SingleTxtG"/>
        <w:ind w:firstLine="567"/>
      </w:pPr>
      <w:r>
        <w:t>(a)</w:t>
      </w:r>
      <w:r>
        <w:tab/>
      </w:r>
      <w:r w:rsidR="00EC41C9">
        <w:t>To enhance cooperation and communication among:</w:t>
      </w:r>
    </w:p>
    <w:p w14:paraId="4FE893A6" w14:textId="41AB3801" w:rsidR="00EC41C9" w:rsidRDefault="00FF2D86" w:rsidP="001C7F0A">
      <w:pPr>
        <w:pStyle w:val="SingleTxtG"/>
        <w:ind w:left="1701"/>
      </w:pPr>
      <w:r>
        <w:t>(i)</w:t>
      </w:r>
      <w:r>
        <w:tab/>
      </w:r>
      <w:r w:rsidR="00EC41C9">
        <w:t>Development initiatives along the corridors implemented by international organizations (ECE, ESCAP, BSEC, OSJD</w:t>
      </w:r>
      <w:r w:rsidR="0096493A">
        <w:rPr>
          <w:rStyle w:val="FootnoteReference"/>
        </w:rPr>
        <w:footnoteReference w:id="4"/>
      </w:r>
      <w:r w:rsidR="00EC41C9">
        <w:t>, OTIF, IRU etc);</w:t>
      </w:r>
    </w:p>
    <w:p w14:paraId="28752DF5" w14:textId="60905AAC" w:rsidR="00EC41C9" w:rsidRDefault="00FF2D86" w:rsidP="001C7F0A">
      <w:pPr>
        <w:pStyle w:val="SingleTxtG"/>
        <w:ind w:left="1701"/>
      </w:pPr>
      <w:r>
        <w:t>(ii)</w:t>
      </w:r>
      <w:r>
        <w:tab/>
      </w:r>
      <w:r w:rsidR="00EC41C9">
        <w:t>The railway and logistics undertakings involved in each corridor;</w:t>
      </w:r>
    </w:p>
    <w:p w14:paraId="3270E400" w14:textId="1CF3704C" w:rsidR="00EC41C9" w:rsidRDefault="00FF2D86" w:rsidP="001C7F0A">
      <w:pPr>
        <w:pStyle w:val="SingleTxtG"/>
        <w:ind w:left="1701"/>
      </w:pPr>
      <w:r>
        <w:t>(iii)</w:t>
      </w:r>
      <w:r>
        <w:tab/>
      </w:r>
      <w:r w:rsidR="00EC41C9">
        <w:t>The market/private sector, the Governments and the UNECE Secretariat</w:t>
      </w:r>
      <w:r>
        <w:t>.</w:t>
      </w:r>
    </w:p>
    <w:p w14:paraId="0DFC6DA1" w14:textId="77777777" w:rsidR="007A1FF3" w:rsidRDefault="00FF2D86" w:rsidP="001C7F0A">
      <w:pPr>
        <w:pStyle w:val="SingleTxtG"/>
        <w:ind w:firstLine="567"/>
      </w:pPr>
      <w:r>
        <w:t>(b)</w:t>
      </w:r>
      <w:r>
        <w:tab/>
      </w:r>
      <w:r w:rsidR="00EC41C9">
        <w:t xml:space="preserve">Particular actions should be taken in order to operationalize EATL corridors. </w:t>
      </w:r>
    </w:p>
    <w:p w14:paraId="2FE79F3B" w14:textId="2EE478D6" w:rsidR="00EC41C9" w:rsidRDefault="007507BA" w:rsidP="001C7F0A">
      <w:pPr>
        <w:pStyle w:val="SingleTxtG"/>
        <w:ind w:firstLine="567"/>
      </w:pPr>
      <w:r>
        <w:t>6.</w:t>
      </w:r>
      <w:r>
        <w:tab/>
      </w:r>
      <w:r w:rsidR="00EC41C9">
        <w:t>Among others the following proposals might be considered:</w:t>
      </w:r>
    </w:p>
    <w:p w14:paraId="63D45BFE" w14:textId="404A6D0F" w:rsidR="00EC41C9" w:rsidRDefault="007507BA" w:rsidP="001C7F0A">
      <w:pPr>
        <w:pStyle w:val="SingleTxtG"/>
        <w:ind w:firstLine="567"/>
      </w:pPr>
      <w:r>
        <w:t>(a)</w:t>
      </w:r>
      <w:r>
        <w:tab/>
      </w:r>
      <w:r w:rsidR="00EC41C9">
        <w:t>The good practices in the framework of the Coordinating Council for the Trans-Siberian Transport (CCTT) as well as the well-established platform of Working Party 5 in cooperation with other ITC working bodies could be used as a platform for coordination, monitoring and discussions;</w:t>
      </w:r>
    </w:p>
    <w:p w14:paraId="64DA1D00" w14:textId="0246AA6D" w:rsidR="00EC41C9" w:rsidRDefault="007507BA" w:rsidP="001C7F0A">
      <w:pPr>
        <w:pStyle w:val="SingleTxtG"/>
        <w:ind w:firstLine="567"/>
      </w:pPr>
      <w:r>
        <w:t>(</w:t>
      </w:r>
      <w:r w:rsidR="00EC41C9">
        <w:t>b</w:t>
      </w:r>
      <w:r>
        <w:t>)</w:t>
      </w:r>
      <w:r>
        <w:tab/>
      </w:r>
      <w:r w:rsidR="00EC41C9">
        <w:t>Encourage stakeholders of the international transport corridors to intensify their work within their governing and relevant bodies;</w:t>
      </w:r>
    </w:p>
    <w:p w14:paraId="1E978143" w14:textId="6C04C022" w:rsidR="00EC41C9" w:rsidRDefault="007507BA" w:rsidP="001C7F0A">
      <w:pPr>
        <w:pStyle w:val="SingleTxtG"/>
        <w:ind w:firstLine="567"/>
      </w:pPr>
      <w:r>
        <w:t>(</w:t>
      </w:r>
      <w:r w:rsidR="00EC41C9">
        <w:t>c</w:t>
      </w:r>
      <w:r>
        <w:t>)</w:t>
      </w:r>
      <w:r>
        <w:tab/>
      </w:r>
      <w:r w:rsidR="00EC41C9">
        <w:t>Adoption of particular measures, that are focused on KPIs (lead time reduction, preparation of common tariffs etc);</w:t>
      </w:r>
    </w:p>
    <w:p w14:paraId="3546AF46" w14:textId="0D4BBC76" w:rsidR="00EC41C9" w:rsidRDefault="007507BA" w:rsidP="001C7F0A">
      <w:pPr>
        <w:pStyle w:val="SingleTxtG"/>
        <w:ind w:firstLine="567"/>
      </w:pPr>
      <w:r>
        <w:t>(</w:t>
      </w:r>
      <w:r w:rsidR="00EC41C9">
        <w:t>d</w:t>
      </w:r>
      <w:r>
        <w:t>)</w:t>
      </w:r>
      <w:r>
        <w:tab/>
      </w:r>
      <w:r w:rsidR="00EC41C9">
        <w:t>Adoption of coordinated measures that are aimed to develop block trains and truck caravans;</w:t>
      </w:r>
    </w:p>
    <w:p w14:paraId="73BED24A" w14:textId="2D89B8D6" w:rsidR="00EC41C9" w:rsidRDefault="007507BA" w:rsidP="001C7F0A">
      <w:pPr>
        <w:pStyle w:val="SingleTxtG"/>
        <w:ind w:firstLine="567"/>
      </w:pPr>
      <w:r>
        <w:t>(</w:t>
      </w:r>
      <w:r w:rsidR="00EC41C9">
        <w:t>e</w:t>
      </w:r>
      <w:r>
        <w:t>)</w:t>
      </w:r>
      <w:r>
        <w:tab/>
      </w:r>
      <w:r w:rsidR="00EC41C9">
        <w:t>Consideration of border crossing facilitation issues;</w:t>
      </w:r>
    </w:p>
    <w:p w14:paraId="7A96541F" w14:textId="1784A58A" w:rsidR="00EC41C9" w:rsidRDefault="007507BA" w:rsidP="001C7F0A">
      <w:pPr>
        <w:pStyle w:val="SingleTxtG"/>
        <w:ind w:firstLine="567"/>
      </w:pPr>
      <w:r>
        <w:t>(</w:t>
      </w:r>
      <w:r w:rsidR="00EC41C9">
        <w:t>f</w:t>
      </w:r>
      <w:r>
        <w:t>)</w:t>
      </w:r>
      <w:r>
        <w:tab/>
      </w:r>
      <w:r w:rsidR="00EC41C9">
        <w:t>Expansion of the digital technologies usage;</w:t>
      </w:r>
    </w:p>
    <w:p w14:paraId="7426112F" w14:textId="56CF50A9" w:rsidR="00EC41C9" w:rsidRDefault="007507BA" w:rsidP="001C7F0A">
      <w:pPr>
        <w:pStyle w:val="SingleTxtG"/>
        <w:ind w:firstLine="567"/>
      </w:pPr>
      <w:r>
        <w:t>(</w:t>
      </w:r>
      <w:r w:rsidR="00EC41C9">
        <w:t>g</w:t>
      </w:r>
      <w:r>
        <w:t>)</w:t>
      </w:r>
      <w:r>
        <w:tab/>
      </w:r>
      <w:r w:rsidR="00EC41C9">
        <w:t>Development of mega intermodal terminals – if possible or needed specialized ones- along the corridors;</w:t>
      </w:r>
    </w:p>
    <w:p w14:paraId="736E35E0" w14:textId="6A563FB4" w:rsidR="00EC41C9" w:rsidRDefault="007507BA" w:rsidP="001C7F0A">
      <w:pPr>
        <w:pStyle w:val="SingleTxtG"/>
        <w:ind w:firstLine="567"/>
      </w:pPr>
      <w:r>
        <w:t>(</w:t>
      </w:r>
      <w:r w:rsidR="00EC41C9">
        <w:t>h</w:t>
      </w:r>
      <w:r>
        <w:t>)</w:t>
      </w:r>
      <w:r>
        <w:tab/>
      </w:r>
      <w:r w:rsidR="00EC41C9">
        <w:t>Initiatives of the private sector for increasing of productivity of trains operations:</w:t>
      </w:r>
    </w:p>
    <w:p w14:paraId="6615D1AD" w14:textId="09D6D434" w:rsidR="00EC41C9" w:rsidRPr="005623EF" w:rsidRDefault="00D754A4" w:rsidP="001C7F0A">
      <w:pPr>
        <w:pStyle w:val="SingleTxtG"/>
        <w:ind w:left="1701"/>
      </w:pPr>
      <w:r w:rsidRPr="005623EF">
        <w:t>(i)</w:t>
      </w:r>
      <w:r w:rsidRPr="005623EF">
        <w:tab/>
      </w:r>
      <w:r w:rsidR="00EC41C9" w:rsidRPr="005623EF">
        <w:t>Longer and heavier trains: in addition, enhancing cooperation between Europe and Asia;</w:t>
      </w:r>
    </w:p>
    <w:p w14:paraId="6E19CB10" w14:textId="11979361" w:rsidR="00EC41C9" w:rsidRPr="005623EF" w:rsidRDefault="00D754A4" w:rsidP="001C7F0A">
      <w:pPr>
        <w:pStyle w:val="SingleTxtG"/>
        <w:ind w:left="1701"/>
      </w:pPr>
      <w:r w:rsidRPr="005623EF">
        <w:t>(ii)</w:t>
      </w:r>
      <w:r w:rsidRPr="005623EF">
        <w:tab/>
      </w:r>
      <w:r w:rsidR="00EC41C9" w:rsidRPr="005623EF">
        <w:t>Shorter block intervals: more trains, better use of the network capacity;</w:t>
      </w:r>
    </w:p>
    <w:p w14:paraId="6E901042" w14:textId="7EFDA476" w:rsidR="00EC41C9" w:rsidRDefault="00D754A4" w:rsidP="001C7F0A">
      <w:pPr>
        <w:pStyle w:val="SingleTxtG"/>
        <w:ind w:left="1701"/>
      </w:pPr>
      <w:r w:rsidRPr="005623EF">
        <w:lastRenderedPageBreak/>
        <w:t>(iii)</w:t>
      </w:r>
      <w:r w:rsidRPr="005623EF">
        <w:tab/>
      </w:r>
      <w:r w:rsidR="00EC41C9" w:rsidRPr="005623EF">
        <w:t xml:space="preserve">Train length evolution from 600 meters to 1,500 meters would dramatically reduce the transportation cost; </w:t>
      </w:r>
    </w:p>
    <w:p w14:paraId="27CCA01A" w14:textId="469BC732" w:rsidR="00EC41C9" w:rsidRDefault="00D754A4" w:rsidP="001C7F0A">
      <w:pPr>
        <w:pStyle w:val="SingleTxtG"/>
        <w:ind w:left="1701"/>
      </w:pPr>
      <w:r>
        <w:t>(</w:t>
      </w:r>
      <w:r w:rsidR="00EC41C9">
        <w:t>i</w:t>
      </w:r>
      <w:r>
        <w:t>v)</w:t>
      </w:r>
      <w:r>
        <w:tab/>
      </w:r>
      <w:r w:rsidR="00EC41C9">
        <w:t>Need to enhance the EATL routes noting U</w:t>
      </w:r>
      <w:r>
        <w:t xml:space="preserve">nited </w:t>
      </w:r>
      <w:r w:rsidR="00EC41C9">
        <w:t>N</w:t>
      </w:r>
      <w:r>
        <w:t>ations</w:t>
      </w:r>
      <w:r w:rsidR="00EC41C9">
        <w:t xml:space="preserve"> projects </w:t>
      </w:r>
      <w:r w:rsidR="00981ECE">
        <w:t>TEM and</w:t>
      </w:r>
      <w:r w:rsidR="00EC41C9">
        <w:t xml:space="preserve">, TER as well as other new initiatives, raised by the participants, such as the Via Carpatia project initiated by the Government of Poland, the Trans-Maghreb corridor administrated by CETMO secretariat as well as the Anaklia deep sea port of Georgia etc. </w:t>
      </w:r>
    </w:p>
    <w:p w14:paraId="7026BD1D" w14:textId="48F68DBB" w:rsidR="00EC41C9" w:rsidRDefault="00D754A4" w:rsidP="00EC41C9">
      <w:pPr>
        <w:pStyle w:val="SingleTxtG"/>
      </w:pPr>
      <w:r>
        <w:t>7.</w:t>
      </w:r>
      <w:r>
        <w:tab/>
      </w:r>
      <w:r w:rsidR="00EC41C9">
        <w:t>At the same time, the participants of the Conference noted the following challenges on the particular transport corridors:</w:t>
      </w:r>
    </w:p>
    <w:p w14:paraId="1932002B" w14:textId="1846E42F" w:rsidR="00EC41C9" w:rsidRDefault="00D754A4" w:rsidP="001C7F0A">
      <w:pPr>
        <w:pStyle w:val="SingleTxtG"/>
        <w:ind w:firstLine="567"/>
      </w:pPr>
      <w:r>
        <w:t>(</w:t>
      </w:r>
      <w:r w:rsidR="00EC41C9">
        <w:t>a</w:t>
      </w:r>
      <w:r>
        <w:t>)</w:t>
      </w:r>
      <w:r w:rsidR="00EC41C9">
        <w:tab/>
        <w:t>EATL Routes 1,</w:t>
      </w:r>
      <w:r w:rsidR="007874A7">
        <w:t xml:space="preserve"> </w:t>
      </w:r>
      <w:r w:rsidR="00EC41C9">
        <w:t>2 and 6 (China, Mongolia, Kazakhstan, Russian Federation, Belarus, Poland):</w:t>
      </w:r>
    </w:p>
    <w:p w14:paraId="2E3D2433" w14:textId="587F36A9" w:rsidR="00EC41C9" w:rsidRDefault="00D754A4" w:rsidP="001C7F0A">
      <w:pPr>
        <w:pStyle w:val="SingleTxtG"/>
        <w:ind w:left="1701"/>
      </w:pPr>
      <w:r>
        <w:t>(</w:t>
      </w:r>
      <w:r w:rsidR="00EC41C9">
        <w:t>i</w:t>
      </w:r>
      <w:r>
        <w:t>)</w:t>
      </w:r>
      <w:r w:rsidR="00EC41C9">
        <w:tab/>
        <w:t>These are operating corridors and the travel time on average is 14 days (China-Duisburg);</w:t>
      </w:r>
    </w:p>
    <w:p w14:paraId="7AA2834D" w14:textId="2360D5A7" w:rsidR="00EC41C9" w:rsidRDefault="00D754A4" w:rsidP="001C7F0A">
      <w:pPr>
        <w:pStyle w:val="SingleTxtG"/>
        <w:ind w:left="1701"/>
      </w:pPr>
      <w:r>
        <w:t>(</w:t>
      </w:r>
      <w:r w:rsidR="00EC41C9">
        <w:t>ii</w:t>
      </w:r>
      <w:r>
        <w:t>)</w:t>
      </w:r>
      <w:r w:rsidR="00EC41C9">
        <w:tab/>
        <w:t>Most block trains operating today between the two continents are taking place along these corridors;</w:t>
      </w:r>
    </w:p>
    <w:p w14:paraId="47942BD1" w14:textId="54F11C7E" w:rsidR="00EC41C9" w:rsidRDefault="00D754A4" w:rsidP="001C7F0A">
      <w:pPr>
        <w:pStyle w:val="SingleTxtG"/>
        <w:ind w:left="1701"/>
      </w:pPr>
      <w:r>
        <w:t>(</w:t>
      </w:r>
      <w:r w:rsidR="00EC41C9">
        <w:t>iii</w:t>
      </w:r>
      <w:r>
        <w:t>)</w:t>
      </w:r>
      <w:r w:rsidR="00EC41C9">
        <w:tab/>
        <w:t>Big freight forwarders are the main operators of those corridors;</w:t>
      </w:r>
    </w:p>
    <w:p w14:paraId="1A61BABC" w14:textId="40DEE9C9" w:rsidR="00EC41C9" w:rsidRDefault="00D754A4" w:rsidP="001C7F0A">
      <w:pPr>
        <w:pStyle w:val="SingleTxtG"/>
        <w:ind w:left="1701"/>
      </w:pPr>
      <w:r>
        <w:t>(</w:t>
      </w:r>
      <w:r w:rsidR="00EC41C9">
        <w:t>iv</w:t>
      </w:r>
      <w:r>
        <w:t>)</w:t>
      </w:r>
      <w:r w:rsidR="00EC41C9">
        <w:tab/>
        <w:t>Modernization of checkpoints and border crossing procedures are required;</w:t>
      </w:r>
    </w:p>
    <w:p w14:paraId="32456E8D" w14:textId="42BB9FF5" w:rsidR="00EC41C9" w:rsidRDefault="00D754A4" w:rsidP="001C7F0A">
      <w:pPr>
        <w:pStyle w:val="SingleTxtG"/>
        <w:ind w:left="1701"/>
      </w:pPr>
      <w:r>
        <w:t>(</w:t>
      </w:r>
      <w:r w:rsidR="00EC41C9">
        <w:t>v</w:t>
      </w:r>
      <w:r>
        <w:t>)</w:t>
      </w:r>
      <w:r w:rsidR="00EC41C9">
        <w:tab/>
        <w:t>The increase in the fleet of container platforms until 2024, up to 16 thousand units;</w:t>
      </w:r>
    </w:p>
    <w:p w14:paraId="2CAEF02A" w14:textId="32F44EF9" w:rsidR="00EC41C9" w:rsidRDefault="00D754A4" w:rsidP="001C7F0A">
      <w:pPr>
        <w:pStyle w:val="SingleTxtG"/>
        <w:ind w:left="1701"/>
      </w:pPr>
      <w:r>
        <w:t>(</w:t>
      </w:r>
      <w:r w:rsidR="00EC41C9">
        <w:t>vi</w:t>
      </w:r>
      <w:r>
        <w:t>)</w:t>
      </w:r>
      <w:r w:rsidR="00EC41C9">
        <w:tab/>
        <w:t>Approving the long-term pass-through tariffs for transit routes;</w:t>
      </w:r>
    </w:p>
    <w:p w14:paraId="4E404609" w14:textId="61867F8C" w:rsidR="00EC41C9" w:rsidRDefault="00D754A4" w:rsidP="001C7F0A">
      <w:pPr>
        <w:pStyle w:val="SingleTxtG"/>
        <w:ind w:left="1701"/>
      </w:pPr>
      <w:r>
        <w:t>(</w:t>
      </w:r>
      <w:r w:rsidR="00EC41C9">
        <w:t>vii</w:t>
      </w:r>
      <w:r>
        <w:t>)</w:t>
      </w:r>
      <w:r w:rsidR="00EC41C9">
        <w:tab/>
        <w:t>Weather Conditions especially during Winter for transportation of specific goods may demand special units keeping the temperature stable;</w:t>
      </w:r>
    </w:p>
    <w:p w14:paraId="12CBABC0" w14:textId="1B1B41A4" w:rsidR="002A1205" w:rsidRDefault="00D754A4" w:rsidP="001C7F0A">
      <w:pPr>
        <w:pStyle w:val="SingleTxtG"/>
        <w:ind w:left="1701"/>
      </w:pPr>
      <w:r>
        <w:t>(</w:t>
      </w:r>
      <w:r w:rsidR="002A1205">
        <w:t>viii</w:t>
      </w:r>
      <w:r>
        <w:t>)</w:t>
      </w:r>
      <w:r w:rsidR="002A1205">
        <w:tab/>
      </w:r>
      <w:r w:rsidR="002A1205" w:rsidRPr="002A1205">
        <w:t>The private sector suggests that the implementation of a single block train length technology 57</w:t>
      </w:r>
      <w:r w:rsidR="00707851">
        <w:t>–</w:t>
      </w:r>
      <w:r w:rsidR="002A1205" w:rsidRPr="002A1205">
        <w:t>71 units would improve freight capacity and increase rail operators total income</w:t>
      </w:r>
      <w:r w:rsidR="002A1205">
        <w:t>;</w:t>
      </w:r>
    </w:p>
    <w:p w14:paraId="2A88AE7B" w14:textId="57FE094B" w:rsidR="00EC41C9" w:rsidRDefault="00707851" w:rsidP="001C7F0A">
      <w:pPr>
        <w:pStyle w:val="SingleTxtG"/>
        <w:ind w:firstLine="567"/>
      </w:pPr>
      <w:r>
        <w:t>(</w:t>
      </w:r>
      <w:r w:rsidR="00EC41C9">
        <w:t>b</w:t>
      </w:r>
      <w:r>
        <w:t>)</w:t>
      </w:r>
      <w:r w:rsidR="00EC41C9">
        <w:tab/>
        <w:t>EATL Routes 3,</w:t>
      </w:r>
      <w:r w:rsidR="007874A7">
        <w:t xml:space="preserve"> 4</w:t>
      </w:r>
      <w:r w:rsidR="00EC41C9">
        <w:t xml:space="preserve"> and 7 (China, Central Asia countries, Turkey or Romania or Ukraine):</w:t>
      </w:r>
    </w:p>
    <w:p w14:paraId="589A7455" w14:textId="69FC16EC" w:rsidR="00EC41C9" w:rsidRDefault="00707851" w:rsidP="001C7F0A">
      <w:pPr>
        <w:pStyle w:val="SingleTxtG"/>
        <w:ind w:left="1701"/>
      </w:pPr>
      <w:r>
        <w:t>(</w:t>
      </w:r>
      <w:r w:rsidR="00EC41C9">
        <w:t>i</w:t>
      </w:r>
      <w:r>
        <w:t>)</w:t>
      </w:r>
      <w:r w:rsidR="00EC41C9">
        <w:tab/>
        <w:t xml:space="preserve">There are still missing links and infrastructure maintenance is required; </w:t>
      </w:r>
    </w:p>
    <w:p w14:paraId="386DBDF1" w14:textId="07085858" w:rsidR="00EC41C9" w:rsidRDefault="00707851" w:rsidP="001C7F0A">
      <w:pPr>
        <w:pStyle w:val="SingleTxtG"/>
        <w:ind w:left="1701"/>
      </w:pPr>
      <w:r>
        <w:t>(</w:t>
      </w:r>
      <w:r w:rsidR="00EC41C9">
        <w:t>ii</w:t>
      </w:r>
      <w:r>
        <w:t>)</w:t>
      </w:r>
      <w:r w:rsidR="00EC41C9">
        <w:tab/>
        <w:t>Border crossings facilitation is required;</w:t>
      </w:r>
    </w:p>
    <w:p w14:paraId="651C90F4" w14:textId="6631DE11" w:rsidR="00EC41C9" w:rsidRDefault="00707851" w:rsidP="001C7F0A">
      <w:pPr>
        <w:pStyle w:val="SingleTxtG"/>
        <w:ind w:left="1701"/>
      </w:pPr>
      <w:r>
        <w:t>(</w:t>
      </w:r>
      <w:r w:rsidR="00EC41C9">
        <w:t>iii</w:t>
      </w:r>
      <w:r>
        <w:t>)</w:t>
      </w:r>
      <w:r w:rsidR="00EC41C9">
        <w:tab/>
        <w:t>The lack of cooperation among the railway undertakings in order to perform block trains operations (common tariffs / time schedules) was noticed;</w:t>
      </w:r>
    </w:p>
    <w:p w14:paraId="13F1C8A5" w14:textId="22211190" w:rsidR="00EC41C9" w:rsidRDefault="00707851" w:rsidP="001C7F0A">
      <w:pPr>
        <w:pStyle w:val="SingleTxtG"/>
        <w:ind w:left="1701"/>
      </w:pPr>
      <w:r>
        <w:t>(</w:t>
      </w:r>
      <w:r w:rsidR="00EC41C9">
        <w:t>iv</w:t>
      </w:r>
      <w:r>
        <w:t>)</w:t>
      </w:r>
      <w:r w:rsidR="00EC41C9">
        <w:tab/>
        <w:t xml:space="preserve">Security / Safety issues have been pointed out; </w:t>
      </w:r>
    </w:p>
    <w:p w14:paraId="3DEF70A1" w14:textId="69AB7D8D" w:rsidR="0021231B" w:rsidRDefault="00707851" w:rsidP="001C7F0A">
      <w:pPr>
        <w:pStyle w:val="SingleTxtG"/>
        <w:ind w:left="1701"/>
      </w:pPr>
      <w:r>
        <w:t>(</w:t>
      </w:r>
      <w:r w:rsidR="0021231B">
        <w:t>v</w:t>
      </w:r>
      <w:r>
        <w:t>)</w:t>
      </w:r>
      <w:r w:rsidR="0021231B">
        <w:tab/>
        <w:t>The Ukrainian delegate mentioned that as it concerns the current &gt;situation in EATL Route 3 due to the restrictions imposed by</w:t>
      </w:r>
      <w:r w:rsidR="005623EF">
        <w:t xml:space="preserve"> the</w:t>
      </w:r>
      <w:r w:rsidR="0021231B">
        <w:t xml:space="preserve"> Russian Federation, transportation from Ukraine to Central Asian countries decreased by almost 3 times. This has led to the reorientation of traditional land cargo flows to an alternative route using ferry crossings across the Black and Caspian Seas making EATL Route 3 non-operational.</w:t>
      </w:r>
    </w:p>
    <w:p w14:paraId="4658262B" w14:textId="72FC8BEC" w:rsidR="0021231B" w:rsidRDefault="00707851" w:rsidP="001C7F0A">
      <w:pPr>
        <w:pStyle w:val="SingleTxtG"/>
        <w:ind w:left="1701"/>
      </w:pPr>
      <w:r>
        <w:t>(</w:t>
      </w:r>
      <w:r w:rsidR="0021231B">
        <w:t>vi</w:t>
      </w:r>
      <w:r>
        <w:t>)</w:t>
      </w:r>
      <w:r w:rsidR="0021231B">
        <w:tab/>
      </w:r>
      <w:r w:rsidR="006B73EA">
        <w:t>The Russian Federation delegate mentioned that EATL Route 3 is currently operational and transportation is taking place along this specific corridor but with enhanced measures of control. Furthermore, the delegate of</w:t>
      </w:r>
      <w:r w:rsidR="005623EF">
        <w:t xml:space="preserve"> the</w:t>
      </w:r>
      <w:r w:rsidR="006B73EA">
        <w:t xml:space="preserve"> Russian Federation stated that this International Conference is dedicated to the development of the Euro-Asian corridors and any kind of attempts to politicize these efforts should be avoided </w:t>
      </w:r>
      <w:r w:rsidR="006B73EA">
        <w:lastRenderedPageBreak/>
        <w:t>and definitely should not be included in the final conclusions and recommendations of the Conference.</w:t>
      </w:r>
    </w:p>
    <w:p w14:paraId="3DAB19EA" w14:textId="2F3638C0" w:rsidR="00EC41C9" w:rsidRDefault="00707851" w:rsidP="001C7F0A">
      <w:pPr>
        <w:pStyle w:val="SingleTxtG"/>
        <w:ind w:firstLine="567"/>
      </w:pPr>
      <w:r>
        <w:t>(</w:t>
      </w:r>
      <w:r w:rsidR="00EC41C9">
        <w:t>c</w:t>
      </w:r>
      <w:r>
        <w:t>)</w:t>
      </w:r>
      <w:r w:rsidR="00EC41C9">
        <w:tab/>
        <w:t>EATL Routes 5,</w:t>
      </w:r>
      <w:r w:rsidR="007874A7">
        <w:t xml:space="preserve"> </w:t>
      </w:r>
      <w:r w:rsidR="00EC41C9">
        <w:t>8 and 9 (North South corridors):</w:t>
      </w:r>
    </w:p>
    <w:p w14:paraId="680DF3C8" w14:textId="1622FB6C" w:rsidR="00EC41C9" w:rsidRDefault="00707851" w:rsidP="001C7F0A">
      <w:pPr>
        <w:pStyle w:val="SingleTxtG"/>
        <w:ind w:left="1701"/>
      </w:pPr>
      <w:r>
        <w:t>(</w:t>
      </w:r>
      <w:r w:rsidR="00EC41C9">
        <w:t>i</w:t>
      </w:r>
      <w:r>
        <w:t>)</w:t>
      </w:r>
      <w:r w:rsidR="00EC41C9">
        <w:tab/>
        <w:t xml:space="preserve">Cooperation among the different stakeholders have been established; </w:t>
      </w:r>
    </w:p>
    <w:p w14:paraId="7A4E2E52" w14:textId="57141B86" w:rsidR="00EC41C9" w:rsidRDefault="00707851" w:rsidP="001C7F0A">
      <w:pPr>
        <w:pStyle w:val="SingleTxtG"/>
        <w:ind w:left="1701"/>
      </w:pPr>
      <w:r>
        <w:t>(</w:t>
      </w:r>
      <w:r w:rsidR="00EC41C9">
        <w:t>ii</w:t>
      </w:r>
      <w:r>
        <w:t>)</w:t>
      </w:r>
      <w:r w:rsidR="00EC41C9">
        <w:tab/>
        <w:t>Working group meetings are already taking place;</w:t>
      </w:r>
    </w:p>
    <w:p w14:paraId="24540ADC" w14:textId="3970D3D9" w:rsidR="00EC41C9" w:rsidRDefault="00707851" w:rsidP="001C7F0A">
      <w:pPr>
        <w:pStyle w:val="SingleTxtG"/>
        <w:ind w:left="1701"/>
      </w:pPr>
      <w:r>
        <w:t>(</w:t>
      </w:r>
      <w:r w:rsidR="00EC41C9">
        <w:t>iii</w:t>
      </w:r>
      <w:r>
        <w:t>)</w:t>
      </w:r>
      <w:r w:rsidR="00EC41C9">
        <w:tab/>
        <w:t xml:space="preserve">Missing links – infrastructure investments are requested; </w:t>
      </w:r>
    </w:p>
    <w:p w14:paraId="47315231" w14:textId="0876CEB9" w:rsidR="00EC41C9" w:rsidRDefault="00707851" w:rsidP="001C7F0A">
      <w:pPr>
        <w:pStyle w:val="SingleTxtG"/>
        <w:ind w:left="1701"/>
      </w:pPr>
      <w:r>
        <w:t>(</w:t>
      </w:r>
      <w:r w:rsidR="00EC41C9">
        <w:t>iv</w:t>
      </w:r>
      <w:r>
        <w:t>)</w:t>
      </w:r>
      <w:r w:rsidR="00EC41C9">
        <w:tab/>
        <w:t>Border crossings facilitation needs further improvement</w:t>
      </w:r>
      <w:r>
        <w:t>.</w:t>
      </w:r>
    </w:p>
    <w:p w14:paraId="4A2B0B73" w14:textId="50E5339F" w:rsidR="00EC41C9" w:rsidRDefault="00707851" w:rsidP="001C7F0A">
      <w:pPr>
        <w:pStyle w:val="SingleTxtG"/>
        <w:ind w:firstLine="567"/>
      </w:pPr>
      <w:r>
        <w:t>(</w:t>
      </w:r>
      <w:r w:rsidR="00EC41C9">
        <w:t>d</w:t>
      </w:r>
      <w:r>
        <w:t>)</w:t>
      </w:r>
      <w:r w:rsidR="00EC41C9">
        <w:tab/>
        <w:t>Common Challenges:</w:t>
      </w:r>
    </w:p>
    <w:p w14:paraId="706318F6" w14:textId="03FA3F3F" w:rsidR="00EC41C9" w:rsidRDefault="00707851" w:rsidP="001C7F0A">
      <w:pPr>
        <w:pStyle w:val="SingleTxtG"/>
        <w:ind w:left="1701"/>
      </w:pPr>
      <w:r>
        <w:t>(</w:t>
      </w:r>
      <w:r w:rsidR="00EC41C9">
        <w:t>i</w:t>
      </w:r>
      <w:r>
        <w:t>)</w:t>
      </w:r>
      <w:r w:rsidR="00EC41C9">
        <w:tab/>
        <w:t xml:space="preserve">Empty trains are running back to China from Europe; </w:t>
      </w:r>
    </w:p>
    <w:p w14:paraId="24C17B92" w14:textId="3258F741" w:rsidR="00EC41C9" w:rsidRDefault="00707851" w:rsidP="001C7F0A">
      <w:pPr>
        <w:pStyle w:val="SingleTxtG"/>
        <w:ind w:left="1701"/>
      </w:pPr>
      <w:r>
        <w:t>(</w:t>
      </w:r>
      <w:r w:rsidR="00EC41C9">
        <w:t>ii</w:t>
      </w:r>
      <w:r>
        <w:t>)</w:t>
      </w:r>
      <w:r w:rsidR="00EC41C9">
        <w:tab/>
        <w:t>There were reported differences in:</w:t>
      </w:r>
    </w:p>
    <w:p w14:paraId="2DAE6097" w14:textId="1A124844" w:rsidR="00EC41C9" w:rsidRDefault="00707851" w:rsidP="001C7F0A">
      <w:pPr>
        <w:pStyle w:val="SingleTxtG"/>
        <w:ind w:left="2268"/>
      </w:pPr>
      <w:r>
        <w:t>a</w:t>
      </w:r>
      <w:r w:rsidR="00EC41C9">
        <w:t>.</w:t>
      </w:r>
      <w:r w:rsidR="00EC41C9">
        <w:tab/>
        <w:t>track gauges;</w:t>
      </w:r>
    </w:p>
    <w:p w14:paraId="15BC3E73" w14:textId="4A6B0F67" w:rsidR="00EC41C9" w:rsidRDefault="00707851" w:rsidP="001C7F0A">
      <w:pPr>
        <w:pStyle w:val="SingleTxtG"/>
        <w:ind w:left="2268"/>
      </w:pPr>
      <w:r>
        <w:t>b</w:t>
      </w:r>
      <w:r w:rsidR="00EC41C9">
        <w:t>.</w:t>
      </w:r>
      <w:r w:rsidR="00EC41C9">
        <w:tab/>
        <w:t>energy systems;</w:t>
      </w:r>
    </w:p>
    <w:p w14:paraId="71B48117" w14:textId="083AACD3" w:rsidR="00EC41C9" w:rsidRDefault="005623EF" w:rsidP="001C7F0A">
      <w:pPr>
        <w:pStyle w:val="SingleTxtG"/>
        <w:ind w:left="2268"/>
      </w:pPr>
      <w:r>
        <w:t>c</w:t>
      </w:r>
      <w:r w:rsidR="00EC41C9">
        <w:t>.</w:t>
      </w:r>
      <w:r w:rsidR="00EC41C9">
        <w:tab/>
        <w:t>structure clearance gauges;</w:t>
      </w:r>
    </w:p>
    <w:p w14:paraId="34C93BDA" w14:textId="4E04DC4A" w:rsidR="00EC41C9" w:rsidRDefault="005623EF" w:rsidP="001C7F0A">
      <w:pPr>
        <w:pStyle w:val="SingleTxtG"/>
        <w:ind w:left="2268"/>
      </w:pPr>
      <w:r>
        <w:t>d</w:t>
      </w:r>
      <w:r w:rsidR="00EC41C9">
        <w:t>.</w:t>
      </w:r>
      <w:r w:rsidR="00EC41C9">
        <w:tab/>
        <w:t xml:space="preserve">train protection systems (&gt;20); </w:t>
      </w:r>
    </w:p>
    <w:p w14:paraId="2709F4A3" w14:textId="2B83E138" w:rsidR="00EC41C9" w:rsidRDefault="005623EF" w:rsidP="001C7F0A">
      <w:pPr>
        <w:pStyle w:val="SingleTxtG"/>
        <w:ind w:left="2268"/>
      </w:pPr>
      <w:r>
        <w:t>e</w:t>
      </w:r>
      <w:r w:rsidR="00EC41C9">
        <w:t>.</w:t>
      </w:r>
      <w:r w:rsidR="00EC41C9">
        <w:tab/>
        <w:t>signalling systems;</w:t>
      </w:r>
    </w:p>
    <w:p w14:paraId="43FACDE8" w14:textId="7D63EF1E" w:rsidR="00EC41C9" w:rsidRDefault="005623EF" w:rsidP="001C7F0A">
      <w:pPr>
        <w:pStyle w:val="SingleTxtG"/>
        <w:ind w:left="2268"/>
      </w:pPr>
      <w:r>
        <w:t>f</w:t>
      </w:r>
      <w:r w:rsidR="00EC41C9">
        <w:t>.</w:t>
      </w:r>
      <w:r w:rsidR="00EC41C9">
        <w:tab/>
        <w:t xml:space="preserve">signal images; </w:t>
      </w:r>
    </w:p>
    <w:p w14:paraId="07BA1C12" w14:textId="7DD94090" w:rsidR="00EC41C9" w:rsidRDefault="005623EF" w:rsidP="001C7F0A">
      <w:pPr>
        <w:pStyle w:val="SingleTxtG"/>
        <w:ind w:left="2268"/>
      </w:pPr>
      <w:r>
        <w:t>g</w:t>
      </w:r>
      <w:r w:rsidR="00EC41C9">
        <w:t>.</w:t>
      </w:r>
      <w:r w:rsidR="00EC41C9">
        <w:tab/>
        <w:t xml:space="preserve">radio systems; </w:t>
      </w:r>
    </w:p>
    <w:p w14:paraId="09D38967" w14:textId="128EDF75" w:rsidR="00EC41C9" w:rsidRDefault="005623EF" w:rsidP="001C7F0A">
      <w:pPr>
        <w:pStyle w:val="SingleTxtG"/>
        <w:ind w:left="2268"/>
      </w:pPr>
      <w:r>
        <w:t>h</w:t>
      </w:r>
      <w:r w:rsidR="00EC41C9">
        <w:t>.</w:t>
      </w:r>
      <w:r w:rsidR="00EC41C9">
        <w:tab/>
        <w:t xml:space="preserve">pantograph widths; </w:t>
      </w:r>
    </w:p>
    <w:p w14:paraId="134AE400" w14:textId="0E1F4AD2" w:rsidR="00EC41C9" w:rsidRDefault="005623EF" w:rsidP="001C7F0A">
      <w:pPr>
        <w:pStyle w:val="SingleTxtG"/>
        <w:ind w:left="2268"/>
      </w:pPr>
      <w:r>
        <w:t>i</w:t>
      </w:r>
      <w:r w:rsidR="00EC41C9">
        <w:t>.</w:t>
      </w:r>
      <w:r w:rsidR="00EC41C9">
        <w:tab/>
        <w:t>regulations of train criteria;</w:t>
      </w:r>
    </w:p>
    <w:p w14:paraId="3B199497" w14:textId="7196A9AC" w:rsidR="00EC41C9" w:rsidRDefault="005623EF" w:rsidP="001C7F0A">
      <w:pPr>
        <w:pStyle w:val="SingleTxtG"/>
        <w:ind w:left="2268"/>
      </w:pPr>
      <w:r>
        <w:t>j</w:t>
      </w:r>
      <w:r w:rsidR="00EC41C9">
        <w:t>.</w:t>
      </w:r>
      <w:r w:rsidR="00EC41C9">
        <w:tab/>
        <w:t>other technical, administrative, linguistic and cultural barriers</w:t>
      </w:r>
      <w:r>
        <w:t>.</w:t>
      </w:r>
    </w:p>
    <w:p w14:paraId="6E0D6087" w14:textId="24255558" w:rsidR="00D43E80" w:rsidRDefault="005623EF" w:rsidP="00EC41C9">
      <w:pPr>
        <w:pStyle w:val="SingleTxtG"/>
      </w:pPr>
      <w:r>
        <w:t>8.</w:t>
      </w:r>
      <w:r>
        <w:tab/>
      </w:r>
      <w:r w:rsidR="00EC41C9">
        <w:t>Participants of the Conference called upon the interested Governments to provide further political support to the projects on the development of Eurasian transport initiatives.</w:t>
      </w:r>
    </w:p>
    <w:bookmarkEnd w:id="6"/>
    <w:p w14:paraId="5B3C2814" w14:textId="4E2BDE1D" w:rsidR="002B5EDB" w:rsidRPr="002A0827" w:rsidRDefault="002B5EDB" w:rsidP="002B5EDB">
      <w:pPr>
        <w:pStyle w:val="SingleTxtG"/>
        <w:spacing w:before="240" w:after="0"/>
        <w:jc w:val="center"/>
        <w:rPr>
          <w:u w:val="single"/>
          <w:lang w:val="en-US"/>
        </w:rPr>
      </w:pPr>
      <w:r>
        <w:rPr>
          <w:u w:val="single"/>
          <w:lang w:val="en-US"/>
        </w:rPr>
        <w:tab/>
      </w:r>
      <w:r>
        <w:rPr>
          <w:u w:val="single"/>
          <w:lang w:val="en-US"/>
        </w:rPr>
        <w:tab/>
      </w:r>
      <w:r>
        <w:rPr>
          <w:u w:val="single"/>
          <w:lang w:val="en-US"/>
        </w:rPr>
        <w:tab/>
      </w:r>
      <w:r w:rsidR="007874A7">
        <w:rPr>
          <w:u w:val="single"/>
          <w:lang w:val="en-US"/>
        </w:rPr>
        <w:tab/>
      </w:r>
    </w:p>
    <w:sectPr w:rsidR="002B5EDB" w:rsidRPr="002A0827" w:rsidSect="002435B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7509" w14:textId="77777777" w:rsidR="002D50A9" w:rsidRDefault="002D50A9"/>
  </w:endnote>
  <w:endnote w:type="continuationSeparator" w:id="0">
    <w:p w14:paraId="7DA8BAAA" w14:textId="77777777" w:rsidR="002D50A9" w:rsidRDefault="002D50A9"/>
  </w:endnote>
  <w:endnote w:type="continuationNotice" w:id="1">
    <w:p w14:paraId="301B8076" w14:textId="77777777" w:rsidR="002D50A9" w:rsidRDefault="002D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DF62" w14:textId="3EC396BC" w:rsidR="002D50A9" w:rsidRPr="002435BB" w:rsidRDefault="002D50A9" w:rsidP="002435BB">
    <w:pPr>
      <w:pStyle w:val="Footer"/>
      <w:tabs>
        <w:tab w:val="right" w:pos="9638"/>
      </w:tabs>
      <w:rPr>
        <w:sz w:val="18"/>
      </w:rPr>
    </w:pPr>
    <w:r w:rsidRPr="002435BB">
      <w:rPr>
        <w:b/>
        <w:sz w:val="18"/>
      </w:rPr>
      <w:fldChar w:fldCharType="begin"/>
    </w:r>
    <w:r w:rsidRPr="002435BB">
      <w:rPr>
        <w:b/>
        <w:sz w:val="18"/>
      </w:rPr>
      <w:instrText xml:space="preserve"> PAGE  \* MERGEFORMAT </w:instrText>
    </w:r>
    <w:r w:rsidRPr="002435BB">
      <w:rPr>
        <w:b/>
        <w:sz w:val="18"/>
      </w:rPr>
      <w:fldChar w:fldCharType="separate"/>
    </w:r>
    <w:r w:rsidR="007865E0">
      <w:rPr>
        <w:b/>
        <w:noProof/>
        <w:sz w:val="18"/>
      </w:rPr>
      <w:t>16</w:t>
    </w:r>
    <w:r w:rsidRPr="002435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69EB" w14:textId="388DB749" w:rsidR="002D50A9" w:rsidRPr="002435BB" w:rsidRDefault="002D50A9" w:rsidP="002435BB">
    <w:pPr>
      <w:pStyle w:val="Footer"/>
      <w:tabs>
        <w:tab w:val="right" w:pos="9638"/>
      </w:tabs>
      <w:rPr>
        <w:b/>
        <w:sz w:val="18"/>
      </w:rPr>
    </w:pPr>
    <w:r>
      <w:tab/>
    </w:r>
    <w:r w:rsidRPr="002435BB">
      <w:rPr>
        <w:b/>
        <w:sz w:val="18"/>
      </w:rPr>
      <w:fldChar w:fldCharType="begin"/>
    </w:r>
    <w:r w:rsidRPr="002435BB">
      <w:rPr>
        <w:b/>
        <w:sz w:val="18"/>
      </w:rPr>
      <w:instrText xml:space="preserve"> PAGE  \* MERGEFORMAT </w:instrText>
    </w:r>
    <w:r w:rsidRPr="002435BB">
      <w:rPr>
        <w:b/>
        <w:sz w:val="18"/>
      </w:rPr>
      <w:fldChar w:fldCharType="separate"/>
    </w:r>
    <w:r w:rsidR="007865E0">
      <w:rPr>
        <w:b/>
        <w:noProof/>
        <w:sz w:val="18"/>
      </w:rPr>
      <w:t>19</w:t>
    </w:r>
    <w:r w:rsidRPr="002435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982E" w14:textId="2A0A0FE4" w:rsidR="00834F8B" w:rsidRDefault="00834F8B" w:rsidP="00834F8B">
    <w:pPr>
      <w:pStyle w:val="Footer"/>
    </w:pPr>
    <w:r>
      <w:rPr>
        <w:rFonts w:ascii="C39T30Lfz" w:hAnsi="C39T30Lfz"/>
        <w:noProof/>
        <w:sz w:val="56"/>
        <w:lang w:eastAsia="zh-CN"/>
      </w:rPr>
      <w:drawing>
        <wp:anchor distT="0" distB="0" distL="114300" distR="114300" simplePos="0" relativeHeight="251660288" behindDoc="0" locked="0" layoutInCell="1" allowOverlap="1" wp14:anchorId="09DD24B4" wp14:editId="7F38B024">
          <wp:simplePos x="0" y="0"/>
          <wp:positionH relativeFrom="margin">
            <wp:posOffset>5509591</wp:posOffset>
          </wp:positionH>
          <wp:positionV relativeFrom="margin">
            <wp:posOffset>7952740</wp:posOffset>
          </wp:positionV>
          <wp:extent cx="638175" cy="638175"/>
          <wp:effectExtent l="0" t="0" r="9525" b="9525"/>
          <wp:wrapNone/>
          <wp:docPr id="2" name="Picture 1" descr="https://undocs.org/m2/QRCode.ashx?DS=ECE/TRANS/WP.5/6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15BE9F8B" wp14:editId="1F1D415B">
          <wp:simplePos x="0" y="0"/>
          <wp:positionH relativeFrom="margin">
            <wp:posOffset>4320540</wp:posOffset>
          </wp:positionH>
          <wp:positionV relativeFrom="margin">
            <wp:posOffset>8303260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436A2BB" w14:textId="2FC03F20" w:rsidR="00834F8B" w:rsidRDefault="00834F8B" w:rsidP="00834F8B">
    <w:pPr>
      <w:pStyle w:val="Footer"/>
      <w:ind w:right="1134"/>
      <w:rPr>
        <w:sz w:val="20"/>
      </w:rPr>
    </w:pPr>
    <w:r>
      <w:rPr>
        <w:sz w:val="20"/>
      </w:rPr>
      <w:t>GE.18-21939(E)</w:t>
    </w:r>
  </w:p>
  <w:p w14:paraId="6C52F6F1" w14:textId="6D449354" w:rsidR="00834F8B" w:rsidRPr="00834F8B" w:rsidRDefault="00834F8B" w:rsidP="00834F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8752" w14:textId="77777777" w:rsidR="002D50A9" w:rsidRPr="000B175B" w:rsidRDefault="002D50A9" w:rsidP="000B175B">
      <w:pPr>
        <w:tabs>
          <w:tab w:val="right" w:pos="2155"/>
        </w:tabs>
        <w:spacing w:after="80"/>
        <w:ind w:left="680"/>
        <w:rPr>
          <w:u w:val="single"/>
        </w:rPr>
      </w:pPr>
      <w:r>
        <w:rPr>
          <w:u w:val="single"/>
        </w:rPr>
        <w:tab/>
      </w:r>
    </w:p>
  </w:footnote>
  <w:footnote w:type="continuationSeparator" w:id="0">
    <w:p w14:paraId="709D428A" w14:textId="77777777" w:rsidR="002D50A9" w:rsidRPr="00FC68B7" w:rsidRDefault="002D50A9" w:rsidP="00FC68B7">
      <w:pPr>
        <w:tabs>
          <w:tab w:val="left" w:pos="2155"/>
        </w:tabs>
        <w:spacing w:after="80"/>
        <w:ind w:left="680"/>
        <w:rPr>
          <w:u w:val="single"/>
        </w:rPr>
      </w:pPr>
      <w:r>
        <w:rPr>
          <w:u w:val="single"/>
        </w:rPr>
        <w:tab/>
      </w:r>
    </w:p>
  </w:footnote>
  <w:footnote w:type="continuationNotice" w:id="1">
    <w:p w14:paraId="38CD0375" w14:textId="77777777" w:rsidR="002D50A9" w:rsidRDefault="002D50A9"/>
  </w:footnote>
  <w:footnote w:id="2">
    <w:p w14:paraId="4CBA58C6" w14:textId="71A1DBA9" w:rsidR="002D50A9" w:rsidRDefault="002D50A9" w:rsidP="001C7F0A">
      <w:pPr>
        <w:pStyle w:val="FootnoteText"/>
        <w:widowControl w:val="0"/>
      </w:pPr>
      <w:r>
        <w:tab/>
      </w:r>
      <w:r>
        <w:rPr>
          <w:rStyle w:val="FootnoteReference"/>
        </w:rPr>
        <w:footnoteRef/>
      </w:r>
      <w:r>
        <w:tab/>
      </w:r>
      <w:r w:rsidRPr="007A7DAA">
        <w:t xml:space="preserve">United Nations Development </w:t>
      </w:r>
      <w:r>
        <w:t>Account</w:t>
      </w:r>
    </w:p>
  </w:footnote>
  <w:footnote w:id="3">
    <w:p w14:paraId="7F65E9CD" w14:textId="280392A3" w:rsidR="002D50A9" w:rsidRDefault="002D50A9" w:rsidP="001C7F0A">
      <w:pPr>
        <w:pStyle w:val="FootnoteText"/>
        <w:widowControl w:val="0"/>
      </w:pPr>
      <w:r>
        <w:tab/>
      </w:r>
      <w:r>
        <w:rPr>
          <w:rStyle w:val="FootnoteReference"/>
        </w:rPr>
        <w:footnoteRef/>
      </w:r>
      <w:r>
        <w:tab/>
      </w:r>
      <w:r w:rsidRPr="003E638D">
        <w:t>Regulations concerning the International Carriage of Dangerous Goods by Rail</w:t>
      </w:r>
      <w:r>
        <w:t xml:space="preserve"> </w:t>
      </w:r>
    </w:p>
  </w:footnote>
  <w:footnote w:id="4">
    <w:p w14:paraId="2B4B70B3" w14:textId="6D526841" w:rsidR="002D50A9" w:rsidRDefault="002D50A9" w:rsidP="001C7F0A">
      <w:pPr>
        <w:pStyle w:val="FootnoteText"/>
        <w:widowControl w:val="0"/>
      </w:pPr>
      <w:r>
        <w:tab/>
      </w:r>
      <w:r>
        <w:rPr>
          <w:rStyle w:val="FootnoteReference"/>
        </w:rPr>
        <w:footnoteRef/>
      </w:r>
      <w:r>
        <w:tab/>
      </w:r>
      <w:r w:rsidRPr="0096493A">
        <w:t>Organization for Cooperation between Railways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8CB3" w14:textId="77777777" w:rsidR="002D50A9" w:rsidRPr="00D207BD" w:rsidRDefault="002D50A9">
    <w:pPr>
      <w:pStyle w:val="Header"/>
      <w:rPr>
        <w:lang w:val="el-GR"/>
      </w:rPr>
    </w:pPr>
    <w:r>
      <w:t>ECE/TRANS/WP.5</w:t>
    </w:r>
    <w:r w:rsidRPr="00D1040F">
      <w:t>/</w:t>
    </w:r>
    <w:r>
      <w:t>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20EC" w14:textId="77777777" w:rsidR="002D50A9" w:rsidRPr="00D207BD" w:rsidRDefault="002D50A9" w:rsidP="002435BB">
    <w:pPr>
      <w:pStyle w:val="Header"/>
      <w:jc w:val="right"/>
      <w:rPr>
        <w:lang w:val="el-GR"/>
      </w:rPr>
    </w:pPr>
    <w:r>
      <w:t>ECE/TRANS/WP.5</w:t>
    </w:r>
    <w:r w:rsidRPr="00663A82">
      <w:t>/</w:t>
    </w:r>
    <w: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BFC"/>
    <w:multiLevelType w:val="hybridMultilevel"/>
    <w:tmpl w:val="6FAA559A"/>
    <w:lvl w:ilvl="0" w:tplc="08090017">
      <w:start w:val="1"/>
      <w:numFmt w:val="lowerLetter"/>
      <w:lvlText w:val="%1)"/>
      <w:lvlJc w:val="left"/>
      <w:pPr>
        <w:ind w:left="1908" w:hanging="360"/>
      </w:p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 w15:restartNumberingAfterBreak="0">
    <w:nsid w:val="039F0F59"/>
    <w:multiLevelType w:val="hybridMultilevel"/>
    <w:tmpl w:val="958CBAC2"/>
    <w:lvl w:ilvl="0" w:tplc="5F4C5788">
      <w:start w:val="5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96F1373"/>
    <w:multiLevelType w:val="hybridMultilevel"/>
    <w:tmpl w:val="C08EAFCA"/>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0C541A68"/>
    <w:multiLevelType w:val="hybridMultilevel"/>
    <w:tmpl w:val="8E04D9AA"/>
    <w:lvl w:ilvl="0" w:tplc="52D2AFD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FA97D83"/>
    <w:multiLevelType w:val="hybridMultilevel"/>
    <w:tmpl w:val="E188D76A"/>
    <w:lvl w:ilvl="0" w:tplc="574A0D7E">
      <w:start w:val="1"/>
      <w:numFmt w:val="bullet"/>
      <w:lvlText w:val=""/>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12016191"/>
    <w:multiLevelType w:val="hybridMultilevel"/>
    <w:tmpl w:val="77A0C5AC"/>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17832A9D"/>
    <w:multiLevelType w:val="hybridMultilevel"/>
    <w:tmpl w:val="F4201FB0"/>
    <w:lvl w:ilvl="0" w:tplc="574A0D7E">
      <w:start w:val="1"/>
      <w:numFmt w:val="bullet"/>
      <w:lvlText w:val=""/>
      <w:lvlJc w:val="left"/>
      <w:pPr>
        <w:ind w:left="2421" w:hanging="360"/>
      </w:pPr>
      <w:rPr>
        <w:rFonts w:ascii="Symbol" w:hAnsi="Symbol" w:hint="default"/>
        <w:b w:val="0"/>
        <w:i w:val="0"/>
        <w:color w:val="auto"/>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2CFA36E9"/>
    <w:multiLevelType w:val="hybridMultilevel"/>
    <w:tmpl w:val="A1A6CEE8"/>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ED3031A"/>
    <w:multiLevelType w:val="hybridMultilevel"/>
    <w:tmpl w:val="45AC687C"/>
    <w:lvl w:ilvl="0" w:tplc="52D2AFD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 w15:restartNumberingAfterBreak="0">
    <w:nsid w:val="39280117"/>
    <w:multiLevelType w:val="hybridMultilevel"/>
    <w:tmpl w:val="0454878A"/>
    <w:lvl w:ilvl="0" w:tplc="574A0D7E">
      <w:start w:val="1"/>
      <w:numFmt w:val="bullet"/>
      <w:lvlText w:val=""/>
      <w:lvlJc w:val="left"/>
      <w:pPr>
        <w:ind w:left="2044" w:hanging="360"/>
      </w:pPr>
      <w:rPr>
        <w:rFonts w:ascii="Symbol" w:hAnsi="Symbol" w:hint="default"/>
        <w:color w:val="auto"/>
      </w:rPr>
    </w:lvl>
    <w:lvl w:ilvl="1" w:tplc="08090019" w:tentative="1">
      <w:start w:val="1"/>
      <w:numFmt w:val="lowerLetter"/>
      <w:lvlText w:val="%2."/>
      <w:lvlJc w:val="left"/>
      <w:pPr>
        <w:ind w:left="2764" w:hanging="360"/>
      </w:pPr>
    </w:lvl>
    <w:lvl w:ilvl="2" w:tplc="0809001B" w:tentative="1">
      <w:start w:val="1"/>
      <w:numFmt w:val="lowerRoman"/>
      <w:lvlText w:val="%3."/>
      <w:lvlJc w:val="right"/>
      <w:pPr>
        <w:ind w:left="3484" w:hanging="180"/>
      </w:pPr>
    </w:lvl>
    <w:lvl w:ilvl="3" w:tplc="0809000F" w:tentative="1">
      <w:start w:val="1"/>
      <w:numFmt w:val="decimal"/>
      <w:lvlText w:val="%4."/>
      <w:lvlJc w:val="left"/>
      <w:pPr>
        <w:ind w:left="4204" w:hanging="360"/>
      </w:pPr>
    </w:lvl>
    <w:lvl w:ilvl="4" w:tplc="08090019" w:tentative="1">
      <w:start w:val="1"/>
      <w:numFmt w:val="lowerLetter"/>
      <w:lvlText w:val="%5."/>
      <w:lvlJc w:val="left"/>
      <w:pPr>
        <w:ind w:left="4924" w:hanging="360"/>
      </w:pPr>
    </w:lvl>
    <w:lvl w:ilvl="5" w:tplc="0809001B" w:tentative="1">
      <w:start w:val="1"/>
      <w:numFmt w:val="lowerRoman"/>
      <w:lvlText w:val="%6."/>
      <w:lvlJc w:val="right"/>
      <w:pPr>
        <w:ind w:left="5644" w:hanging="180"/>
      </w:pPr>
    </w:lvl>
    <w:lvl w:ilvl="6" w:tplc="0809000F" w:tentative="1">
      <w:start w:val="1"/>
      <w:numFmt w:val="decimal"/>
      <w:lvlText w:val="%7."/>
      <w:lvlJc w:val="left"/>
      <w:pPr>
        <w:ind w:left="6364" w:hanging="360"/>
      </w:pPr>
    </w:lvl>
    <w:lvl w:ilvl="7" w:tplc="08090019" w:tentative="1">
      <w:start w:val="1"/>
      <w:numFmt w:val="lowerLetter"/>
      <w:lvlText w:val="%8."/>
      <w:lvlJc w:val="left"/>
      <w:pPr>
        <w:ind w:left="7084" w:hanging="360"/>
      </w:pPr>
    </w:lvl>
    <w:lvl w:ilvl="8" w:tplc="0809001B" w:tentative="1">
      <w:start w:val="1"/>
      <w:numFmt w:val="lowerRoman"/>
      <w:lvlText w:val="%9."/>
      <w:lvlJc w:val="right"/>
      <w:pPr>
        <w:ind w:left="7804" w:hanging="180"/>
      </w:pPr>
    </w:lvl>
  </w:abstractNum>
  <w:abstractNum w:abstractNumId="10" w15:restartNumberingAfterBreak="0">
    <w:nsid w:val="3CE56E74"/>
    <w:multiLevelType w:val="hybridMultilevel"/>
    <w:tmpl w:val="630ACEEA"/>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4AE20457"/>
    <w:multiLevelType w:val="hybridMultilevel"/>
    <w:tmpl w:val="6D2A7A02"/>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4B553549"/>
    <w:multiLevelType w:val="hybridMultilevel"/>
    <w:tmpl w:val="CD1056E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51BC6A66"/>
    <w:multiLevelType w:val="hybridMultilevel"/>
    <w:tmpl w:val="48AE8B72"/>
    <w:lvl w:ilvl="0" w:tplc="52D2AFD2">
      <w:start w:val="1"/>
      <w:numFmt w:val="lowerLetter"/>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14" w15:restartNumberingAfterBreak="0">
    <w:nsid w:val="551E1A87"/>
    <w:multiLevelType w:val="hybridMultilevel"/>
    <w:tmpl w:val="EC7CEB24"/>
    <w:lvl w:ilvl="0" w:tplc="8C64421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5A7575AB"/>
    <w:multiLevelType w:val="hybridMultilevel"/>
    <w:tmpl w:val="067AC0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39C25C3"/>
    <w:multiLevelType w:val="hybridMultilevel"/>
    <w:tmpl w:val="E3F26C1E"/>
    <w:lvl w:ilvl="0" w:tplc="52D2AFD2">
      <w:start w:val="1"/>
      <w:numFmt w:val="lowerLetter"/>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17" w15:restartNumberingAfterBreak="0">
    <w:nsid w:val="67A20556"/>
    <w:multiLevelType w:val="hybridMultilevel"/>
    <w:tmpl w:val="DEAE430E"/>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69233352"/>
    <w:multiLevelType w:val="hybridMultilevel"/>
    <w:tmpl w:val="1868CFE2"/>
    <w:lvl w:ilvl="0" w:tplc="040C001B">
      <w:start w:val="1"/>
      <w:numFmt w:val="lowerRoman"/>
      <w:lvlText w:val="%1."/>
      <w:lvlJc w:val="right"/>
      <w:pPr>
        <w:ind w:left="4995" w:hanging="360"/>
      </w:pPr>
    </w:lvl>
    <w:lvl w:ilvl="1" w:tplc="040C0019" w:tentative="1">
      <w:start w:val="1"/>
      <w:numFmt w:val="lowerLetter"/>
      <w:lvlText w:val="%2."/>
      <w:lvlJc w:val="left"/>
      <w:pPr>
        <w:ind w:left="5715" w:hanging="360"/>
      </w:pPr>
    </w:lvl>
    <w:lvl w:ilvl="2" w:tplc="040C001B" w:tentative="1">
      <w:start w:val="1"/>
      <w:numFmt w:val="lowerRoman"/>
      <w:lvlText w:val="%3."/>
      <w:lvlJc w:val="right"/>
      <w:pPr>
        <w:ind w:left="6435" w:hanging="180"/>
      </w:pPr>
    </w:lvl>
    <w:lvl w:ilvl="3" w:tplc="040C000F" w:tentative="1">
      <w:start w:val="1"/>
      <w:numFmt w:val="decimal"/>
      <w:lvlText w:val="%4."/>
      <w:lvlJc w:val="left"/>
      <w:pPr>
        <w:ind w:left="7155" w:hanging="360"/>
      </w:pPr>
    </w:lvl>
    <w:lvl w:ilvl="4" w:tplc="040C0019" w:tentative="1">
      <w:start w:val="1"/>
      <w:numFmt w:val="lowerLetter"/>
      <w:lvlText w:val="%5."/>
      <w:lvlJc w:val="left"/>
      <w:pPr>
        <w:ind w:left="7875" w:hanging="360"/>
      </w:pPr>
    </w:lvl>
    <w:lvl w:ilvl="5" w:tplc="040C001B" w:tentative="1">
      <w:start w:val="1"/>
      <w:numFmt w:val="lowerRoman"/>
      <w:lvlText w:val="%6."/>
      <w:lvlJc w:val="right"/>
      <w:pPr>
        <w:ind w:left="8595" w:hanging="180"/>
      </w:pPr>
    </w:lvl>
    <w:lvl w:ilvl="6" w:tplc="040C000F" w:tentative="1">
      <w:start w:val="1"/>
      <w:numFmt w:val="decimal"/>
      <w:lvlText w:val="%7."/>
      <w:lvlJc w:val="left"/>
      <w:pPr>
        <w:ind w:left="9315" w:hanging="360"/>
      </w:pPr>
    </w:lvl>
    <w:lvl w:ilvl="7" w:tplc="040C0019" w:tentative="1">
      <w:start w:val="1"/>
      <w:numFmt w:val="lowerLetter"/>
      <w:lvlText w:val="%8."/>
      <w:lvlJc w:val="left"/>
      <w:pPr>
        <w:ind w:left="10035" w:hanging="360"/>
      </w:pPr>
    </w:lvl>
    <w:lvl w:ilvl="8" w:tplc="040C001B" w:tentative="1">
      <w:start w:val="1"/>
      <w:numFmt w:val="lowerRoman"/>
      <w:lvlText w:val="%9."/>
      <w:lvlJc w:val="right"/>
      <w:pPr>
        <w:ind w:left="10755" w:hanging="180"/>
      </w:pPr>
    </w:lvl>
  </w:abstractNum>
  <w:abstractNum w:abstractNumId="19" w15:restartNumberingAfterBreak="0">
    <w:nsid w:val="6B20669F"/>
    <w:multiLevelType w:val="hybridMultilevel"/>
    <w:tmpl w:val="802A514E"/>
    <w:lvl w:ilvl="0" w:tplc="574A0D7E">
      <w:start w:val="1"/>
      <w:numFmt w:val="bullet"/>
      <w:lvlText w:val=""/>
      <w:lvlJc w:val="left"/>
      <w:pPr>
        <w:ind w:left="2469" w:hanging="360"/>
      </w:pPr>
      <w:rPr>
        <w:rFonts w:ascii="Symbol" w:hAnsi="Symbol" w:hint="default"/>
        <w:b w:val="0"/>
        <w:i w:val="0"/>
        <w:color w:val="auto"/>
        <w:sz w:val="20"/>
      </w:rPr>
    </w:lvl>
    <w:lvl w:ilvl="1" w:tplc="08090003" w:tentative="1">
      <w:start w:val="1"/>
      <w:numFmt w:val="bullet"/>
      <w:lvlText w:val="o"/>
      <w:lvlJc w:val="left"/>
      <w:pPr>
        <w:ind w:left="3189" w:hanging="360"/>
      </w:pPr>
      <w:rPr>
        <w:rFonts w:ascii="Courier New" w:hAnsi="Courier New" w:cs="Courier New" w:hint="default"/>
      </w:rPr>
    </w:lvl>
    <w:lvl w:ilvl="2" w:tplc="08090005" w:tentative="1">
      <w:start w:val="1"/>
      <w:numFmt w:val="bullet"/>
      <w:lvlText w:val=""/>
      <w:lvlJc w:val="left"/>
      <w:pPr>
        <w:ind w:left="3909" w:hanging="360"/>
      </w:pPr>
      <w:rPr>
        <w:rFonts w:ascii="Wingdings" w:hAnsi="Wingdings" w:hint="default"/>
      </w:rPr>
    </w:lvl>
    <w:lvl w:ilvl="3" w:tplc="08090001" w:tentative="1">
      <w:start w:val="1"/>
      <w:numFmt w:val="bullet"/>
      <w:lvlText w:val=""/>
      <w:lvlJc w:val="left"/>
      <w:pPr>
        <w:ind w:left="4629" w:hanging="360"/>
      </w:pPr>
      <w:rPr>
        <w:rFonts w:ascii="Symbol" w:hAnsi="Symbol" w:hint="default"/>
      </w:rPr>
    </w:lvl>
    <w:lvl w:ilvl="4" w:tplc="08090003" w:tentative="1">
      <w:start w:val="1"/>
      <w:numFmt w:val="bullet"/>
      <w:lvlText w:val="o"/>
      <w:lvlJc w:val="left"/>
      <w:pPr>
        <w:ind w:left="5349" w:hanging="360"/>
      </w:pPr>
      <w:rPr>
        <w:rFonts w:ascii="Courier New" w:hAnsi="Courier New" w:cs="Courier New" w:hint="default"/>
      </w:rPr>
    </w:lvl>
    <w:lvl w:ilvl="5" w:tplc="08090005" w:tentative="1">
      <w:start w:val="1"/>
      <w:numFmt w:val="bullet"/>
      <w:lvlText w:val=""/>
      <w:lvlJc w:val="left"/>
      <w:pPr>
        <w:ind w:left="6069" w:hanging="360"/>
      </w:pPr>
      <w:rPr>
        <w:rFonts w:ascii="Wingdings" w:hAnsi="Wingdings" w:hint="default"/>
      </w:rPr>
    </w:lvl>
    <w:lvl w:ilvl="6" w:tplc="08090001" w:tentative="1">
      <w:start w:val="1"/>
      <w:numFmt w:val="bullet"/>
      <w:lvlText w:val=""/>
      <w:lvlJc w:val="left"/>
      <w:pPr>
        <w:ind w:left="6789" w:hanging="360"/>
      </w:pPr>
      <w:rPr>
        <w:rFonts w:ascii="Symbol" w:hAnsi="Symbol" w:hint="default"/>
      </w:rPr>
    </w:lvl>
    <w:lvl w:ilvl="7" w:tplc="08090003" w:tentative="1">
      <w:start w:val="1"/>
      <w:numFmt w:val="bullet"/>
      <w:lvlText w:val="o"/>
      <w:lvlJc w:val="left"/>
      <w:pPr>
        <w:ind w:left="7509" w:hanging="360"/>
      </w:pPr>
      <w:rPr>
        <w:rFonts w:ascii="Courier New" w:hAnsi="Courier New" w:cs="Courier New" w:hint="default"/>
      </w:rPr>
    </w:lvl>
    <w:lvl w:ilvl="8" w:tplc="08090005" w:tentative="1">
      <w:start w:val="1"/>
      <w:numFmt w:val="bullet"/>
      <w:lvlText w:val=""/>
      <w:lvlJc w:val="left"/>
      <w:pPr>
        <w:ind w:left="8229" w:hanging="360"/>
      </w:pPr>
      <w:rPr>
        <w:rFonts w:ascii="Wingdings" w:hAnsi="Wingdings" w:hint="default"/>
      </w:rPr>
    </w:lvl>
  </w:abstractNum>
  <w:abstractNum w:abstractNumId="20" w15:restartNumberingAfterBreak="0">
    <w:nsid w:val="71E5302D"/>
    <w:multiLevelType w:val="hybridMultilevel"/>
    <w:tmpl w:val="E7ECD7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75E223DA"/>
    <w:multiLevelType w:val="hybridMultilevel"/>
    <w:tmpl w:val="C076F016"/>
    <w:lvl w:ilvl="0" w:tplc="1C52C13C">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66629"/>
    <w:multiLevelType w:val="hybridMultilevel"/>
    <w:tmpl w:val="EBAE354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17"/>
  </w:num>
  <w:num w:numId="5">
    <w:abstractNumId w:val="19"/>
  </w:num>
  <w:num w:numId="6">
    <w:abstractNumId w:val="6"/>
  </w:num>
  <w:num w:numId="7">
    <w:abstractNumId w:val="8"/>
  </w:num>
  <w:num w:numId="8">
    <w:abstractNumId w:val="16"/>
  </w:num>
  <w:num w:numId="9">
    <w:abstractNumId w:val="13"/>
  </w:num>
  <w:num w:numId="10">
    <w:abstractNumId w:val="1"/>
  </w:num>
  <w:num w:numId="11">
    <w:abstractNumId w:val="7"/>
  </w:num>
  <w:num w:numId="12">
    <w:abstractNumId w:val="4"/>
  </w:num>
  <w:num w:numId="13">
    <w:abstractNumId w:val="3"/>
  </w:num>
  <w:num w:numId="14">
    <w:abstractNumId w:val="5"/>
  </w:num>
  <w:num w:numId="15">
    <w:abstractNumId w:val="11"/>
  </w:num>
  <w:num w:numId="16">
    <w:abstractNumId w:val="10"/>
  </w:num>
  <w:num w:numId="17">
    <w:abstractNumId w:val="0"/>
  </w:num>
  <w:num w:numId="18">
    <w:abstractNumId w:val="12"/>
  </w:num>
  <w:num w:numId="19">
    <w:abstractNumId w:val="18"/>
  </w:num>
  <w:num w:numId="20">
    <w:abstractNumId w:val="22"/>
  </w:num>
  <w:num w:numId="21">
    <w:abstractNumId w:val="15"/>
  </w:num>
  <w:num w:numId="22">
    <w:abstractNumId w:val="20"/>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BB"/>
    <w:rsid w:val="00002A7D"/>
    <w:rsid w:val="00002B64"/>
    <w:rsid w:val="000038A8"/>
    <w:rsid w:val="00006663"/>
    <w:rsid w:val="00006790"/>
    <w:rsid w:val="00015564"/>
    <w:rsid w:val="00017278"/>
    <w:rsid w:val="000200BD"/>
    <w:rsid w:val="000257F0"/>
    <w:rsid w:val="00025EF1"/>
    <w:rsid w:val="0002629D"/>
    <w:rsid w:val="00027624"/>
    <w:rsid w:val="00031786"/>
    <w:rsid w:val="00032270"/>
    <w:rsid w:val="00032579"/>
    <w:rsid w:val="0003350A"/>
    <w:rsid w:val="00033EF3"/>
    <w:rsid w:val="00034EB2"/>
    <w:rsid w:val="00036BB9"/>
    <w:rsid w:val="00037335"/>
    <w:rsid w:val="00037BA0"/>
    <w:rsid w:val="00047505"/>
    <w:rsid w:val="00050F6B"/>
    <w:rsid w:val="00050FDB"/>
    <w:rsid w:val="00051980"/>
    <w:rsid w:val="00052C86"/>
    <w:rsid w:val="00053097"/>
    <w:rsid w:val="00053395"/>
    <w:rsid w:val="00053715"/>
    <w:rsid w:val="00053B92"/>
    <w:rsid w:val="00053C1E"/>
    <w:rsid w:val="000546FE"/>
    <w:rsid w:val="000604A7"/>
    <w:rsid w:val="00061127"/>
    <w:rsid w:val="00062684"/>
    <w:rsid w:val="00062755"/>
    <w:rsid w:val="00062B58"/>
    <w:rsid w:val="0006325D"/>
    <w:rsid w:val="000639C2"/>
    <w:rsid w:val="000678CD"/>
    <w:rsid w:val="00067B92"/>
    <w:rsid w:val="00070527"/>
    <w:rsid w:val="0007283F"/>
    <w:rsid w:val="00072A39"/>
    <w:rsid w:val="00072C8C"/>
    <w:rsid w:val="00075671"/>
    <w:rsid w:val="000759D5"/>
    <w:rsid w:val="00077E6A"/>
    <w:rsid w:val="00081CE0"/>
    <w:rsid w:val="00082BC3"/>
    <w:rsid w:val="0008462F"/>
    <w:rsid w:val="00084D30"/>
    <w:rsid w:val="00087847"/>
    <w:rsid w:val="00087924"/>
    <w:rsid w:val="00087B05"/>
    <w:rsid w:val="00087BB9"/>
    <w:rsid w:val="000900FA"/>
    <w:rsid w:val="00090320"/>
    <w:rsid w:val="000912A3"/>
    <w:rsid w:val="00091FB3"/>
    <w:rsid w:val="00092828"/>
    <w:rsid w:val="00092B08"/>
    <w:rsid w:val="00092E94"/>
    <w:rsid w:val="00092FC5"/>
    <w:rsid w:val="000931C0"/>
    <w:rsid w:val="00096719"/>
    <w:rsid w:val="00096C7A"/>
    <w:rsid w:val="000977D5"/>
    <w:rsid w:val="000A1409"/>
    <w:rsid w:val="000A1AED"/>
    <w:rsid w:val="000A2E09"/>
    <w:rsid w:val="000A2EBA"/>
    <w:rsid w:val="000A5E81"/>
    <w:rsid w:val="000A611E"/>
    <w:rsid w:val="000A6ACD"/>
    <w:rsid w:val="000B175B"/>
    <w:rsid w:val="000B2800"/>
    <w:rsid w:val="000B3A0F"/>
    <w:rsid w:val="000B3D30"/>
    <w:rsid w:val="000B3E3D"/>
    <w:rsid w:val="000B58F1"/>
    <w:rsid w:val="000B6B43"/>
    <w:rsid w:val="000C05F7"/>
    <w:rsid w:val="000C13D6"/>
    <w:rsid w:val="000C1A4D"/>
    <w:rsid w:val="000C28BF"/>
    <w:rsid w:val="000D40AF"/>
    <w:rsid w:val="000E0415"/>
    <w:rsid w:val="000E4F8D"/>
    <w:rsid w:val="000E5BFA"/>
    <w:rsid w:val="000F045C"/>
    <w:rsid w:val="000F7715"/>
    <w:rsid w:val="00100B7A"/>
    <w:rsid w:val="001022B6"/>
    <w:rsid w:val="00105660"/>
    <w:rsid w:val="001075B3"/>
    <w:rsid w:val="00111340"/>
    <w:rsid w:val="00111C6B"/>
    <w:rsid w:val="001129DA"/>
    <w:rsid w:val="00114D6B"/>
    <w:rsid w:val="00115582"/>
    <w:rsid w:val="00116021"/>
    <w:rsid w:val="001162CC"/>
    <w:rsid w:val="00120725"/>
    <w:rsid w:val="0012073F"/>
    <w:rsid w:val="00121792"/>
    <w:rsid w:val="001259B8"/>
    <w:rsid w:val="0012610E"/>
    <w:rsid w:val="00127258"/>
    <w:rsid w:val="0013778C"/>
    <w:rsid w:val="00140BF8"/>
    <w:rsid w:val="00140FFF"/>
    <w:rsid w:val="001421FC"/>
    <w:rsid w:val="00143023"/>
    <w:rsid w:val="00143557"/>
    <w:rsid w:val="0014362C"/>
    <w:rsid w:val="00146DF8"/>
    <w:rsid w:val="00147087"/>
    <w:rsid w:val="0014768C"/>
    <w:rsid w:val="00147B96"/>
    <w:rsid w:val="00150013"/>
    <w:rsid w:val="001569BF"/>
    <w:rsid w:val="00156B99"/>
    <w:rsid w:val="00160D2B"/>
    <w:rsid w:val="00161DE2"/>
    <w:rsid w:val="00165905"/>
    <w:rsid w:val="00166124"/>
    <w:rsid w:val="00175A67"/>
    <w:rsid w:val="001805E8"/>
    <w:rsid w:val="0018215E"/>
    <w:rsid w:val="00183B40"/>
    <w:rsid w:val="00184004"/>
    <w:rsid w:val="00184DDA"/>
    <w:rsid w:val="00184FE8"/>
    <w:rsid w:val="00185635"/>
    <w:rsid w:val="001856BF"/>
    <w:rsid w:val="00185BEA"/>
    <w:rsid w:val="00186360"/>
    <w:rsid w:val="00186ED6"/>
    <w:rsid w:val="001900CD"/>
    <w:rsid w:val="00195190"/>
    <w:rsid w:val="001A0452"/>
    <w:rsid w:val="001A1AAC"/>
    <w:rsid w:val="001A287F"/>
    <w:rsid w:val="001B124D"/>
    <w:rsid w:val="001B25D8"/>
    <w:rsid w:val="001B4B04"/>
    <w:rsid w:val="001B5875"/>
    <w:rsid w:val="001B620F"/>
    <w:rsid w:val="001C0D71"/>
    <w:rsid w:val="001C1DB7"/>
    <w:rsid w:val="001C4B9C"/>
    <w:rsid w:val="001C6663"/>
    <w:rsid w:val="001C6822"/>
    <w:rsid w:val="001C7895"/>
    <w:rsid w:val="001C7F0A"/>
    <w:rsid w:val="001D0F28"/>
    <w:rsid w:val="001D215D"/>
    <w:rsid w:val="001D26DF"/>
    <w:rsid w:val="001D4F5B"/>
    <w:rsid w:val="001D4F6F"/>
    <w:rsid w:val="001D78F0"/>
    <w:rsid w:val="001D791F"/>
    <w:rsid w:val="001E0435"/>
    <w:rsid w:val="001E1362"/>
    <w:rsid w:val="001E24D9"/>
    <w:rsid w:val="001F0EFE"/>
    <w:rsid w:val="001F1599"/>
    <w:rsid w:val="001F19C4"/>
    <w:rsid w:val="001F7FDC"/>
    <w:rsid w:val="00201F2B"/>
    <w:rsid w:val="002043F0"/>
    <w:rsid w:val="00207606"/>
    <w:rsid w:val="00210E8B"/>
    <w:rsid w:val="00211E0B"/>
    <w:rsid w:val="0021231B"/>
    <w:rsid w:val="00216BAF"/>
    <w:rsid w:val="00220EB8"/>
    <w:rsid w:val="00225AF6"/>
    <w:rsid w:val="00231C77"/>
    <w:rsid w:val="002320E6"/>
    <w:rsid w:val="00232575"/>
    <w:rsid w:val="00240929"/>
    <w:rsid w:val="002435BB"/>
    <w:rsid w:val="002448AA"/>
    <w:rsid w:val="00244DEC"/>
    <w:rsid w:val="002455DD"/>
    <w:rsid w:val="0024667B"/>
    <w:rsid w:val="00247258"/>
    <w:rsid w:val="00247384"/>
    <w:rsid w:val="00250BB8"/>
    <w:rsid w:val="00254E4D"/>
    <w:rsid w:val="0025536B"/>
    <w:rsid w:val="00257CAC"/>
    <w:rsid w:val="00260181"/>
    <w:rsid w:val="00260A14"/>
    <w:rsid w:val="00261DFA"/>
    <w:rsid w:val="0026244F"/>
    <w:rsid w:val="002627F0"/>
    <w:rsid w:val="00263742"/>
    <w:rsid w:val="00266473"/>
    <w:rsid w:val="00270D44"/>
    <w:rsid w:val="0027237A"/>
    <w:rsid w:val="002724A5"/>
    <w:rsid w:val="00274A1B"/>
    <w:rsid w:val="00275AAD"/>
    <w:rsid w:val="00276EB8"/>
    <w:rsid w:val="002812F5"/>
    <w:rsid w:val="002871EA"/>
    <w:rsid w:val="00292EEE"/>
    <w:rsid w:val="002970F2"/>
    <w:rsid w:val="002974E9"/>
    <w:rsid w:val="002978E0"/>
    <w:rsid w:val="002A1205"/>
    <w:rsid w:val="002A24F3"/>
    <w:rsid w:val="002A3062"/>
    <w:rsid w:val="002A3E33"/>
    <w:rsid w:val="002A4320"/>
    <w:rsid w:val="002A5C86"/>
    <w:rsid w:val="002A5E0D"/>
    <w:rsid w:val="002A6524"/>
    <w:rsid w:val="002A6BCA"/>
    <w:rsid w:val="002A711C"/>
    <w:rsid w:val="002A7F94"/>
    <w:rsid w:val="002B0043"/>
    <w:rsid w:val="002B0BA9"/>
    <w:rsid w:val="002B109A"/>
    <w:rsid w:val="002B43B5"/>
    <w:rsid w:val="002B5EDB"/>
    <w:rsid w:val="002B6187"/>
    <w:rsid w:val="002B6A5F"/>
    <w:rsid w:val="002C0A3D"/>
    <w:rsid w:val="002C4066"/>
    <w:rsid w:val="002C4979"/>
    <w:rsid w:val="002C5792"/>
    <w:rsid w:val="002C69E6"/>
    <w:rsid w:val="002C6D45"/>
    <w:rsid w:val="002C7320"/>
    <w:rsid w:val="002C780D"/>
    <w:rsid w:val="002D1E90"/>
    <w:rsid w:val="002D50A9"/>
    <w:rsid w:val="002D5468"/>
    <w:rsid w:val="002D6637"/>
    <w:rsid w:val="002D6E53"/>
    <w:rsid w:val="002F046D"/>
    <w:rsid w:val="002F0EF5"/>
    <w:rsid w:val="002F38E1"/>
    <w:rsid w:val="002F5D4E"/>
    <w:rsid w:val="00301764"/>
    <w:rsid w:val="00306366"/>
    <w:rsid w:val="00310CE6"/>
    <w:rsid w:val="0032191E"/>
    <w:rsid w:val="003229D8"/>
    <w:rsid w:val="00325C75"/>
    <w:rsid w:val="003261AE"/>
    <w:rsid w:val="00327CCA"/>
    <w:rsid w:val="0033052E"/>
    <w:rsid w:val="0033084E"/>
    <w:rsid w:val="00332680"/>
    <w:rsid w:val="00336C97"/>
    <w:rsid w:val="00336ED6"/>
    <w:rsid w:val="0033747A"/>
    <w:rsid w:val="00337F88"/>
    <w:rsid w:val="00337FA7"/>
    <w:rsid w:val="00342432"/>
    <w:rsid w:val="0034443B"/>
    <w:rsid w:val="00344A77"/>
    <w:rsid w:val="0035223F"/>
    <w:rsid w:val="00352D4B"/>
    <w:rsid w:val="00353405"/>
    <w:rsid w:val="00354DFB"/>
    <w:rsid w:val="003555CE"/>
    <w:rsid w:val="0035638C"/>
    <w:rsid w:val="003563C0"/>
    <w:rsid w:val="00363362"/>
    <w:rsid w:val="00363DAC"/>
    <w:rsid w:val="00364E63"/>
    <w:rsid w:val="0037057B"/>
    <w:rsid w:val="00374CF5"/>
    <w:rsid w:val="00375115"/>
    <w:rsid w:val="003764F2"/>
    <w:rsid w:val="0038257F"/>
    <w:rsid w:val="00387A54"/>
    <w:rsid w:val="00390988"/>
    <w:rsid w:val="003947EA"/>
    <w:rsid w:val="0039579B"/>
    <w:rsid w:val="003A2A8F"/>
    <w:rsid w:val="003A46BB"/>
    <w:rsid w:val="003A4EC7"/>
    <w:rsid w:val="003A4FBD"/>
    <w:rsid w:val="003A6DFF"/>
    <w:rsid w:val="003A7295"/>
    <w:rsid w:val="003A734F"/>
    <w:rsid w:val="003B0AEE"/>
    <w:rsid w:val="003B0DFC"/>
    <w:rsid w:val="003B139C"/>
    <w:rsid w:val="003B1F60"/>
    <w:rsid w:val="003B3F01"/>
    <w:rsid w:val="003B5319"/>
    <w:rsid w:val="003B6117"/>
    <w:rsid w:val="003C088B"/>
    <w:rsid w:val="003C1501"/>
    <w:rsid w:val="003C2CC4"/>
    <w:rsid w:val="003C3481"/>
    <w:rsid w:val="003C4210"/>
    <w:rsid w:val="003C797B"/>
    <w:rsid w:val="003C7E5E"/>
    <w:rsid w:val="003D111F"/>
    <w:rsid w:val="003D4686"/>
    <w:rsid w:val="003D4B23"/>
    <w:rsid w:val="003D4C43"/>
    <w:rsid w:val="003D4D50"/>
    <w:rsid w:val="003D6794"/>
    <w:rsid w:val="003D770D"/>
    <w:rsid w:val="003E0CD5"/>
    <w:rsid w:val="003E278A"/>
    <w:rsid w:val="003E2B1E"/>
    <w:rsid w:val="003E31E4"/>
    <w:rsid w:val="003E356E"/>
    <w:rsid w:val="003E638D"/>
    <w:rsid w:val="003E685A"/>
    <w:rsid w:val="003E6C6E"/>
    <w:rsid w:val="003F4CFA"/>
    <w:rsid w:val="00402956"/>
    <w:rsid w:val="00407280"/>
    <w:rsid w:val="00407409"/>
    <w:rsid w:val="00411350"/>
    <w:rsid w:val="004120AB"/>
    <w:rsid w:val="00413520"/>
    <w:rsid w:val="00413AAB"/>
    <w:rsid w:val="004143C0"/>
    <w:rsid w:val="0041661B"/>
    <w:rsid w:val="004200B2"/>
    <w:rsid w:val="00420113"/>
    <w:rsid w:val="00420629"/>
    <w:rsid w:val="00422A28"/>
    <w:rsid w:val="00426F5C"/>
    <w:rsid w:val="00431388"/>
    <w:rsid w:val="004325CB"/>
    <w:rsid w:val="004329A5"/>
    <w:rsid w:val="0043461F"/>
    <w:rsid w:val="00435088"/>
    <w:rsid w:val="00437899"/>
    <w:rsid w:val="00440A07"/>
    <w:rsid w:val="00442E45"/>
    <w:rsid w:val="004435B0"/>
    <w:rsid w:val="0044424D"/>
    <w:rsid w:val="00444C39"/>
    <w:rsid w:val="00444FB7"/>
    <w:rsid w:val="00446682"/>
    <w:rsid w:val="004468F3"/>
    <w:rsid w:val="004479AA"/>
    <w:rsid w:val="00451CAD"/>
    <w:rsid w:val="004559C9"/>
    <w:rsid w:val="00456C32"/>
    <w:rsid w:val="00461131"/>
    <w:rsid w:val="00461D11"/>
    <w:rsid w:val="00462880"/>
    <w:rsid w:val="0046289B"/>
    <w:rsid w:val="00466847"/>
    <w:rsid w:val="00470976"/>
    <w:rsid w:val="0047256B"/>
    <w:rsid w:val="004734B9"/>
    <w:rsid w:val="00473594"/>
    <w:rsid w:val="004757BE"/>
    <w:rsid w:val="00476F24"/>
    <w:rsid w:val="00477B71"/>
    <w:rsid w:val="004853D3"/>
    <w:rsid w:val="00492C3F"/>
    <w:rsid w:val="004A077E"/>
    <w:rsid w:val="004A2531"/>
    <w:rsid w:val="004A4A2A"/>
    <w:rsid w:val="004A6844"/>
    <w:rsid w:val="004B1C28"/>
    <w:rsid w:val="004B22CA"/>
    <w:rsid w:val="004B5CA6"/>
    <w:rsid w:val="004C06C3"/>
    <w:rsid w:val="004C55B0"/>
    <w:rsid w:val="004C5FBE"/>
    <w:rsid w:val="004C6A08"/>
    <w:rsid w:val="004D08C4"/>
    <w:rsid w:val="004D2BC0"/>
    <w:rsid w:val="004D68ED"/>
    <w:rsid w:val="004D6E75"/>
    <w:rsid w:val="004D7EAF"/>
    <w:rsid w:val="004E3639"/>
    <w:rsid w:val="004E5409"/>
    <w:rsid w:val="004E703C"/>
    <w:rsid w:val="004F00A4"/>
    <w:rsid w:val="004F17BE"/>
    <w:rsid w:val="004F42F9"/>
    <w:rsid w:val="004F5C4A"/>
    <w:rsid w:val="004F6BA0"/>
    <w:rsid w:val="00503BEA"/>
    <w:rsid w:val="00504A39"/>
    <w:rsid w:val="0050735D"/>
    <w:rsid w:val="00507BE5"/>
    <w:rsid w:val="00511975"/>
    <w:rsid w:val="00512671"/>
    <w:rsid w:val="005136C5"/>
    <w:rsid w:val="005146E4"/>
    <w:rsid w:val="00515D36"/>
    <w:rsid w:val="00522C82"/>
    <w:rsid w:val="005231C4"/>
    <w:rsid w:val="0052434A"/>
    <w:rsid w:val="00524B51"/>
    <w:rsid w:val="005321AB"/>
    <w:rsid w:val="00533616"/>
    <w:rsid w:val="005344D5"/>
    <w:rsid w:val="0053489D"/>
    <w:rsid w:val="00535ABA"/>
    <w:rsid w:val="0053612C"/>
    <w:rsid w:val="0053768B"/>
    <w:rsid w:val="00537719"/>
    <w:rsid w:val="005404D4"/>
    <w:rsid w:val="00541606"/>
    <w:rsid w:val="005420F2"/>
    <w:rsid w:val="0054285C"/>
    <w:rsid w:val="00550072"/>
    <w:rsid w:val="005514E0"/>
    <w:rsid w:val="005557B3"/>
    <w:rsid w:val="00555FB6"/>
    <w:rsid w:val="00556E99"/>
    <w:rsid w:val="005623EF"/>
    <w:rsid w:val="005628BB"/>
    <w:rsid w:val="00563ED0"/>
    <w:rsid w:val="0057047B"/>
    <w:rsid w:val="00573DDD"/>
    <w:rsid w:val="005814FF"/>
    <w:rsid w:val="00584173"/>
    <w:rsid w:val="00595520"/>
    <w:rsid w:val="00597C30"/>
    <w:rsid w:val="00597F4C"/>
    <w:rsid w:val="005A3AB2"/>
    <w:rsid w:val="005A44B9"/>
    <w:rsid w:val="005A571B"/>
    <w:rsid w:val="005A6AC6"/>
    <w:rsid w:val="005B0653"/>
    <w:rsid w:val="005B0BF7"/>
    <w:rsid w:val="005B1462"/>
    <w:rsid w:val="005B1703"/>
    <w:rsid w:val="005B1BA0"/>
    <w:rsid w:val="005B3DB3"/>
    <w:rsid w:val="005B4F4E"/>
    <w:rsid w:val="005B53A2"/>
    <w:rsid w:val="005B5C7B"/>
    <w:rsid w:val="005B61C2"/>
    <w:rsid w:val="005C117A"/>
    <w:rsid w:val="005C2B05"/>
    <w:rsid w:val="005C47F3"/>
    <w:rsid w:val="005C5130"/>
    <w:rsid w:val="005C5EF5"/>
    <w:rsid w:val="005C7A68"/>
    <w:rsid w:val="005D15CA"/>
    <w:rsid w:val="005D36B6"/>
    <w:rsid w:val="005D6A15"/>
    <w:rsid w:val="005D7B8B"/>
    <w:rsid w:val="005E0875"/>
    <w:rsid w:val="005E2A0B"/>
    <w:rsid w:val="005E4BBF"/>
    <w:rsid w:val="005E64BB"/>
    <w:rsid w:val="005E66D8"/>
    <w:rsid w:val="005E6AEB"/>
    <w:rsid w:val="005F2E45"/>
    <w:rsid w:val="005F3066"/>
    <w:rsid w:val="005F3E61"/>
    <w:rsid w:val="005F6D5E"/>
    <w:rsid w:val="006011AC"/>
    <w:rsid w:val="00604DDD"/>
    <w:rsid w:val="00607DDE"/>
    <w:rsid w:val="00610537"/>
    <w:rsid w:val="006115CC"/>
    <w:rsid w:val="00611FC4"/>
    <w:rsid w:val="006176FB"/>
    <w:rsid w:val="0062215A"/>
    <w:rsid w:val="00622DC9"/>
    <w:rsid w:val="00623116"/>
    <w:rsid w:val="00624AE0"/>
    <w:rsid w:val="0062630D"/>
    <w:rsid w:val="00626310"/>
    <w:rsid w:val="00626A7B"/>
    <w:rsid w:val="006277EC"/>
    <w:rsid w:val="00630601"/>
    <w:rsid w:val="00630FCB"/>
    <w:rsid w:val="006315BF"/>
    <w:rsid w:val="00631B31"/>
    <w:rsid w:val="00632710"/>
    <w:rsid w:val="00632E9F"/>
    <w:rsid w:val="0063710C"/>
    <w:rsid w:val="006409AD"/>
    <w:rsid w:val="00640B26"/>
    <w:rsid w:val="00641646"/>
    <w:rsid w:val="006422D8"/>
    <w:rsid w:val="00642E34"/>
    <w:rsid w:val="006446FC"/>
    <w:rsid w:val="006455D8"/>
    <w:rsid w:val="00651E2F"/>
    <w:rsid w:val="00654F90"/>
    <w:rsid w:val="00661EFA"/>
    <w:rsid w:val="00663A82"/>
    <w:rsid w:val="00663F18"/>
    <w:rsid w:val="006649C3"/>
    <w:rsid w:val="00664AD0"/>
    <w:rsid w:val="00673193"/>
    <w:rsid w:val="0067366B"/>
    <w:rsid w:val="00675051"/>
    <w:rsid w:val="00675D1B"/>
    <w:rsid w:val="00676479"/>
    <w:rsid w:val="006770B2"/>
    <w:rsid w:val="0068048D"/>
    <w:rsid w:val="006834D6"/>
    <w:rsid w:val="00683C1B"/>
    <w:rsid w:val="006842D6"/>
    <w:rsid w:val="006846C1"/>
    <w:rsid w:val="00684CC5"/>
    <w:rsid w:val="0069147E"/>
    <w:rsid w:val="006914CE"/>
    <w:rsid w:val="00691F73"/>
    <w:rsid w:val="006929C3"/>
    <w:rsid w:val="006940E1"/>
    <w:rsid w:val="00694F3A"/>
    <w:rsid w:val="006A1FF7"/>
    <w:rsid w:val="006A3C72"/>
    <w:rsid w:val="006A4189"/>
    <w:rsid w:val="006A7392"/>
    <w:rsid w:val="006B03A1"/>
    <w:rsid w:val="006B4F0F"/>
    <w:rsid w:val="006B5BFE"/>
    <w:rsid w:val="006B67D9"/>
    <w:rsid w:val="006B73EA"/>
    <w:rsid w:val="006B77BD"/>
    <w:rsid w:val="006C06AB"/>
    <w:rsid w:val="006C2B89"/>
    <w:rsid w:val="006C45F4"/>
    <w:rsid w:val="006C548C"/>
    <w:rsid w:val="006C5535"/>
    <w:rsid w:val="006C6B3B"/>
    <w:rsid w:val="006D0090"/>
    <w:rsid w:val="006D0589"/>
    <w:rsid w:val="006D17FE"/>
    <w:rsid w:val="006D2033"/>
    <w:rsid w:val="006D32D3"/>
    <w:rsid w:val="006D381B"/>
    <w:rsid w:val="006D40BD"/>
    <w:rsid w:val="006D43B2"/>
    <w:rsid w:val="006D43DF"/>
    <w:rsid w:val="006D5034"/>
    <w:rsid w:val="006D5807"/>
    <w:rsid w:val="006D7CB8"/>
    <w:rsid w:val="006E151B"/>
    <w:rsid w:val="006E282B"/>
    <w:rsid w:val="006E474C"/>
    <w:rsid w:val="006E564B"/>
    <w:rsid w:val="006E7154"/>
    <w:rsid w:val="006F07D3"/>
    <w:rsid w:val="006F0B6C"/>
    <w:rsid w:val="006F1CA2"/>
    <w:rsid w:val="006F2604"/>
    <w:rsid w:val="006F3F98"/>
    <w:rsid w:val="006F6282"/>
    <w:rsid w:val="007003CD"/>
    <w:rsid w:val="007008E1"/>
    <w:rsid w:val="00704391"/>
    <w:rsid w:val="00705D80"/>
    <w:rsid w:val="00705DFB"/>
    <w:rsid w:val="0070701E"/>
    <w:rsid w:val="00707851"/>
    <w:rsid w:val="00710C9C"/>
    <w:rsid w:val="00711B2E"/>
    <w:rsid w:val="00713F71"/>
    <w:rsid w:val="00716420"/>
    <w:rsid w:val="00720FDD"/>
    <w:rsid w:val="007237F0"/>
    <w:rsid w:val="0072632A"/>
    <w:rsid w:val="00727002"/>
    <w:rsid w:val="00727499"/>
    <w:rsid w:val="00727EC5"/>
    <w:rsid w:val="007358E8"/>
    <w:rsid w:val="007360AF"/>
    <w:rsid w:val="007361DD"/>
    <w:rsid w:val="00736ECE"/>
    <w:rsid w:val="007419F6"/>
    <w:rsid w:val="007436E4"/>
    <w:rsid w:val="0074533B"/>
    <w:rsid w:val="007453FA"/>
    <w:rsid w:val="007507BA"/>
    <w:rsid w:val="007510C8"/>
    <w:rsid w:val="0075228C"/>
    <w:rsid w:val="007542F1"/>
    <w:rsid w:val="00754643"/>
    <w:rsid w:val="007549DD"/>
    <w:rsid w:val="00760088"/>
    <w:rsid w:val="0076057D"/>
    <w:rsid w:val="00763A5C"/>
    <w:rsid w:val="00763B0B"/>
    <w:rsid w:val="0076412E"/>
    <w:rsid w:val="007643BC"/>
    <w:rsid w:val="00767A61"/>
    <w:rsid w:val="007713E4"/>
    <w:rsid w:val="00774AB6"/>
    <w:rsid w:val="00774EC7"/>
    <w:rsid w:val="00782189"/>
    <w:rsid w:val="007831C5"/>
    <w:rsid w:val="00785D27"/>
    <w:rsid w:val="00786129"/>
    <w:rsid w:val="007865E0"/>
    <w:rsid w:val="007867B5"/>
    <w:rsid w:val="007874A7"/>
    <w:rsid w:val="0079040F"/>
    <w:rsid w:val="00792B8E"/>
    <w:rsid w:val="007959FE"/>
    <w:rsid w:val="00795D7E"/>
    <w:rsid w:val="007968AC"/>
    <w:rsid w:val="007A0CF1"/>
    <w:rsid w:val="007A1925"/>
    <w:rsid w:val="007A1FF3"/>
    <w:rsid w:val="007A218A"/>
    <w:rsid w:val="007A7DAA"/>
    <w:rsid w:val="007B00BC"/>
    <w:rsid w:val="007B14CA"/>
    <w:rsid w:val="007B235D"/>
    <w:rsid w:val="007B47D9"/>
    <w:rsid w:val="007B54E1"/>
    <w:rsid w:val="007B56C2"/>
    <w:rsid w:val="007B6850"/>
    <w:rsid w:val="007B6BA5"/>
    <w:rsid w:val="007B77C5"/>
    <w:rsid w:val="007B7A80"/>
    <w:rsid w:val="007C0543"/>
    <w:rsid w:val="007C301B"/>
    <w:rsid w:val="007C3390"/>
    <w:rsid w:val="007C42D8"/>
    <w:rsid w:val="007C4F4B"/>
    <w:rsid w:val="007C73C7"/>
    <w:rsid w:val="007D20AE"/>
    <w:rsid w:val="007D392A"/>
    <w:rsid w:val="007D657C"/>
    <w:rsid w:val="007D65ED"/>
    <w:rsid w:val="007D7362"/>
    <w:rsid w:val="007D7F3C"/>
    <w:rsid w:val="007E1247"/>
    <w:rsid w:val="007E7A5B"/>
    <w:rsid w:val="007F08D6"/>
    <w:rsid w:val="007F2D6B"/>
    <w:rsid w:val="007F5CE2"/>
    <w:rsid w:val="007F6391"/>
    <w:rsid w:val="007F65AC"/>
    <w:rsid w:val="007F6611"/>
    <w:rsid w:val="007F6758"/>
    <w:rsid w:val="007F7F7D"/>
    <w:rsid w:val="0080161D"/>
    <w:rsid w:val="0080200E"/>
    <w:rsid w:val="008037D1"/>
    <w:rsid w:val="00804F27"/>
    <w:rsid w:val="00806F18"/>
    <w:rsid w:val="00807DDA"/>
    <w:rsid w:val="0081048F"/>
    <w:rsid w:val="00810BAC"/>
    <w:rsid w:val="00815E20"/>
    <w:rsid w:val="0081643D"/>
    <w:rsid w:val="008175E9"/>
    <w:rsid w:val="008242D7"/>
    <w:rsid w:val="0082577B"/>
    <w:rsid w:val="00827F2A"/>
    <w:rsid w:val="00834759"/>
    <w:rsid w:val="00834F8B"/>
    <w:rsid w:val="00836849"/>
    <w:rsid w:val="00840A82"/>
    <w:rsid w:val="00840C35"/>
    <w:rsid w:val="00841055"/>
    <w:rsid w:val="00842E35"/>
    <w:rsid w:val="00844005"/>
    <w:rsid w:val="00846CC5"/>
    <w:rsid w:val="00852CD0"/>
    <w:rsid w:val="008546A9"/>
    <w:rsid w:val="00856F0B"/>
    <w:rsid w:val="00860271"/>
    <w:rsid w:val="008603DB"/>
    <w:rsid w:val="008615DD"/>
    <w:rsid w:val="00861F3D"/>
    <w:rsid w:val="00866893"/>
    <w:rsid w:val="00866F02"/>
    <w:rsid w:val="008675FD"/>
    <w:rsid w:val="00867D18"/>
    <w:rsid w:val="0087107E"/>
    <w:rsid w:val="00871AFD"/>
    <w:rsid w:val="00871F9A"/>
    <w:rsid w:val="00871FD5"/>
    <w:rsid w:val="00872FA7"/>
    <w:rsid w:val="00874D77"/>
    <w:rsid w:val="00876B96"/>
    <w:rsid w:val="0087747F"/>
    <w:rsid w:val="008776C9"/>
    <w:rsid w:val="008806C6"/>
    <w:rsid w:val="0088101E"/>
    <w:rsid w:val="0088172E"/>
    <w:rsid w:val="00881EFA"/>
    <w:rsid w:val="008850C5"/>
    <w:rsid w:val="008879CB"/>
    <w:rsid w:val="008932DE"/>
    <w:rsid w:val="00895D8A"/>
    <w:rsid w:val="008966B6"/>
    <w:rsid w:val="008979B1"/>
    <w:rsid w:val="008A012E"/>
    <w:rsid w:val="008A2012"/>
    <w:rsid w:val="008A3587"/>
    <w:rsid w:val="008A38F0"/>
    <w:rsid w:val="008A3AB9"/>
    <w:rsid w:val="008A3FAB"/>
    <w:rsid w:val="008A5518"/>
    <w:rsid w:val="008A6B25"/>
    <w:rsid w:val="008A6C4F"/>
    <w:rsid w:val="008B3325"/>
    <w:rsid w:val="008B3629"/>
    <w:rsid w:val="008B389E"/>
    <w:rsid w:val="008C0EA3"/>
    <w:rsid w:val="008C2BBF"/>
    <w:rsid w:val="008C5B00"/>
    <w:rsid w:val="008C6033"/>
    <w:rsid w:val="008C6424"/>
    <w:rsid w:val="008D045E"/>
    <w:rsid w:val="008D3F25"/>
    <w:rsid w:val="008D4D82"/>
    <w:rsid w:val="008D7B3A"/>
    <w:rsid w:val="008D7CC1"/>
    <w:rsid w:val="008E0E46"/>
    <w:rsid w:val="008E17C0"/>
    <w:rsid w:val="008E18E5"/>
    <w:rsid w:val="008E1DC5"/>
    <w:rsid w:val="008E2065"/>
    <w:rsid w:val="008E5035"/>
    <w:rsid w:val="008E5216"/>
    <w:rsid w:val="008E7116"/>
    <w:rsid w:val="008E7739"/>
    <w:rsid w:val="008F057A"/>
    <w:rsid w:val="008F143B"/>
    <w:rsid w:val="008F269B"/>
    <w:rsid w:val="008F347B"/>
    <w:rsid w:val="008F3775"/>
    <w:rsid w:val="008F3882"/>
    <w:rsid w:val="008F4B7C"/>
    <w:rsid w:val="008F52EE"/>
    <w:rsid w:val="008F669B"/>
    <w:rsid w:val="009018A9"/>
    <w:rsid w:val="009077AB"/>
    <w:rsid w:val="0090785E"/>
    <w:rsid w:val="0091454C"/>
    <w:rsid w:val="00914DE1"/>
    <w:rsid w:val="0091519F"/>
    <w:rsid w:val="00915AB3"/>
    <w:rsid w:val="00917CC7"/>
    <w:rsid w:val="0092184B"/>
    <w:rsid w:val="009226BD"/>
    <w:rsid w:val="00926B76"/>
    <w:rsid w:val="00926E47"/>
    <w:rsid w:val="00930D89"/>
    <w:rsid w:val="0093238D"/>
    <w:rsid w:val="00934B94"/>
    <w:rsid w:val="0093623B"/>
    <w:rsid w:val="00936B32"/>
    <w:rsid w:val="009373CB"/>
    <w:rsid w:val="00941121"/>
    <w:rsid w:val="00943E72"/>
    <w:rsid w:val="00946867"/>
    <w:rsid w:val="00947162"/>
    <w:rsid w:val="00947336"/>
    <w:rsid w:val="00951B79"/>
    <w:rsid w:val="00952878"/>
    <w:rsid w:val="00956301"/>
    <w:rsid w:val="009610D0"/>
    <w:rsid w:val="009631FD"/>
    <w:rsid w:val="0096375C"/>
    <w:rsid w:val="0096493A"/>
    <w:rsid w:val="009662E6"/>
    <w:rsid w:val="0097095E"/>
    <w:rsid w:val="00970E03"/>
    <w:rsid w:val="00981EBC"/>
    <w:rsid w:val="00981ECE"/>
    <w:rsid w:val="00982567"/>
    <w:rsid w:val="00984A65"/>
    <w:rsid w:val="00985896"/>
    <w:rsid w:val="0098592B"/>
    <w:rsid w:val="00985FC4"/>
    <w:rsid w:val="009902B8"/>
    <w:rsid w:val="00990766"/>
    <w:rsid w:val="00991261"/>
    <w:rsid w:val="00991A7D"/>
    <w:rsid w:val="00992B77"/>
    <w:rsid w:val="00992CA0"/>
    <w:rsid w:val="00994BA0"/>
    <w:rsid w:val="00995040"/>
    <w:rsid w:val="009964C4"/>
    <w:rsid w:val="00996A03"/>
    <w:rsid w:val="00996F5D"/>
    <w:rsid w:val="009A1E49"/>
    <w:rsid w:val="009A1F79"/>
    <w:rsid w:val="009A5BCA"/>
    <w:rsid w:val="009A60FC"/>
    <w:rsid w:val="009A68FA"/>
    <w:rsid w:val="009A7B81"/>
    <w:rsid w:val="009B5092"/>
    <w:rsid w:val="009C03BE"/>
    <w:rsid w:val="009C376B"/>
    <w:rsid w:val="009C68CA"/>
    <w:rsid w:val="009D01C0"/>
    <w:rsid w:val="009D1C8D"/>
    <w:rsid w:val="009D3677"/>
    <w:rsid w:val="009D3BDD"/>
    <w:rsid w:val="009D5AD3"/>
    <w:rsid w:val="009D5DDC"/>
    <w:rsid w:val="009D6434"/>
    <w:rsid w:val="009D6A08"/>
    <w:rsid w:val="009E0A16"/>
    <w:rsid w:val="009E1FE5"/>
    <w:rsid w:val="009E56A0"/>
    <w:rsid w:val="009E5A81"/>
    <w:rsid w:val="009E612F"/>
    <w:rsid w:val="009E6CB7"/>
    <w:rsid w:val="009E732C"/>
    <w:rsid w:val="009E7970"/>
    <w:rsid w:val="009F0CE9"/>
    <w:rsid w:val="009F2EAC"/>
    <w:rsid w:val="009F3903"/>
    <w:rsid w:val="009F57E3"/>
    <w:rsid w:val="009F79F0"/>
    <w:rsid w:val="00A00B78"/>
    <w:rsid w:val="00A02D37"/>
    <w:rsid w:val="00A04E45"/>
    <w:rsid w:val="00A10F4F"/>
    <w:rsid w:val="00A11067"/>
    <w:rsid w:val="00A1269F"/>
    <w:rsid w:val="00A12A24"/>
    <w:rsid w:val="00A15946"/>
    <w:rsid w:val="00A159E7"/>
    <w:rsid w:val="00A15CB0"/>
    <w:rsid w:val="00A1704A"/>
    <w:rsid w:val="00A2431B"/>
    <w:rsid w:val="00A25A59"/>
    <w:rsid w:val="00A31B78"/>
    <w:rsid w:val="00A31F22"/>
    <w:rsid w:val="00A320D1"/>
    <w:rsid w:val="00A355AA"/>
    <w:rsid w:val="00A41682"/>
    <w:rsid w:val="00A425EB"/>
    <w:rsid w:val="00A4312D"/>
    <w:rsid w:val="00A4345C"/>
    <w:rsid w:val="00A51183"/>
    <w:rsid w:val="00A52B7F"/>
    <w:rsid w:val="00A53919"/>
    <w:rsid w:val="00A53B5A"/>
    <w:rsid w:val="00A600E0"/>
    <w:rsid w:val="00A62EA2"/>
    <w:rsid w:val="00A62F0D"/>
    <w:rsid w:val="00A65675"/>
    <w:rsid w:val="00A673C7"/>
    <w:rsid w:val="00A72F22"/>
    <w:rsid w:val="00A733BC"/>
    <w:rsid w:val="00A738CD"/>
    <w:rsid w:val="00A748A6"/>
    <w:rsid w:val="00A75513"/>
    <w:rsid w:val="00A76057"/>
    <w:rsid w:val="00A76A69"/>
    <w:rsid w:val="00A77245"/>
    <w:rsid w:val="00A80123"/>
    <w:rsid w:val="00A8471C"/>
    <w:rsid w:val="00A879A4"/>
    <w:rsid w:val="00A91C66"/>
    <w:rsid w:val="00A925AE"/>
    <w:rsid w:val="00A96608"/>
    <w:rsid w:val="00A977AA"/>
    <w:rsid w:val="00AA0FF8"/>
    <w:rsid w:val="00AA1F1E"/>
    <w:rsid w:val="00AA487D"/>
    <w:rsid w:val="00AA6008"/>
    <w:rsid w:val="00AB0C53"/>
    <w:rsid w:val="00AB1554"/>
    <w:rsid w:val="00AB1F4A"/>
    <w:rsid w:val="00AB3749"/>
    <w:rsid w:val="00AB4B54"/>
    <w:rsid w:val="00AB501F"/>
    <w:rsid w:val="00AC00F5"/>
    <w:rsid w:val="00AC0F2C"/>
    <w:rsid w:val="00AC3166"/>
    <w:rsid w:val="00AC4823"/>
    <w:rsid w:val="00AC502A"/>
    <w:rsid w:val="00AC595F"/>
    <w:rsid w:val="00AC59C1"/>
    <w:rsid w:val="00AC5BFD"/>
    <w:rsid w:val="00AC7589"/>
    <w:rsid w:val="00AC79A8"/>
    <w:rsid w:val="00AD0D41"/>
    <w:rsid w:val="00AD4C9B"/>
    <w:rsid w:val="00AD5944"/>
    <w:rsid w:val="00AD68FC"/>
    <w:rsid w:val="00AD7D87"/>
    <w:rsid w:val="00AE0441"/>
    <w:rsid w:val="00AE06FD"/>
    <w:rsid w:val="00AE2DC7"/>
    <w:rsid w:val="00AE31B9"/>
    <w:rsid w:val="00AE56E5"/>
    <w:rsid w:val="00AE5994"/>
    <w:rsid w:val="00AF1509"/>
    <w:rsid w:val="00AF16B3"/>
    <w:rsid w:val="00AF4B34"/>
    <w:rsid w:val="00AF58C1"/>
    <w:rsid w:val="00B00C37"/>
    <w:rsid w:val="00B00CC7"/>
    <w:rsid w:val="00B04A3F"/>
    <w:rsid w:val="00B05C46"/>
    <w:rsid w:val="00B06643"/>
    <w:rsid w:val="00B10013"/>
    <w:rsid w:val="00B10C2C"/>
    <w:rsid w:val="00B119B2"/>
    <w:rsid w:val="00B11B01"/>
    <w:rsid w:val="00B11C3A"/>
    <w:rsid w:val="00B11C8C"/>
    <w:rsid w:val="00B12B1C"/>
    <w:rsid w:val="00B1355C"/>
    <w:rsid w:val="00B14C28"/>
    <w:rsid w:val="00B15055"/>
    <w:rsid w:val="00B2102E"/>
    <w:rsid w:val="00B22097"/>
    <w:rsid w:val="00B22C5C"/>
    <w:rsid w:val="00B24591"/>
    <w:rsid w:val="00B24B74"/>
    <w:rsid w:val="00B27B3C"/>
    <w:rsid w:val="00B30179"/>
    <w:rsid w:val="00B302A5"/>
    <w:rsid w:val="00B339F7"/>
    <w:rsid w:val="00B34067"/>
    <w:rsid w:val="00B37B15"/>
    <w:rsid w:val="00B42563"/>
    <w:rsid w:val="00B44627"/>
    <w:rsid w:val="00B45C02"/>
    <w:rsid w:val="00B46A08"/>
    <w:rsid w:val="00B50BAF"/>
    <w:rsid w:val="00B52BDB"/>
    <w:rsid w:val="00B61037"/>
    <w:rsid w:val="00B61241"/>
    <w:rsid w:val="00B67440"/>
    <w:rsid w:val="00B6782B"/>
    <w:rsid w:val="00B72A1E"/>
    <w:rsid w:val="00B73765"/>
    <w:rsid w:val="00B81E12"/>
    <w:rsid w:val="00B84199"/>
    <w:rsid w:val="00B845D5"/>
    <w:rsid w:val="00B86462"/>
    <w:rsid w:val="00B92263"/>
    <w:rsid w:val="00B92D04"/>
    <w:rsid w:val="00B9500F"/>
    <w:rsid w:val="00B97F75"/>
    <w:rsid w:val="00BA26A2"/>
    <w:rsid w:val="00BA2DE6"/>
    <w:rsid w:val="00BA2FF6"/>
    <w:rsid w:val="00BA339B"/>
    <w:rsid w:val="00BA3E1F"/>
    <w:rsid w:val="00BB3B51"/>
    <w:rsid w:val="00BB3F83"/>
    <w:rsid w:val="00BC1E7E"/>
    <w:rsid w:val="00BC2A73"/>
    <w:rsid w:val="00BC74E9"/>
    <w:rsid w:val="00BD39AA"/>
    <w:rsid w:val="00BD4507"/>
    <w:rsid w:val="00BD66D4"/>
    <w:rsid w:val="00BD750F"/>
    <w:rsid w:val="00BE35A4"/>
    <w:rsid w:val="00BE36A9"/>
    <w:rsid w:val="00BE3A5E"/>
    <w:rsid w:val="00BE618E"/>
    <w:rsid w:val="00BE7BEC"/>
    <w:rsid w:val="00BF0A5A"/>
    <w:rsid w:val="00BF0D45"/>
    <w:rsid w:val="00BF0E63"/>
    <w:rsid w:val="00BF12A3"/>
    <w:rsid w:val="00BF16D7"/>
    <w:rsid w:val="00BF18F6"/>
    <w:rsid w:val="00BF2351"/>
    <w:rsid w:val="00BF2373"/>
    <w:rsid w:val="00BF2445"/>
    <w:rsid w:val="00BF3016"/>
    <w:rsid w:val="00BF3945"/>
    <w:rsid w:val="00BF71F1"/>
    <w:rsid w:val="00C01CD2"/>
    <w:rsid w:val="00C044E2"/>
    <w:rsid w:val="00C048CB"/>
    <w:rsid w:val="00C062B8"/>
    <w:rsid w:val="00C066F3"/>
    <w:rsid w:val="00C110ED"/>
    <w:rsid w:val="00C1192E"/>
    <w:rsid w:val="00C1249C"/>
    <w:rsid w:val="00C13A21"/>
    <w:rsid w:val="00C15BD7"/>
    <w:rsid w:val="00C15D24"/>
    <w:rsid w:val="00C160AE"/>
    <w:rsid w:val="00C20384"/>
    <w:rsid w:val="00C21FAE"/>
    <w:rsid w:val="00C22440"/>
    <w:rsid w:val="00C225C7"/>
    <w:rsid w:val="00C22C7E"/>
    <w:rsid w:val="00C2300C"/>
    <w:rsid w:val="00C24688"/>
    <w:rsid w:val="00C24B57"/>
    <w:rsid w:val="00C26E3C"/>
    <w:rsid w:val="00C36E78"/>
    <w:rsid w:val="00C401BD"/>
    <w:rsid w:val="00C4256F"/>
    <w:rsid w:val="00C42EA1"/>
    <w:rsid w:val="00C4632D"/>
    <w:rsid w:val="00C463DD"/>
    <w:rsid w:val="00C55448"/>
    <w:rsid w:val="00C55C04"/>
    <w:rsid w:val="00C565E1"/>
    <w:rsid w:val="00C60BA5"/>
    <w:rsid w:val="00C64886"/>
    <w:rsid w:val="00C6497E"/>
    <w:rsid w:val="00C668EF"/>
    <w:rsid w:val="00C66A2A"/>
    <w:rsid w:val="00C66A90"/>
    <w:rsid w:val="00C66EF8"/>
    <w:rsid w:val="00C67305"/>
    <w:rsid w:val="00C676A2"/>
    <w:rsid w:val="00C67CCA"/>
    <w:rsid w:val="00C72AD2"/>
    <w:rsid w:val="00C733CC"/>
    <w:rsid w:val="00C745C3"/>
    <w:rsid w:val="00C74AA2"/>
    <w:rsid w:val="00C76913"/>
    <w:rsid w:val="00C76D13"/>
    <w:rsid w:val="00C852A0"/>
    <w:rsid w:val="00C8595D"/>
    <w:rsid w:val="00C865AD"/>
    <w:rsid w:val="00C86E11"/>
    <w:rsid w:val="00C97BB7"/>
    <w:rsid w:val="00CA24A4"/>
    <w:rsid w:val="00CA2B7B"/>
    <w:rsid w:val="00CA352C"/>
    <w:rsid w:val="00CA5ABD"/>
    <w:rsid w:val="00CA67C7"/>
    <w:rsid w:val="00CB0B78"/>
    <w:rsid w:val="00CB2098"/>
    <w:rsid w:val="00CB2CE4"/>
    <w:rsid w:val="00CB2DE6"/>
    <w:rsid w:val="00CB348D"/>
    <w:rsid w:val="00CB4EA7"/>
    <w:rsid w:val="00CB528F"/>
    <w:rsid w:val="00CB544B"/>
    <w:rsid w:val="00CB5F9F"/>
    <w:rsid w:val="00CB7174"/>
    <w:rsid w:val="00CC20B1"/>
    <w:rsid w:val="00CC3017"/>
    <w:rsid w:val="00CC43CB"/>
    <w:rsid w:val="00CC6B82"/>
    <w:rsid w:val="00CC7E58"/>
    <w:rsid w:val="00CD41BD"/>
    <w:rsid w:val="00CD46F5"/>
    <w:rsid w:val="00CD4FF5"/>
    <w:rsid w:val="00CD57B0"/>
    <w:rsid w:val="00CD6DD0"/>
    <w:rsid w:val="00CE1254"/>
    <w:rsid w:val="00CE1886"/>
    <w:rsid w:val="00CE1E24"/>
    <w:rsid w:val="00CE2AAD"/>
    <w:rsid w:val="00CE4A8F"/>
    <w:rsid w:val="00CF071D"/>
    <w:rsid w:val="00CF0AA0"/>
    <w:rsid w:val="00CF3E18"/>
    <w:rsid w:val="00CF44C5"/>
    <w:rsid w:val="00D0416F"/>
    <w:rsid w:val="00D05279"/>
    <w:rsid w:val="00D07A01"/>
    <w:rsid w:val="00D1040F"/>
    <w:rsid w:val="00D10619"/>
    <w:rsid w:val="00D11AD8"/>
    <w:rsid w:val="00D129D6"/>
    <w:rsid w:val="00D12F5E"/>
    <w:rsid w:val="00D14493"/>
    <w:rsid w:val="00D14A79"/>
    <w:rsid w:val="00D15B04"/>
    <w:rsid w:val="00D15BB9"/>
    <w:rsid w:val="00D2031B"/>
    <w:rsid w:val="00D207BD"/>
    <w:rsid w:val="00D23982"/>
    <w:rsid w:val="00D255F7"/>
    <w:rsid w:val="00D255FF"/>
    <w:rsid w:val="00D25FE2"/>
    <w:rsid w:val="00D26690"/>
    <w:rsid w:val="00D33F10"/>
    <w:rsid w:val="00D348C0"/>
    <w:rsid w:val="00D37DA9"/>
    <w:rsid w:val="00D406A7"/>
    <w:rsid w:val="00D42676"/>
    <w:rsid w:val="00D43252"/>
    <w:rsid w:val="00D43E80"/>
    <w:rsid w:val="00D44D86"/>
    <w:rsid w:val="00D44FE7"/>
    <w:rsid w:val="00D453C0"/>
    <w:rsid w:val="00D503C4"/>
    <w:rsid w:val="00D50B7D"/>
    <w:rsid w:val="00D50C22"/>
    <w:rsid w:val="00D52012"/>
    <w:rsid w:val="00D5284A"/>
    <w:rsid w:val="00D5444C"/>
    <w:rsid w:val="00D56DCB"/>
    <w:rsid w:val="00D60DC0"/>
    <w:rsid w:val="00D66D51"/>
    <w:rsid w:val="00D704E5"/>
    <w:rsid w:val="00D72727"/>
    <w:rsid w:val="00D72863"/>
    <w:rsid w:val="00D73744"/>
    <w:rsid w:val="00D754A4"/>
    <w:rsid w:val="00D75E00"/>
    <w:rsid w:val="00D76D0E"/>
    <w:rsid w:val="00D8052E"/>
    <w:rsid w:val="00D8248F"/>
    <w:rsid w:val="00D87703"/>
    <w:rsid w:val="00D9000B"/>
    <w:rsid w:val="00D91EAF"/>
    <w:rsid w:val="00D92975"/>
    <w:rsid w:val="00D978C6"/>
    <w:rsid w:val="00DA0956"/>
    <w:rsid w:val="00DA334F"/>
    <w:rsid w:val="00DA357F"/>
    <w:rsid w:val="00DA3E12"/>
    <w:rsid w:val="00DA4935"/>
    <w:rsid w:val="00DA5FA4"/>
    <w:rsid w:val="00DC0B57"/>
    <w:rsid w:val="00DC18AD"/>
    <w:rsid w:val="00DC1E87"/>
    <w:rsid w:val="00DC315B"/>
    <w:rsid w:val="00DC6E44"/>
    <w:rsid w:val="00DD2197"/>
    <w:rsid w:val="00DD2266"/>
    <w:rsid w:val="00DD279E"/>
    <w:rsid w:val="00DD36FC"/>
    <w:rsid w:val="00DD47BB"/>
    <w:rsid w:val="00DD5D89"/>
    <w:rsid w:val="00DE0C82"/>
    <w:rsid w:val="00DE4D13"/>
    <w:rsid w:val="00DE6B41"/>
    <w:rsid w:val="00DF0AB0"/>
    <w:rsid w:val="00DF436C"/>
    <w:rsid w:val="00DF4698"/>
    <w:rsid w:val="00DF5E8B"/>
    <w:rsid w:val="00DF7CAE"/>
    <w:rsid w:val="00E0578B"/>
    <w:rsid w:val="00E06920"/>
    <w:rsid w:val="00E06ADB"/>
    <w:rsid w:val="00E07B0B"/>
    <w:rsid w:val="00E14DF2"/>
    <w:rsid w:val="00E15070"/>
    <w:rsid w:val="00E20C1E"/>
    <w:rsid w:val="00E304B9"/>
    <w:rsid w:val="00E30AA5"/>
    <w:rsid w:val="00E34FDE"/>
    <w:rsid w:val="00E35EC0"/>
    <w:rsid w:val="00E37A43"/>
    <w:rsid w:val="00E40528"/>
    <w:rsid w:val="00E42335"/>
    <w:rsid w:val="00E423C0"/>
    <w:rsid w:val="00E4706D"/>
    <w:rsid w:val="00E52620"/>
    <w:rsid w:val="00E55022"/>
    <w:rsid w:val="00E56FC3"/>
    <w:rsid w:val="00E60121"/>
    <w:rsid w:val="00E603B6"/>
    <w:rsid w:val="00E603BA"/>
    <w:rsid w:val="00E6335F"/>
    <w:rsid w:val="00E63E09"/>
    <w:rsid w:val="00E6414C"/>
    <w:rsid w:val="00E6693B"/>
    <w:rsid w:val="00E7100D"/>
    <w:rsid w:val="00E7260F"/>
    <w:rsid w:val="00E727B6"/>
    <w:rsid w:val="00E766DB"/>
    <w:rsid w:val="00E831AF"/>
    <w:rsid w:val="00E85B3C"/>
    <w:rsid w:val="00E8702D"/>
    <w:rsid w:val="00E874A4"/>
    <w:rsid w:val="00E87BA0"/>
    <w:rsid w:val="00E90725"/>
    <w:rsid w:val="00E916A9"/>
    <w:rsid w:val="00E916DE"/>
    <w:rsid w:val="00E91D0C"/>
    <w:rsid w:val="00E925AD"/>
    <w:rsid w:val="00E96630"/>
    <w:rsid w:val="00EA1B34"/>
    <w:rsid w:val="00EA2ABB"/>
    <w:rsid w:val="00EA582A"/>
    <w:rsid w:val="00EA5EB2"/>
    <w:rsid w:val="00EA73EF"/>
    <w:rsid w:val="00EB04F1"/>
    <w:rsid w:val="00EB0950"/>
    <w:rsid w:val="00EB2555"/>
    <w:rsid w:val="00EB3A16"/>
    <w:rsid w:val="00EB3F4A"/>
    <w:rsid w:val="00EB4238"/>
    <w:rsid w:val="00EB48CA"/>
    <w:rsid w:val="00EB7267"/>
    <w:rsid w:val="00EC020D"/>
    <w:rsid w:val="00EC1CB5"/>
    <w:rsid w:val="00EC274D"/>
    <w:rsid w:val="00EC41C9"/>
    <w:rsid w:val="00EC4B3C"/>
    <w:rsid w:val="00EC4CF6"/>
    <w:rsid w:val="00EC7929"/>
    <w:rsid w:val="00ED18DC"/>
    <w:rsid w:val="00ED3A44"/>
    <w:rsid w:val="00ED4331"/>
    <w:rsid w:val="00ED48FE"/>
    <w:rsid w:val="00ED6201"/>
    <w:rsid w:val="00ED7A2A"/>
    <w:rsid w:val="00EE05BD"/>
    <w:rsid w:val="00EE0B03"/>
    <w:rsid w:val="00EE54B1"/>
    <w:rsid w:val="00EE65E4"/>
    <w:rsid w:val="00EF1D7F"/>
    <w:rsid w:val="00EF2177"/>
    <w:rsid w:val="00EF2D85"/>
    <w:rsid w:val="00EF4495"/>
    <w:rsid w:val="00EF5239"/>
    <w:rsid w:val="00EF5A96"/>
    <w:rsid w:val="00F0137E"/>
    <w:rsid w:val="00F031E0"/>
    <w:rsid w:val="00F043E7"/>
    <w:rsid w:val="00F0495C"/>
    <w:rsid w:val="00F0651B"/>
    <w:rsid w:val="00F06CAB"/>
    <w:rsid w:val="00F10DBC"/>
    <w:rsid w:val="00F13693"/>
    <w:rsid w:val="00F21786"/>
    <w:rsid w:val="00F238B5"/>
    <w:rsid w:val="00F26340"/>
    <w:rsid w:val="00F32C72"/>
    <w:rsid w:val="00F35488"/>
    <w:rsid w:val="00F3559B"/>
    <w:rsid w:val="00F3742B"/>
    <w:rsid w:val="00F37625"/>
    <w:rsid w:val="00F41FDB"/>
    <w:rsid w:val="00F42E4F"/>
    <w:rsid w:val="00F438BB"/>
    <w:rsid w:val="00F47ACD"/>
    <w:rsid w:val="00F50701"/>
    <w:rsid w:val="00F507EC"/>
    <w:rsid w:val="00F53DBE"/>
    <w:rsid w:val="00F54E43"/>
    <w:rsid w:val="00F55818"/>
    <w:rsid w:val="00F56449"/>
    <w:rsid w:val="00F56D63"/>
    <w:rsid w:val="00F575EE"/>
    <w:rsid w:val="00F609A9"/>
    <w:rsid w:val="00F62DBB"/>
    <w:rsid w:val="00F648B8"/>
    <w:rsid w:val="00F705F9"/>
    <w:rsid w:val="00F71558"/>
    <w:rsid w:val="00F74C2E"/>
    <w:rsid w:val="00F76815"/>
    <w:rsid w:val="00F77E28"/>
    <w:rsid w:val="00F8005F"/>
    <w:rsid w:val="00F80A4C"/>
    <w:rsid w:val="00F80C99"/>
    <w:rsid w:val="00F8297D"/>
    <w:rsid w:val="00F82C03"/>
    <w:rsid w:val="00F84DD5"/>
    <w:rsid w:val="00F852FE"/>
    <w:rsid w:val="00F867EC"/>
    <w:rsid w:val="00F86AE2"/>
    <w:rsid w:val="00F91B2B"/>
    <w:rsid w:val="00F91B2E"/>
    <w:rsid w:val="00F926FB"/>
    <w:rsid w:val="00F92E09"/>
    <w:rsid w:val="00F97CAE"/>
    <w:rsid w:val="00FA011A"/>
    <w:rsid w:val="00FA1769"/>
    <w:rsid w:val="00FA4367"/>
    <w:rsid w:val="00FA451B"/>
    <w:rsid w:val="00FA4720"/>
    <w:rsid w:val="00FA4840"/>
    <w:rsid w:val="00FA4921"/>
    <w:rsid w:val="00FA501B"/>
    <w:rsid w:val="00FA5B62"/>
    <w:rsid w:val="00FA75DD"/>
    <w:rsid w:val="00FA7BC8"/>
    <w:rsid w:val="00FA7C10"/>
    <w:rsid w:val="00FB109D"/>
    <w:rsid w:val="00FB33BE"/>
    <w:rsid w:val="00FB423C"/>
    <w:rsid w:val="00FB4CF5"/>
    <w:rsid w:val="00FB66AF"/>
    <w:rsid w:val="00FC03CD"/>
    <w:rsid w:val="00FC0646"/>
    <w:rsid w:val="00FC12F7"/>
    <w:rsid w:val="00FC2B50"/>
    <w:rsid w:val="00FC42FB"/>
    <w:rsid w:val="00FC68B7"/>
    <w:rsid w:val="00FD1BA2"/>
    <w:rsid w:val="00FD1DC7"/>
    <w:rsid w:val="00FD256B"/>
    <w:rsid w:val="00FD25F7"/>
    <w:rsid w:val="00FD453E"/>
    <w:rsid w:val="00FD694F"/>
    <w:rsid w:val="00FE67DC"/>
    <w:rsid w:val="00FE6985"/>
    <w:rsid w:val="00FF2D86"/>
    <w:rsid w:val="00FF7B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964D29"/>
  <w15:docId w15:val="{DDE108C8-7BFC-4EA7-8C6C-23856C49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7A7DAA"/>
    <w:pPr>
      <w:numPr>
        <w:numId w:val="1"/>
      </w:numPr>
      <w:tabs>
        <w:tab w:val="clear" w:pos="2268"/>
        <w:tab w:val="num" w:pos="1701"/>
      </w:tabs>
      <w:spacing w:after="120"/>
      <w:ind w:left="1701"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tabs>
        <w:tab w:val="num" w:pos="2268"/>
      </w:tabs>
      <w:spacing w:after="120"/>
      <w:ind w:left="2268" w:right="1134" w:hanging="170"/>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4D2BC0"/>
    <w:rPr>
      <w:b/>
      <w:sz w:val="28"/>
      <w:lang w:val="en-GB" w:eastAsia="en-US" w:bidi="ar-SA"/>
    </w:rPr>
  </w:style>
  <w:style w:type="character" w:customStyle="1" w:styleId="SingleTxtGChar">
    <w:name w:val="_ Single Txt_G Char"/>
    <w:link w:val="SingleTxtG"/>
    <w:rsid w:val="004D2BC0"/>
    <w:rPr>
      <w:lang w:val="en-GB" w:eastAsia="en-US" w:bidi="ar-SA"/>
    </w:rPr>
  </w:style>
  <w:style w:type="character" w:customStyle="1" w:styleId="H1GChar">
    <w:name w:val="_ H_1_G Char"/>
    <w:link w:val="H1G"/>
    <w:rsid w:val="004D2BC0"/>
    <w:rPr>
      <w:b/>
      <w:sz w:val="24"/>
      <w:lang w:val="en-GB" w:eastAsia="en-US" w:bidi="ar-SA"/>
    </w:rPr>
  </w:style>
  <w:style w:type="paragraph" w:styleId="BalloonText">
    <w:name w:val="Balloon Text"/>
    <w:basedOn w:val="Normal"/>
    <w:semiHidden/>
    <w:rsid w:val="007542F1"/>
    <w:rPr>
      <w:rFonts w:ascii="Tahoma" w:hAnsi="Tahoma" w:cs="Tahoma"/>
      <w:sz w:val="16"/>
      <w:szCs w:val="16"/>
    </w:rPr>
  </w:style>
  <w:style w:type="character" w:customStyle="1" w:styleId="st">
    <w:name w:val="st"/>
    <w:rsid w:val="00CB0B78"/>
  </w:style>
  <w:style w:type="character" w:styleId="CommentReference">
    <w:name w:val="annotation reference"/>
    <w:rsid w:val="008F347B"/>
    <w:rPr>
      <w:sz w:val="16"/>
      <w:szCs w:val="16"/>
    </w:rPr>
  </w:style>
  <w:style w:type="paragraph" w:styleId="CommentText">
    <w:name w:val="annotation text"/>
    <w:basedOn w:val="Normal"/>
    <w:link w:val="CommentTextChar"/>
    <w:rsid w:val="008F347B"/>
  </w:style>
  <w:style w:type="character" w:customStyle="1" w:styleId="CommentTextChar">
    <w:name w:val="Comment Text Char"/>
    <w:link w:val="CommentText"/>
    <w:rsid w:val="008F347B"/>
    <w:rPr>
      <w:lang w:eastAsia="en-US"/>
    </w:rPr>
  </w:style>
  <w:style w:type="paragraph" w:styleId="CommentSubject">
    <w:name w:val="annotation subject"/>
    <w:basedOn w:val="CommentText"/>
    <w:next w:val="CommentText"/>
    <w:link w:val="CommentSubjectChar"/>
    <w:rsid w:val="008F347B"/>
    <w:rPr>
      <w:b/>
      <w:bCs/>
    </w:rPr>
  </w:style>
  <w:style w:type="character" w:customStyle="1" w:styleId="CommentSubjectChar">
    <w:name w:val="Comment Subject Char"/>
    <w:link w:val="CommentSubject"/>
    <w:rsid w:val="008F347B"/>
    <w:rPr>
      <w:b/>
      <w:bCs/>
      <w:lang w:eastAsia="en-US"/>
    </w:rPr>
  </w:style>
  <w:style w:type="paragraph" w:styleId="Revision">
    <w:name w:val="Revision"/>
    <w:hidden/>
    <w:uiPriority w:val="99"/>
    <w:semiHidden/>
    <w:rsid w:val="00033EF3"/>
    <w:rPr>
      <w:lang w:eastAsia="en-US"/>
    </w:rPr>
  </w:style>
  <w:style w:type="paragraph" w:styleId="NormalWeb">
    <w:name w:val="Normal (Web)"/>
    <w:basedOn w:val="Normal"/>
    <w:uiPriority w:val="99"/>
    <w:unhideWhenUsed/>
    <w:rsid w:val="007F2D6B"/>
    <w:pPr>
      <w:suppressAutoHyphens w:val="0"/>
      <w:spacing w:before="100" w:beforeAutospacing="1" w:after="100" w:afterAutospacing="1" w:line="240" w:lineRule="auto"/>
    </w:pPr>
    <w:rPr>
      <w:sz w:val="24"/>
      <w:szCs w:val="24"/>
      <w:lang w:eastAsia="en-GB"/>
    </w:rPr>
  </w:style>
  <w:style w:type="character" w:customStyle="1" w:styleId="H4GChar">
    <w:name w:val="_ H_4_G Char"/>
    <w:link w:val="H4G"/>
    <w:rsid w:val="008C0EA3"/>
    <w:rPr>
      <w:i/>
      <w:lang w:eastAsia="en-US"/>
    </w:rPr>
  </w:style>
  <w:style w:type="character" w:customStyle="1" w:styleId="H23GChar">
    <w:name w:val="_ H_2/3_G Char"/>
    <w:link w:val="H23G"/>
    <w:rsid w:val="002B5EDB"/>
    <w:rPr>
      <w:b/>
      <w:lang w:eastAsia="en-US"/>
    </w:rPr>
  </w:style>
  <w:style w:type="paragraph" w:styleId="ListParagraph">
    <w:name w:val="List Paragraph"/>
    <w:basedOn w:val="Normal"/>
    <w:uiPriority w:val="34"/>
    <w:qFormat/>
    <w:rsid w:val="001D0F28"/>
    <w:pPr>
      <w:suppressAutoHyphens w:val="0"/>
      <w:spacing w:line="240" w:lineRule="auto"/>
      <w:ind w:left="720"/>
      <w:contextualSpacing/>
    </w:pPr>
    <w:rPr>
      <w:sz w:val="24"/>
      <w:szCs w:val="24"/>
      <w:lang w:eastAsia="en-GB"/>
    </w:rPr>
  </w:style>
  <w:style w:type="character" w:customStyle="1" w:styleId="UnresolvedMention1">
    <w:name w:val="Unresolved Mention1"/>
    <w:basedOn w:val="DefaultParagraphFont"/>
    <w:uiPriority w:val="99"/>
    <w:semiHidden/>
    <w:unhideWhenUsed/>
    <w:rsid w:val="004D7EAF"/>
    <w:rPr>
      <w:color w:val="808080"/>
      <w:shd w:val="clear" w:color="auto" w:fill="E6E6E6"/>
    </w:rPr>
  </w:style>
  <w:style w:type="character" w:styleId="Emphasis">
    <w:name w:val="Emphasis"/>
    <w:basedOn w:val="DefaultParagraphFont"/>
    <w:uiPriority w:val="20"/>
    <w:qFormat/>
    <w:rsid w:val="00CB4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4554">
      <w:bodyDiv w:val="1"/>
      <w:marLeft w:val="0"/>
      <w:marRight w:val="0"/>
      <w:marTop w:val="0"/>
      <w:marBottom w:val="0"/>
      <w:divBdr>
        <w:top w:val="none" w:sz="0" w:space="0" w:color="auto"/>
        <w:left w:val="none" w:sz="0" w:space="0" w:color="auto"/>
        <w:bottom w:val="none" w:sz="0" w:space="0" w:color="auto"/>
        <w:right w:val="none" w:sz="0" w:space="0" w:color="auto"/>
      </w:divBdr>
      <w:divsChild>
        <w:div w:id="605386240">
          <w:marLeft w:val="547"/>
          <w:marRight w:val="0"/>
          <w:marTop w:val="115"/>
          <w:marBottom w:val="0"/>
          <w:divBdr>
            <w:top w:val="none" w:sz="0" w:space="0" w:color="auto"/>
            <w:left w:val="none" w:sz="0" w:space="0" w:color="auto"/>
            <w:bottom w:val="none" w:sz="0" w:space="0" w:color="auto"/>
            <w:right w:val="none" w:sz="0" w:space="0" w:color="auto"/>
          </w:divBdr>
        </w:div>
        <w:div w:id="868033172">
          <w:marLeft w:val="547"/>
          <w:marRight w:val="0"/>
          <w:marTop w:val="115"/>
          <w:marBottom w:val="0"/>
          <w:divBdr>
            <w:top w:val="none" w:sz="0" w:space="0" w:color="auto"/>
            <w:left w:val="none" w:sz="0" w:space="0" w:color="auto"/>
            <w:bottom w:val="none" w:sz="0" w:space="0" w:color="auto"/>
            <w:right w:val="none" w:sz="0" w:space="0" w:color="auto"/>
          </w:divBdr>
        </w:div>
        <w:div w:id="1957830056">
          <w:marLeft w:val="547"/>
          <w:marRight w:val="0"/>
          <w:marTop w:val="115"/>
          <w:marBottom w:val="0"/>
          <w:divBdr>
            <w:top w:val="none" w:sz="0" w:space="0" w:color="auto"/>
            <w:left w:val="none" w:sz="0" w:space="0" w:color="auto"/>
            <w:bottom w:val="none" w:sz="0" w:space="0" w:color="auto"/>
            <w:right w:val="none" w:sz="0" w:space="0" w:color="auto"/>
          </w:divBdr>
        </w:div>
        <w:div w:id="2120483684">
          <w:marLeft w:val="547"/>
          <w:marRight w:val="0"/>
          <w:marTop w:val="115"/>
          <w:marBottom w:val="0"/>
          <w:divBdr>
            <w:top w:val="none" w:sz="0" w:space="0" w:color="auto"/>
            <w:left w:val="none" w:sz="0" w:space="0" w:color="auto"/>
            <w:bottom w:val="none" w:sz="0" w:space="0" w:color="auto"/>
            <w:right w:val="none" w:sz="0" w:space="0" w:color="auto"/>
          </w:divBdr>
        </w:div>
      </w:divsChild>
    </w:div>
    <w:div w:id="324628815">
      <w:bodyDiv w:val="1"/>
      <w:marLeft w:val="0"/>
      <w:marRight w:val="0"/>
      <w:marTop w:val="0"/>
      <w:marBottom w:val="0"/>
      <w:divBdr>
        <w:top w:val="none" w:sz="0" w:space="0" w:color="auto"/>
        <w:left w:val="none" w:sz="0" w:space="0" w:color="auto"/>
        <w:bottom w:val="none" w:sz="0" w:space="0" w:color="auto"/>
        <w:right w:val="none" w:sz="0" w:space="0" w:color="auto"/>
      </w:divBdr>
      <w:divsChild>
        <w:div w:id="1974173261">
          <w:marLeft w:val="0"/>
          <w:marRight w:val="0"/>
          <w:marTop w:val="0"/>
          <w:marBottom w:val="0"/>
          <w:divBdr>
            <w:top w:val="none" w:sz="0" w:space="0" w:color="auto"/>
            <w:left w:val="none" w:sz="0" w:space="0" w:color="auto"/>
            <w:bottom w:val="none" w:sz="0" w:space="0" w:color="auto"/>
            <w:right w:val="none" w:sz="0" w:space="0" w:color="auto"/>
          </w:divBdr>
        </w:div>
        <w:div w:id="2118794849">
          <w:marLeft w:val="0"/>
          <w:marRight w:val="0"/>
          <w:marTop w:val="0"/>
          <w:marBottom w:val="0"/>
          <w:divBdr>
            <w:top w:val="none" w:sz="0" w:space="0" w:color="auto"/>
            <w:left w:val="none" w:sz="0" w:space="0" w:color="auto"/>
            <w:bottom w:val="none" w:sz="0" w:space="0" w:color="auto"/>
            <w:right w:val="none" w:sz="0" w:space="0" w:color="auto"/>
          </w:divBdr>
        </w:div>
        <w:div w:id="603193684">
          <w:marLeft w:val="0"/>
          <w:marRight w:val="0"/>
          <w:marTop w:val="0"/>
          <w:marBottom w:val="0"/>
          <w:divBdr>
            <w:top w:val="none" w:sz="0" w:space="0" w:color="auto"/>
            <w:left w:val="none" w:sz="0" w:space="0" w:color="auto"/>
            <w:bottom w:val="none" w:sz="0" w:space="0" w:color="auto"/>
            <w:right w:val="none" w:sz="0" w:space="0" w:color="auto"/>
          </w:divBdr>
        </w:div>
        <w:div w:id="114953064">
          <w:marLeft w:val="0"/>
          <w:marRight w:val="0"/>
          <w:marTop w:val="0"/>
          <w:marBottom w:val="0"/>
          <w:divBdr>
            <w:top w:val="none" w:sz="0" w:space="0" w:color="auto"/>
            <w:left w:val="none" w:sz="0" w:space="0" w:color="auto"/>
            <w:bottom w:val="none" w:sz="0" w:space="0" w:color="auto"/>
            <w:right w:val="none" w:sz="0" w:space="0" w:color="auto"/>
          </w:divBdr>
        </w:div>
        <w:div w:id="262962417">
          <w:marLeft w:val="0"/>
          <w:marRight w:val="0"/>
          <w:marTop w:val="0"/>
          <w:marBottom w:val="0"/>
          <w:divBdr>
            <w:top w:val="none" w:sz="0" w:space="0" w:color="auto"/>
            <w:left w:val="none" w:sz="0" w:space="0" w:color="auto"/>
            <w:bottom w:val="none" w:sz="0" w:space="0" w:color="auto"/>
            <w:right w:val="none" w:sz="0" w:space="0" w:color="auto"/>
          </w:divBdr>
        </w:div>
        <w:div w:id="1618676316">
          <w:marLeft w:val="0"/>
          <w:marRight w:val="0"/>
          <w:marTop w:val="0"/>
          <w:marBottom w:val="0"/>
          <w:divBdr>
            <w:top w:val="none" w:sz="0" w:space="0" w:color="auto"/>
            <w:left w:val="none" w:sz="0" w:space="0" w:color="auto"/>
            <w:bottom w:val="none" w:sz="0" w:space="0" w:color="auto"/>
            <w:right w:val="none" w:sz="0" w:space="0" w:color="auto"/>
          </w:divBdr>
        </w:div>
        <w:div w:id="2114084093">
          <w:marLeft w:val="0"/>
          <w:marRight w:val="0"/>
          <w:marTop w:val="0"/>
          <w:marBottom w:val="0"/>
          <w:divBdr>
            <w:top w:val="none" w:sz="0" w:space="0" w:color="auto"/>
            <w:left w:val="none" w:sz="0" w:space="0" w:color="auto"/>
            <w:bottom w:val="none" w:sz="0" w:space="0" w:color="auto"/>
            <w:right w:val="none" w:sz="0" w:space="0" w:color="auto"/>
          </w:divBdr>
        </w:div>
        <w:div w:id="1956672859">
          <w:marLeft w:val="0"/>
          <w:marRight w:val="0"/>
          <w:marTop w:val="0"/>
          <w:marBottom w:val="0"/>
          <w:divBdr>
            <w:top w:val="none" w:sz="0" w:space="0" w:color="auto"/>
            <w:left w:val="none" w:sz="0" w:space="0" w:color="auto"/>
            <w:bottom w:val="none" w:sz="0" w:space="0" w:color="auto"/>
            <w:right w:val="none" w:sz="0" w:space="0" w:color="auto"/>
          </w:divBdr>
        </w:div>
        <w:div w:id="1008405842">
          <w:marLeft w:val="0"/>
          <w:marRight w:val="0"/>
          <w:marTop w:val="0"/>
          <w:marBottom w:val="0"/>
          <w:divBdr>
            <w:top w:val="none" w:sz="0" w:space="0" w:color="auto"/>
            <w:left w:val="none" w:sz="0" w:space="0" w:color="auto"/>
            <w:bottom w:val="none" w:sz="0" w:space="0" w:color="auto"/>
            <w:right w:val="none" w:sz="0" w:space="0" w:color="auto"/>
          </w:divBdr>
        </w:div>
        <w:div w:id="2141679129">
          <w:marLeft w:val="0"/>
          <w:marRight w:val="0"/>
          <w:marTop w:val="0"/>
          <w:marBottom w:val="0"/>
          <w:divBdr>
            <w:top w:val="none" w:sz="0" w:space="0" w:color="auto"/>
            <w:left w:val="none" w:sz="0" w:space="0" w:color="auto"/>
            <w:bottom w:val="none" w:sz="0" w:space="0" w:color="auto"/>
            <w:right w:val="none" w:sz="0" w:space="0" w:color="auto"/>
          </w:divBdr>
        </w:div>
        <w:div w:id="1259409739">
          <w:marLeft w:val="0"/>
          <w:marRight w:val="0"/>
          <w:marTop w:val="0"/>
          <w:marBottom w:val="0"/>
          <w:divBdr>
            <w:top w:val="none" w:sz="0" w:space="0" w:color="auto"/>
            <w:left w:val="none" w:sz="0" w:space="0" w:color="auto"/>
            <w:bottom w:val="none" w:sz="0" w:space="0" w:color="auto"/>
            <w:right w:val="none" w:sz="0" w:space="0" w:color="auto"/>
          </w:divBdr>
        </w:div>
        <w:div w:id="1941252686">
          <w:marLeft w:val="0"/>
          <w:marRight w:val="0"/>
          <w:marTop w:val="0"/>
          <w:marBottom w:val="0"/>
          <w:divBdr>
            <w:top w:val="none" w:sz="0" w:space="0" w:color="auto"/>
            <w:left w:val="none" w:sz="0" w:space="0" w:color="auto"/>
            <w:bottom w:val="none" w:sz="0" w:space="0" w:color="auto"/>
            <w:right w:val="none" w:sz="0" w:space="0" w:color="auto"/>
          </w:divBdr>
        </w:div>
        <w:div w:id="432241062">
          <w:marLeft w:val="0"/>
          <w:marRight w:val="0"/>
          <w:marTop w:val="0"/>
          <w:marBottom w:val="0"/>
          <w:divBdr>
            <w:top w:val="none" w:sz="0" w:space="0" w:color="auto"/>
            <w:left w:val="none" w:sz="0" w:space="0" w:color="auto"/>
            <w:bottom w:val="none" w:sz="0" w:space="0" w:color="auto"/>
            <w:right w:val="none" w:sz="0" w:space="0" w:color="auto"/>
          </w:divBdr>
        </w:div>
        <w:div w:id="320423699">
          <w:marLeft w:val="0"/>
          <w:marRight w:val="0"/>
          <w:marTop w:val="0"/>
          <w:marBottom w:val="0"/>
          <w:divBdr>
            <w:top w:val="none" w:sz="0" w:space="0" w:color="auto"/>
            <w:left w:val="none" w:sz="0" w:space="0" w:color="auto"/>
            <w:bottom w:val="none" w:sz="0" w:space="0" w:color="auto"/>
            <w:right w:val="none" w:sz="0" w:space="0" w:color="auto"/>
          </w:divBdr>
        </w:div>
        <w:div w:id="1116296430">
          <w:marLeft w:val="0"/>
          <w:marRight w:val="0"/>
          <w:marTop w:val="0"/>
          <w:marBottom w:val="0"/>
          <w:divBdr>
            <w:top w:val="none" w:sz="0" w:space="0" w:color="auto"/>
            <w:left w:val="none" w:sz="0" w:space="0" w:color="auto"/>
            <w:bottom w:val="none" w:sz="0" w:space="0" w:color="auto"/>
            <w:right w:val="none" w:sz="0" w:space="0" w:color="auto"/>
          </w:divBdr>
        </w:div>
        <w:div w:id="1378582029">
          <w:marLeft w:val="0"/>
          <w:marRight w:val="0"/>
          <w:marTop w:val="0"/>
          <w:marBottom w:val="0"/>
          <w:divBdr>
            <w:top w:val="none" w:sz="0" w:space="0" w:color="auto"/>
            <w:left w:val="none" w:sz="0" w:space="0" w:color="auto"/>
            <w:bottom w:val="none" w:sz="0" w:space="0" w:color="auto"/>
            <w:right w:val="none" w:sz="0" w:space="0" w:color="auto"/>
          </w:divBdr>
        </w:div>
        <w:div w:id="1830516743">
          <w:marLeft w:val="0"/>
          <w:marRight w:val="0"/>
          <w:marTop w:val="0"/>
          <w:marBottom w:val="0"/>
          <w:divBdr>
            <w:top w:val="none" w:sz="0" w:space="0" w:color="auto"/>
            <w:left w:val="none" w:sz="0" w:space="0" w:color="auto"/>
            <w:bottom w:val="none" w:sz="0" w:space="0" w:color="auto"/>
            <w:right w:val="none" w:sz="0" w:space="0" w:color="auto"/>
          </w:divBdr>
        </w:div>
        <w:div w:id="1312177453">
          <w:marLeft w:val="0"/>
          <w:marRight w:val="0"/>
          <w:marTop w:val="0"/>
          <w:marBottom w:val="0"/>
          <w:divBdr>
            <w:top w:val="none" w:sz="0" w:space="0" w:color="auto"/>
            <w:left w:val="none" w:sz="0" w:space="0" w:color="auto"/>
            <w:bottom w:val="none" w:sz="0" w:space="0" w:color="auto"/>
            <w:right w:val="none" w:sz="0" w:space="0" w:color="auto"/>
          </w:divBdr>
        </w:div>
        <w:div w:id="1915041646">
          <w:marLeft w:val="0"/>
          <w:marRight w:val="0"/>
          <w:marTop w:val="0"/>
          <w:marBottom w:val="0"/>
          <w:divBdr>
            <w:top w:val="none" w:sz="0" w:space="0" w:color="auto"/>
            <w:left w:val="none" w:sz="0" w:space="0" w:color="auto"/>
            <w:bottom w:val="none" w:sz="0" w:space="0" w:color="auto"/>
            <w:right w:val="none" w:sz="0" w:space="0" w:color="auto"/>
          </w:divBdr>
        </w:div>
        <w:div w:id="207300944">
          <w:marLeft w:val="0"/>
          <w:marRight w:val="0"/>
          <w:marTop w:val="0"/>
          <w:marBottom w:val="0"/>
          <w:divBdr>
            <w:top w:val="none" w:sz="0" w:space="0" w:color="auto"/>
            <w:left w:val="none" w:sz="0" w:space="0" w:color="auto"/>
            <w:bottom w:val="none" w:sz="0" w:space="0" w:color="auto"/>
            <w:right w:val="none" w:sz="0" w:space="0" w:color="auto"/>
          </w:divBdr>
        </w:div>
        <w:div w:id="2047561366">
          <w:marLeft w:val="0"/>
          <w:marRight w:val="0"/>
          <w:marTop w:val="0"/>
          <w:marBottom w:val="0"/>
          <w:divBdr>
            <w:top w:val="none" w:sz="0" w:space="0" w:color="auto"/>
            <w:left w:val="none" w:sz="0" w:space="0" w:color="auto"/>
            <w:bottom w:val="none" w:sz="0" w:space="0" w:color="auto"/>
            <w:right w:val="none" w:sz="0" w:space="0" w:color="auto"/>
          </w:divBdr>
        </w:div>
        <w:div w:id="1847011812">
          <w:marLeft w:val="0"/>
          <w:marRight w:val="0"/>
          <w:marTop w:val="0"/>
          <w:marBottom w:val="0"/>
          <w:divBdr>
            <w:top w:val="none" w:sz="0" w:space="0" w:color="auto"/>
            <w:left w:val="none" w:sz="0" w:space="0" w:color="auto"/>
            <w:bottom w:val="none" w:sz="0" w:space="0" w:color="auto"/>
            <w:right w:val="none" w:sz="0" w:space="0" w:color="auto"/>
          </w:divBdr>
        </w:div>
        <w:div w:id="418524072">
          <w:marLeft w:val="0"/>
          <w:marRight w:val="0"/>
          <w:marTop w:val="0"/>
          <w:marBottom w:val="0"/>
          <w:divBdr>
            <w:top w:val="none" w:sz="0" w:space="0" w:color="auto"/>
            <w:left w:val="none" w:sz="0" w:space="0" w:color="auto"/>
            <w:bottom w:val="none" w:sz="0" w:space="0" w:color="auto"/>
            <w:right w:val="none" w:sz="0" w:space="0" w:color="auto"/>
          </w:divBdr>
        </w:div>
        <w:div w:id="1875077637">
          <w:marLeft w:val="0"/>
          <w:marRight w:val="0"/>
          <w:marTop w:val="0"/>
          <w:marBottom w:val="0"/>
          <w:divBdr>
            <w:top w:val="none" w:sz="0" w:space="0" w:color="auto"/>
            <w:left w:val="none" w:sz="0" w:space="0" w:color="auto"/>
            <w:bottom w:val="none" w:sz="0" w:space="0" w:color="auto"/>
            <w:right w:val="none" w:sz="0" w:space="0" w:color="auto"/>
          </w:divBdr>
        </w:div>
        <w:div w:id="1996295298">
          <w:marLeft w:val="0"/>
          <w:marRight w:val="0"/>
          <w:marTop w:val="0"/>
          <w:marBottom w:val="0"/>
          <w:divBdr>
            <w:top w:val="none" w:sz="0" w:space="0" w:color="auto"/>
            <w:left w:val="none" w:sz="0" w:space="0" w:color="auto"/>
            <w:bottom w:val="none" w:sz="0" w:space="0" w:color="auto"/>
            <w:right w:val="none" w:sz="0" w:space="0" w:color="auto"/>
          </w:divBdr>
        </w:div>
        <w:div w:id="1925530959">
          <w:marLeft w:val="0"/>
          <w:marRight w:val="0"/>
          <w:marTop w:val="0"/>
          <w:marBottom w:val="0"/>
          <w:divBdr>
            <w:top w:val="none" w:sz="0" w:space="0" w:color="auto"/>
            <w:left w:val="none" w:sz="0" w:space="0" w:color="auto"/>
            <w:bottom w:val="none" w:sz="0" w:space="0" w:color="auto"/>
            <w:right w:val="none" w:sz="0" w:space="0" w:color="auto"/>
          </w:divBdr>
        </w:div>
        <w:div w:id="44109573">
          <w:marLeft w:val="0"/>
          <w:marRight w:val="0"/>
          <w:marTop w:val="0"/>
          <w:marBottom w:val="0"/>
          <w:divBdr>
            <w:top w:val="none" w:sz="0" w:space="0" w:color="auto"/>
            <w:left w:val="none" w:sz="0" w:space="0" w:color="auto"/>
            <w:bottom w:val="none" w:sz="0" w:space="0" w:color="auto"/>
            <w:right w:val="none" w:sz="0" w:space="0" w:color="auto"/>
          </w:divBdr>
        </w:div>
        <w:div w:id="1288580506">
          <w:marLeft w:val="0"/>
          <w:marRight w:val="0"/>
          <w:marTop w:val="0"/>
          <w:marBottom w:val="0"/>
          <w:divBdr>
            <w:top w:val="none" w:sz="0" w:space="0" w:color="auto"/>
            <w:left w:val="none" w:sz="0" w:space="0" w:color="auto"/>
            <w:bottom w:val="none" w:sz="0" w:space="0" w:color="auto"/>
            <w:right w:val="none" w:sz="0" w:space="0" w:color="auto"/>
          </w:divBdr>
        </w:div>
        <w:div w:id="41829371">
          <w:marLeft w:val="0"/>
          <w:marRight w:val="0"/>
          <w:marTop w:val="0"/>
          <w:marBottom w:val="0"/>
          <w:divBdr>
            <w:top w:val="none" w:sz="0" w:space="0" w:color="auto"/>
            <w:left w:val="none" w:sz="0" w:space="0" w:color="auto"/>
            <w:bottom w:val="none" w:sz="0" w:space="0" w:color="auto"/>
            <w:right w:val="none" w:sz="0" w:space="0" w:color="auto"/>
          </w:divBdr>
        </w:div>
        <w:div w:id="2128431622">
          <w:marLeft w:val="0"/>
          <w:marRight w:val="0"/>
          <w:marTop w:val="0"/>
          <w:marBottom w:val="0"/>
          <w:divBdr>
            <w:top w:val="none" w:sz="0" w:space="0" w:color="auto"/>
            <w:left w:val="none" w:sz="0" w:space="0" w:color="auto"/>
            <w:bottom w:val="none" w:sz="0" w:space="0" w:color="auto"/>
            <w:right w:val="none" w:sz="0" w:space="0" w:color="auto"/>
          </w:divBdr>
        </w:div>
        <w:div w:id="1898929295">
          <w:marLeft w:val="0"/>
          <w:marRight w:val="0"/>
          <w:marTop w:val="0"/>
          <w:marBottom w:val="0"/>
          <w:divBdr>
            <w:top w:val="none" w:sz="0" w:space="0" w:color="auto"/>
            <w:left w:val="none" w:sz="0" w:space="0" w:color="auto"/>
            <w:bottom w:val="none" w:sz="0" w:space="0" w:color="auto"/>
            <w:right w:val="none" w:sz="0" w:space="0" w:color="auto"/>
          </w:divBdr>
        </w:div>
        <w:div w:id="132990744">
          <w:marLeft w:val="0"/>
          <w:marRight w:val="0"/>
          <w:marTop w:val="0"/>
          <w:marBottom w:val="0"/>
          <w:divBdr>
            <w:top w:val="none" w:sz="0" w:space="0" w:color="auto"/>
            <w:left w:val="none" w:sz="0" w:space="0" w:color="auto"/>
            <w:bottom w:val="none" w:sz="0" w:space="0" w:color="auto"/>
            <w:right w:val="none" w:sz="0" w:space="0" w:color="auto"/>
          </w:divBdr>
        </w:div>
        <w:div w:id="213123859">
          <w:marLeft w:val="0"/>
          <w:marRight w:val="0"/>
          <w:marTop w:val="0"/>
          <w:marBottom w:val="0"/>
          <w:divBdr>
            <w:top w:val="none" w:sz="0" w:space="0" w:color="auto"/>
            <w:left w:val="none" w:sz="0" w:space="0" w:color="auto"/>
            <w:bottom w:val="none" w:sz="0" w:space="0" w:color="auto"/>
            <w:right w:val="none" w:sz="0" w:space="0" w:color="auto"/>
          </w:divBdr>
        </w:div>
        <w:div w:id="1944609000">
          <w:marLeft w:val="0"/>
          <w:marRight w:val="0"/>
          <w:marTop w:val="0"/>
          <w:marBottom w:val="0"/>
          <w:divBdr>
            <w:top w:val="none" w:sz="0" w:space="0" w:color="auto"/>
            <w:left w:val="none" w:sz="0" w:space="0" w:color="auto"/>
            <w:bottom w:val="none" w:sz="0" w:space="0" w:color="auto"/>
            <w:right w:val="none" w:sz="0" w:space="0" w:color="auto"/>
          </w:divBdr>
        </w:div>
        <w:div w:id="1287664498">
          <w:marLeft w:val="0"/>
          <w:marRight w:val="0"/>
          <w:marTop w:val="0"/>
          <w:marBottom w:val="0"/>
          <w:divBdr>
            <w:top w:val="none" w:sz="0" w:space="0" w:color="auto"/>
            <w:left w:val="none" w:sz="0" w:space="0" w:color="auto"/>
            <w:bottom w:val="none" w:sz="0" w:space="0" w:color="auto"/>
            <w:right w:val="none" w:sz="0" w:space="0" w:color="auto"/>
          </w:divBdr>
        </w:div>
        <w:div w:id="679821273">
          <w:marLeft w:val="0"/>
          <w:marRight w:val="0"/>
          <w:marTop w:val="0"/>
          <w:marBottom w:val="0"/>
          <w:divBdr>
            <w:top w:val="none" w:sz="0" w:space="0" w:color="auto"/>
            <w:left w:val="none" w:sz="0" w:space="0" w:color="auto"/>
            <w:bottom w:val="none" w:sz="0" w:space="0" w:color="auto"/>
            <w:right w:val="none" w:sz="0" w:space="0" w:color="auto"/>
          </w:divBdr>
        </w:div>
        <w:div w:id="164052534">
          <w:marLeft w:val="0"/>
          <w:marRight w:val="0"/>
          <w:marTop w:val="0"/>
          <w:marBottom w:val="0"/>
          <w:divBdr>
            <w:top w:val="none" w:sz="0" w:space="0" w:color="auto"/>
            <w:left w:val="none" w:sz="0" w:space="0" w:color="auto"/>
            <w:bottom w:val="none" w:sz="0" w:space="0" w:color="auto"/>
            <w:right w:val="none" w:sz="0" w:space="0" w:color="auto"/>
          </w:divBdr>
        </w:div>
        <w:div w:id="1238511867">
          <w:marLeft w:val="0"/>
          <w:marRight w:val="0"/>
          <w:marTop w:val="0"/>
          <w:marBottom w:val="0"/>
          <w:divBdr>
            <w:top w:val="none" w:sz="0" w:space="0" w:color="auto"/>
            <w:left w:val="none" w:sz="0" w:space="0" w:color="auto"/>
            <w:bottom w:val="none" w:sz="0" w:space="0" w:color="auto"/>
            <w:right w:val="none" w:sz="0" w:space="0" w:color="auto"/>
          </w:divBdr>
        </w:div>
        <w:div w:id="777216810">
          <w:marLeft w:val="0"/>
          <w:marRight w:val="0"/>
          <w:marTop w:val="0"/>
          <w:marBottom w:val="0"/>
          <w:divBdr>
            <w:top w:val="none" w:sz="0" w:space="0" w:color="auto"/>
            <w:left w:val="none" w:sz="0" w:space="0" w:color="auto"/>
            <w:bottom w:val="none" w:sz="0" w:space="0" w:color="auto"/>
            <w:right w:val="none" w:sz="0" w:space="0" w:color="auto"/>
          </w:divBdr>
        </w:div>
        <w:div w:id="1892426369">
          <w:marLeft w:val="0"/>
          <w:marRight w:val="0"/>
          <w:marTop w:val="0"/>
          <w:marBottom w:val="0"/>
          <w:divBdr>
            <w:top w:val="none" w:sz="0" w:space="0" w:color="auto"/>
            <w:left w:val="none" w:sz="0" w:space="0" w:color="auto"/>
            <w:bottom w:val="none" w:sz="0" w:space="0" w:color="auto"/>
            <w:right w:val="none" w:sz="0" w:space="0" w:color="auto"/>
          </w:divBdr>
        </w:div>
        <w:div w:id="919799507">
          <w:marLeft w:val="0"/>
          <w:marRight w:val="0"/>
          <w:marTop w:val="0"/>
          <w:marBottom w:val="0"/>
          <w:divBdr>
            <w:top w:val="none" w:sz="0" w:space="0" w:color="auto"/>
            <w:left w:val="none" w:sz="0" w:space="0" w:color="auto"/>
            <w:bottom w:val="none" w:sz="0" w:space="0" w:color="auto"/>
            <w:right w:val="none" w:sz="0" w:space="0" w:color="auto"/>
          </w:divBdr>
        </w:div>
        <w:div w:id="1696033647">
          <w:marLeft w:val="0"/>
          <w:marRight w:val="0"/>
          <w:marTop w:val="0"/>
          <w:marBottom w:val="0"/>
          <w:divBdr>
            <w:top w:val="none" w:sz="0" w:space="0" w:color="auto"/>
            <w:left w:val="none" w:sz="0" w:space="0" w:color="auto"/>
            <w:bottom w:val="none" w:sz="0" w:space="0" w:color="auto"/>
            <w:right w:val="none" w:sz="0" w:space="0" w:color="auto"/>
          </w:divBdr>
        </w:div>
        <w:div w:id="815728200">
          <w:marLeft w:val="0"/>
          <w:marRight w:val="0"/>
          <w:marTop w:val="0"/>
          <w:marBottom w:val="0"/>
          <w:divBdr>
            <w:top w:val="none" w:sz="0" w:space="0" w:color="auto"/>
            <w:left w:val="none" w:sz="0" w:space="0" w:color="auto"/>
            <w:bottom w:val="none" w:sz="0" w:space="0" w:color="auto"/>
            <w:right w:val="none" w:sz="0" w:space="0" w:color="auto"/>
          </w:divBdr>
        </w:div>
      </w:divsChild>
    </w:div>
    <w:div w:id="418646897">
      <w:bodyDiv w:val="1"/>
      <w:marLeft w:val="0"/>
      <w:marRight w:val="0"/>
      <w:marTop w:val="0"/>
      <w:marBottom w:val="0"/>
      <w:divBdr>
        <w:top w:val="none" w:sz="0" w:space="0" w:color="auto"/>
        <w:left w:val="none" w:sz="0" w:space="0" w:color="auto"/>
        <w:bottom w:val="none" w:sz="0" w:space="0" w:color="auto"/>
        <w:right w:val="none" w:sz="0" w:space="0" w:color="auto"/>
      </w:divBdr>
      <w:divsChild>
        <w:div w:id="1466923184">
          <w:marLeft w:val="547"/>
          <w:marRight w:val="0"/>
          <w:marTop w:val="115"/>
          <w:marBottom w:val="0"/>
          <w:divBdr>
            <w:top w:val="none" w:sz="0" w:space="0" w:color="auto"/>
            <w:left w:val="none" w:sz="0" w:space="0" w:color="auto"/>
            <w:bottom w:val="none" w:sz="0" w:space="0" w:color="auto"/>
            <w:right w:val="none" w:sz="0" w:space="0" w:color="auto"/>
          </w:divBdr>
        </w:div>
      </w:divsChild>
    </w:div>
    <w:div w:id="586774064">
      <w:bodyDiv w:val="1"/>
      <w:marLeft w:val="0"/>
      <w:marRight w:val="0"/>
      <w:marTop w:val="0"/>
      <w:marBottom w:val="0"/>
      <w:divBdr>
        <w:top w:val="none" w:sz="0" w:space="0" w:color="auto"/>
        <w:left w:val="none" w:sz="0" w:space="0" w:color="auto"/>
        <w:bottom w:val="none" w:sz="0" w:space="0" w:color="auto"/>
        <w:right w:val="none" w:sz="0" w:space="0" w:color="auto"/>
      </w:divBdr>
      <w:divsChild>
        <w:div w:id="407190848">
          <w:marLeft w:val="1267"/>
          <w:marRight w:val="0"/>
          <w:marTop w:val="106"/>
          <w:marBottom w:val="0"/>
          <w:divBdr>
            <w:top w:val="none" w:sz="0" w:space="0" w:color="auto"/>
            <w:left w:val="none" w:sz="0" w:space="0" w:color="auto"/>
            <w:bottom w:val="none" w:sz="0" w:space="0" w:color="auto"/>
            <w:right w:val="none" w:sz="0" w:space="0" w:color="auto"/>
          </w:divBdr>
        </w:div>
        <w:div w:id="501314654">
          <w:marLeft w:val="1267"/>
          <w:marRight w:val="0"/>
          <w:marTop w:val="106"/>
          <w:marBottom w:val="0"/>
          <w:divBdr>
            <w:top w:val="none" w:sz="0" w:space="0" w:color="auto"/>
            <w:left w:val="none" w:sz="0" w:space="0" w:color="auto"/>
            <w:bottom w:val="none" w:sz="0" w:space="0" w:color="auto"/>
            <w:right w:val="none" w:sz="0" w:space="0" w:color="auto"/>
          </w:divBdr>
        </w:div>
        <w:div w:id="892354182">
          <w:marLeft w:val="1267"/>
          <w:marRight w:val="0"/>
          <w:marTop w:val="106"/>
          <w:marBottom w:val="0"/>
          <w:divBdr>
            <w:top w:val="none" w:sz="0" w:space="0" w:color="auto"/>
            <w:left w:val="none" w:sz="0" w:space="0" w:color="auto"/>
            <w:bottom w:val="none" w:sz="0" w:space="0" w:color="auto"/>
            <w:right w:val="none" w:sz="0" w:space="0" w:color="auto"/>
          </w:divBdr>
        </w:div>
        <w:div w:id="1231890953">
          <w:marLeft w:val="1267"/>
          <w:marRight w:val="0"/>
          <w:marTop w:val="106"/>
          <w:marBottom w:val="0"/>
          <w:divBdr>
            <w:top w:val="none" w:sz="0" w:space="0" w:color="auto"/>
            <w:left w:val="none" w:sz="0" w:space="0" w:color="auto"/>
            <w:bottom w:val="none" w:sz="0" w:space="0" w:color="auto"/>
            <w:right w:val="none" w:sz="0" w:space="0" w:color="auto"/>
          </w:divBdr>
        </w:div>
        <w:div w:id="1257207073">
          <w:marLeft w:val="1267"/>
          <w:marRight w:val="0"/>
          <w:marTop w:val="106"/>
          <w:marBottom w:val="0"/>
          <w:divBdr>
            <w:top w:val="none" w:sz="0" w:space="0" w:color="auto"/>
            <w:left w:val="none" w:sz="0" w:space="0" w:color="auto"/>
            <w:bottom w:val="none" w:sz="0" w:space="0" w:color="auto"/>
            <w:right w:val="none" w:sz="0" w:space="0" w:color="auto"/>
          </w:divBdr>
        </w:div>
        <w:div w:id="1607999123">
          <w:marLeft w:val="1267"/>
          <w:marRight w:val="0"/>
          <w:marTop w:val="106"/>
          <w:marBottom w:val="0"/>
          <w:divBdr>
            <w:top w:val="none" w:sz="0" w:space="0" w:color="auto"/>
            <w:left w:val="none" w:sz="0" w:space="0" w:color="auto"/>
            <w:bottom w:val="none" w:sz="0" w:space="0" w:color="auto"/>
            <w:right w:val="none" w:sz="0" w:space="0" w:color="auto"/>
          </w:divBdr>
        </w:div>
        <w:div w:id="1678730208">
          <w:marLeft w:val="547"/>
          <w:marRight w:val="0"/>
          <w:marTop w:val="115"/>
          <w:marBottom w:val="0"/>
          <w:divBdr>
            <w:top w:val="none" w:sz="0" w:space="0" w:color="auto"/>
            <w:left w:val="none" w:sz="0" w:space="0" w:color="auto"/>
            <w:bottom w:val="none" w:sz="0" w:space="0" w:color="auto"/>
            <w:right w:val="none" w:sz="0" w:space="0" w:color="auto"/>
          </w:divBdr>
        </w:div>
      </w:divsChild>
    </w:div>
    <w:div w:id="666636094">
      <w:bodyDiv w:val="1"/>
      <w:marLeft w:val="0"/>
      <w:marRight w:val="0"/>
      <w:marTop w:val="0"/>
      <w:marBottom w:val="0"/>
      <w:divBdr>
        <w:top w:val="none" w:sz="0" w:space="0" w:color="auto"/>
        <w:left w:val="none" w:sz="0" w:space="0" w:color="auto"/>
        <w:bottom w:val="none" w:sz="0" w:space="0" w:color="auto"/>
        <w:right w:val="none" w:sz="0" w:space="0" w:color="auto"/>
      </w:divBdr>
      <w:divsChild>
        <w:div w:id="165095901">
          <w:marLeft w:val="547"/>
          <w:marRight w:val="0"/>
          <w:marTop w:val="134"/>
          <w:marBottom w:val="0"/>
          <w:divBdr>
            <w:top w:val="none" w:sz="0" w:space="0" w:color="auto"/>
            <w:left w:val="none" w:sz="0" w:space="0" w:color="auto"/>
            <w:bottom w:val="none" w:sz="0" w:space="0" w:color="auto"/>
            <w:right w:val="none" w:sz="0" w:space="0" w:color="auto"/>
          </w:divBdr>
        </w:div>
      </w:divsChild>
    </w:div>
    <w:div w:id="693312252">
      <w:bodyDiv w:val="1"/>
      <w:marLeft w:val="0"/>
      <w:marRight w:val="0"/>
      <w:marTop w:val="0"/>
      <w:marBottom w:val="0"/>
      <w:divBdr>
        <w:top w:val="none" w:sz="0" w:space="0" w:color="auto"/>
        <w:left w:val="none" w:sz="0" w:space="0" w:color="auto"/>
        <w:bottom w:val="none" w:sz="0" w:space="0" w:color="auto"/>
        <w:right w:val="none" w:sz="0" w:space="0" w:color="auto"/>
      </w:divBdr>
      <w:divsChild>
        <w:div w:id="828718919">
          <w:marLeft w:val="547"/>
          <w:marRight w:val="0"/>
          <w:marTop w:val="134"/>
          <w:marBottom w:val="0"/>
          <w:divBdr>
            <w:top w:val="none" w:sz="0" w:space="0" w:color="auto"/>
            <w:left w:val="none" w:sz="0" w:space="0" w:color="auto"/>
            <w:bottom w:val="none" w:sz="0" w:space="0" w:color="auto"/>
            <w:right w:val="none" w:sz="0" w:space="0" w:color="auto"/>
          </w:divBdr>
        </w:div>
      </w:divsChild>
    </w:div>
    <w:div w:id="989559532">
      <w:bodyDiv w:val="1"/>
      <w:marLeft w:val="0"/>
      <w:marRight w:val="0"/>
      <w:marTop w:val="0"/>
      <w:marBottom w:val="0"/>
      <w:divBdr>
        <w:top w:val="none" w:sz="0" w:space="0" w:color="auto"/>
        <w:left w:val="none" w:sz="0" w:space="0" w:color="auto"/>
        <w:bottom w:val="none" w:sz="0" w:space="0" w:color="auto"/>
        <w:right w:val="none" w:sz="0" w:space="0" w:color="auto"/>
      </w:divBdr>
      <w:divsChild>
        <w:div w:id="1496414446">
          <w:marLeft w:val="0"/>
          <w:marRight w:val="0"/>
          <w:marTop w:val="0"/>
          <w:marBottom w:val="0"/>
          <w:divBdr>
            <w:top w:val="none" w:sz="0" w:space="0" w:color="auto"/>
            <w:left w:val="none" w:sz="0" w:space="0" w:color="auto"/>
            <w:bottom w:val="none" w:sz="0" w:space="0" w:color="auto"/>
            <w:right w:val="none" w:sz="0" w:space="0" w:color="auto"/>
          </w:divBdr>
        </w:div>
        <w:div w:id="1845127151">
          <w:marLeft w:val="0"/>
          <w:marRight w:val="0"/>
          <w:marTop w:val="0"/>
          <w:marBottom w:val="0"/>
          <w:divBdr>
            <w:top w:val="none" w:sz="0" w:space="0" w:color="auto"/>
            <w:left w:val="none" w:sz="0" w:space="0" w:color="auto"/>
            <w:bottom w:val="none" w:sz="0" w:space="0" w:color="auto"/>
            <w:right w:val="none" w:sz="0" w:space="0" w:color="auto"/>
          </w:divBdr>
        </w:div>
        <w:div w:id="1486823767">
          <w:marLeft w:val="0"/>
          <w:marRight w:val="0"/>
          <w:marTop w:val="0"/>
          <w:marBottom w:val="0"/>
          <w:divBdr>
            <w:top w:val="none" w:sz="0" w:space="0" w:color="auto"/>
            <w:left w:val="none" w:sz="0" w:space="0" w:color="auto"/>
            <w:bottom w:val="none" w:sz="0" w:space="0" w:color="auto"/>
            <w:right w:val="none" w:sz="0" w:space="0" w:color="auto"/>
          </w:divBdr>
        </w:div>
        <w:div w:id="377896220">
          <w:marLeft w:val="0"/>
          <w:marRight w:val="0"/>
          <w:marTop w:val="0"/>
          <w:marBottom w:val="0"/>
          <w:divBdr>
            <w:top w:val="none" w:sz="0" w:space="0" w:color="auto"/>
            <w:left w:val="none" w:sz="0" w:space="0" w:color="auto"/>
            <w:bottom w:val="none" w:sz="0" w:space="0" w:color="auto"/>
            <w:right w:val="none" w:sz="0" w:space="0" w:color="auto"/>
          </w:divBdr>
        </w:div>
        <w:div w:id="1988313160">
          <w:marLeft w:val="0"/>
          <w:marRight w:val="0"/>
          <w:marTop w:val="0"/>
          <w:marBottom w:val="0"/>
          <w:divBdr>
            <w:top w:val="none" w:sz="0" w:space="0" w:color="auto"/>
            <w:left w:val="none" w:sz="0" w:space="0" w:color="auto"/>
            <w:bottom w:val="none" w:sz="0" w:space="0" w:color="auto"/>
            <w:right w:val="none" w:sz="0" w:space="0" w:color="auto"/>
          </w:divBdr>
        </w:div>
        <w:div w:id="589311146">
          <w:marLeft w:val="0"/>
          <w:marRight w:val="0"/>
          <w:marTop w:val="0"/>
          <w:marBottom w:val="0"/>
          <w:divBdr>
            <w:top w:val="none" w:sz="0" w:space="0" w:color="auto"/>
            <w:left w:val="none" w:sz="0" w:space="0" w:color="auto"/>
            <w:bottom w:val="none" w:sz="0" w:space="0" w:color="auto"/>
            <w:right w:val="none" w:sz="0" w:space="0" w:color="auto"/>
          </w:divBdr>
        </w:div>
        <w:div w:id="2039500820">
          <w:marLeft w:val="0"/>
          <w:marRight w:val="0"/>
          <w:marTop w:val="0"/>
          <w:marBottom w:val="0"/>
          <w:divBdr>
            <w:top w:val="none" w:sz="0" w:space="0" w:color="auto"/>
            <w:left w:val="none" w:sz="0" w:space="0" w:color="auto"/>
            <w:bottom w:val="none" w:sz="0" w:space="0" w:color="auto"/>
            <w:right w:val="none" w:sz="0" w:space="0" w:color="auto"/>
          </w:divBdr>
        </w:div>
        <w:div w:id="899251726">
          <w:marLeft w:val="0"/>
          <w:marRight w:val="0"/>
          <w:marTop w:val="0"/>
          <w:marBottom w:val="0"/>
          <w:divBdr>
            <w:top w:val="none" w:sz="0" w:space="0" w:color="auto"/>
            <w:left w:val="none" w:sz="0" w:space="0" w:color="auto"/>
            <w:bottom w:val="none" w:sz="0" w:space="0" w:color="auto"/>
            <w:right w:val="none" w:sz="0" w:space="0" w:color="auto"/>
          </w:divBdr>
        </w:div>
        <w:div w:id="274793182">
          <w:marLeft w:val="0"/>
          <w:marRight w:val="0"/>
          <w:marTop w:val="0"/>
          <w:marBottom w:val="0"/>
          <w:divBdr>
            <w:top w:val="none" w:sz="0" w:space="0" w:color="auto"/>
            <w:left w:val="none" w:sz="0" w:space="0" w:color="auto"/>
            <w:bottom w:val="none" w:sz="0" w:space="0" w:color="auto"/>
            <w:right w:val="none" w:sz="0" w:space="0" w:color="auto"/>
          </w:divBdr>
        </w:div>
        <w:div w:id="360324315">
          <w:marLeft w:val="0"/>
          <w:marRight w:val="0"/>
          <w:marTop w:val="0"/>
          <w:marBottom w:val="0"/>
          <w:divBdr>
            <w:top w:val="none" w:sz="0" w:space="0" w:color="auto"/>
            <w:left w:val="none" w:sz="0" w:space="0" w:color="auto"/>
            <w:bottom w:val="none" w:sz="0" w:space="0" w:color="auto"/>
            <w:right w:val="none" w:sz="0" w:space="0" w:color="auto"/>
          </w:divBdr>
        </w:div>
        <w:div w:id="533349298">
          <w:marLeft w:val="0"/>
          <w:marRight w:val="0"/>
          <w:marTop w:val="0"/>
          <w:marBottom w:val="0"/>
          <w:divBdr>
            <w:top w:val="none" w:sz="0" w:space="0" w:color="auto"/>
            <w:left w:val="none" w:sz="0" w:space="0" w:color="auto"/>
            <w:bottom w:val="none" w:sz="0" w:space="0" w:color="auto"/>
            <w:right w:val="none" w:sz="0" w:space="0" w:color="auto"/>
          </w:divBdr>
        </w:div>
        <w:div w:id="535891041">
          <w:marLeft w:val="0"/>
          <w:marRight w:val="0"/>
          <w:marTop w:val="0"/>
          <w:marBottom w:val="0"/>
          <w:divBdr>
            <w:top w:val="none" w:sz="0" w:space="0" w:color="auto"/>
            <w:left w:val="none" w:sz="0" w:space="0" w:color="auto"/>
            <w:bottom w:val="none" w:sz="0" w:space="0" w:color="auto"/>
            <w:right w:val="none" w:sz="0" w:space="0" w:color="auto"/>
          </w:divBdr>
        </w:div>
        <w:div w:id="2085059455">
          <w:marLeft w:val="0"/>
          <w:marRight w:val="0"/>
          <w:marTop w:val="0"/>
          <w:marBottom w:val="0"/>
          <w:divBdr>
            <w:top w:val="none" w:sz="0" w:space="0" w:color="auto"/>
            <w:left w:val="none" w:sz="0" w:space="0" w:color="auto"/>
            <w:bottom w:val="none" w:sz="0" w:space="0" w:color="auto"/>
            <w:right w:val="none" w:sz="0" w:space="0" w:color="auto"/>
          </w:divBdr>
        </w:div>
        <w:div w:id="1875074058">
          <w:marLeft w:val="0"/>
          <w:marRight w:val="0"/>
          <w:marTop w:val="0"/>
          <w:marBottom w:val="0"/>
          <w:divBdr>
            <w:top w:val="none" w:sz="0" w:space="0" w:color="auto"/>
            <w:left w:val="none" w:sz="0" w:space="0" w:color="auto"/>
            <w:bottom w:val="none" w:sz="0" w:space="0" w:color="auto"/>
            <w:right w:val="none" w:sz="0" w:space="0" w:color="auto"/>
          </w:divBdr>
        </w:div>
        <w:div w:id="248195701">
          <w:marLeft w:val="0"/>
          <w:marRight w:val="0"/>
          <w:marTop w:val="0"/>
          <w:marBottom w:val="0"/>
          <w:divBdr>
            <w:top w:val="none" w:sz="0" w:space="0" w:color="auto"/>
            <w:left w:val="none" w:sz="0" w:space="0" w:color="auto"/>
            <w:bottom w:val="none" w:sz="0" w:space="0" w:color="auto"/>
            <w:right w:val="none" w:sz="0" w:space="0" w:color="auto"/>
          </w:divBdr>
        </w:div>
        <w:div w:id="1273900579">
          <w:marLeft w:val="0"/>
          <w:marRight w:val="0"/>
          <w:marTop w:val="0"/>
          <w:marBottom w:val="0"/>
          <w:divBdr>
            <w:top w:val="none" w:sz="0" w:space="0" w:color="auto"/>
            <w:left w:val="none" w:sz="0" w:space="0" w:color="auto"/>
            <w:bottom w:val="none" w:sz="0" w:space="0" w:color="auto"/>
            <w:right w:val="none" w:sz="0" w:space="0" w:color="auto"/>
          </w:divBdr>
        </w:div>
        <w:div w:id="2102674737">
          <w:marLeft w:val="0"/>
          <w:marRight w:val="0"/>
          <w:marTop w:val="0"/>
          <w:marBottom w:val="0"/>
          <w:divBdr>
            <w:top w:val="none" w:sz="0" w:space="0" w:color="auto"/>
            <w:left w:val="none" w:sz="0" w:space="0" w:color="auto"/>
            <w:bottom w:val="none" w:sz="0" w:space="0" w:color="auto"/>
            <w:right w:val="none" w:sz="0" w:space="0" w:color="auto"/>
          </w:divBdr>
        </w:div>
        <w:div w:id="317537358">
          <w:marLeft w:val="0"/>
          <w:marRight w:val="0"/>
          <w:marTop w:val="0"/>
          <w:marBottom w:val="0"/>
          <w:divBdr>
            <w:top w:val="none" w:sz="0" w:space="0" w:color="auto"/>
            <w:left w:val="none" w:sz="0" w:space="0" w:color="auto"/>
            <w:bottom w:val="none" w:sz="0" w:space="0" w:color="auto"/>
            <w:right w:val="none" w:sz="0" w:space="0" w:color="auto"/>
          </w:divBdr>
        </w:div>
        <w:div w:id="157573043">
          <w:marLeft w:val="0"/>
          <w:marRight w:val="0"/>
          <w:marTop w:val="0"/>
          <w:marBottom w:val="0"/>
          <w:divBdr>
            <w:top w:val="none" w:sz="0" w:space="0" w:color="auto"/>
            <w:left w:val="none" w:sz="0" w:space="0" w:color="auto"/>
            <w:bottom w:val="none" w:sz="0" w:space="0" w:color="auto"/>
            <w:right w:val="none" w:sz="0" w:space="0" w:color="auto"/>
          </w:divBdr>
        </w:div>
        <w:div w:id="1867909552">
          <w:marLeft w:val="0"/>
          <w:marRight w:val="0"/>
          <w:marTop w:val="0"/>
          <w:marBottom w:val="0"/>
          <w:divBdr>
            <w:top w:val="none" w:sz="0" w:space="0" w:color="auto"/>
            <w:left w:val="none" w:sz="0" w:space="0" w:color="auto"/>
            <w:bottom w:val="none" w:sz="0" w:space="0" w:color="auto"/>
            <w:right w:val="none" w:sz="0" w:space="0" w:color="auto"/>
          </w:divBdr>
        </w:div>
      </w:divsChild>
    </w:div>
    <w:div w:id="1371034567">
      <w:bodyDiv w:val="1"/>
      <w:marLeft w:val="0"/>
      <w:marRight w:val="0"/>
      <w:marTop w:val="0"/>
      <w:marBottom w:val="0"/>
      <w:divBdr>
        <w:top w:val="none" w:sz="0" w:space="0" w:color="auto"/>
        <w:left w:val="none" w:sz="0" w:space="0" w:color="auto"/>
        <w:bottom w:val="none" w:sz="0" w:space="0" w:color="auto"/>
        <w:right w:val="none" w:sz="0" w:space="0" w:color="auto"/>
      </w:divBdr>
      <w:divsChild>
        <w:div w:id="1870413728">
          <w:marLeft w:val="0"/>
          <w:marRight w:val="0"/>
          <w:marTop w:val="0"/>
          <w:marBottom w:val="0"/>
          <w:divBdr>
            <w:top w:val="none" w:sz="0" w:space="0" w:color="auto"/>
            <w:left w:val="none" w:sz="0" w:space="0" w:color="auto"/>
            <w:bottom w:val="none" w:sz="0" w:space="0" w:color="auto"/>
            <w:right w:val="none" w:sz="0" w:space="0" w:color="auto"/>
          </w:divBdr>
        </w:div>
        <w:div w:id="37553955">
          <w:marLeft w:val="0"/>
          <w:marRight w:val="0"/>
          <w:marTop w:val="0"/>
          <w:marBottom w:val="0"/>
          <w:divBdr>
            <w:top w:val="none" w:sz="0" w:space="0" w:color="auto"/>
            <w:left w:val="none" w:sz="0" w:space="0" w:color="auto"/>
            <w:bottom w:val="none" w:sz="0" w:space="0" w:color="auto"/>
            <w:right w:val="none" w:sz="0" w:space="0" w:color="auto"/>
          </w:divBdr>
        </w:div>
        <w:div w:id="1576207085">
          <w:marLeft w:val="0"/>
          <w:marRight w:val="0"/>
          <w:marTop w:val="0"/>
          <w:marBottom w:val="0"/>
          <w:divBdr>
            <w:top w:val="none" w:sz="0" w:space="0" w:color="auto"/>
            <w:left w:val="none" w:sz="0" w:space="0" w:color="auto"/>
            <w:bottom w:val="none" w:sz="0" w:space="0" w:color="auto"/>
            <w:right w:val="none" w:sz="0" w:space="0" w:color="auto"/>
          </w:divBdr>
        </w:div>
        <w:div w:id="1462260706">
          <w:marLeft w:val="0"/>
          <w:marRight w:val="0"/>
          <w:marTop w:val="0"/>
          <w:marBottom w:val="0"/>
          <w:divBdr>
            <w:top w:val="none" w:sz="0" w:space="0" w:color="auto"/>
            <w:left w:val="none" w:sz="0" w:space="0" w:color="auto"/>
            <w:bottom w:val="none" w:sz="0" w:space="0" w:color="auto"/>
            <w:right w:val="none" w:sz="0" w:space="0" w:color="auto"/>
          </w:divBdr>
        </w:div>
        <w:div w:id="917322386">
          <w:marLeft w:val="0"/>
          <w:marRight w:val="0"/>
          <w:marTop w:val="0"/>
          <w:marBottom w:val="0"/>
          <w:divBdr>
            <w:top w:val="none" w:sz="0" w:space="0" w:color="auto"/>
            <w:left w:val="none" w:sz="0" w:space="0" w:color="auto"/>
            <w:bottom w:val="none" w:sz="0" w:space="0" w:color="auto"/>
            <w:right w:val="none" w:sz="0" w:space="0" w:color="auto"/>
          </w:divBdr>
        </w:div>
        <w:div w:id="296763223">
          <w:marLeft w:val="0"/>
          <w:marRight w:val="0"/>
          <w:marTop w:val="0"/>
          <w:marBottom w:val="0"/>
          <w:divBdr>
            <w:top w:val="none" w:sz="0" w:space="0" w:color="auto"/>
            <w:left w:val="none" w:sz="0" w:space="0" w:color="auto"/>
            <w:bottom w:val="none" w:sz="0" w:space="0" w:color="auto"/>
            <w:right w:val="none" w:sz="0" w:space="0" w:color="auto"/>
          </w:divBdr>
        </w:div>
        <w:div w:id="238247168">
          <w:marLeft w:val="0"/>
          <w:marRight w:val="0"/>
          <w:marTop w:val="0"/>
          <w:marBottom w:val="0"/>
          <w:divBdr>
            <w:top w:val="none" w:sz="0" w:space="0" w:color="auto"/>
            <w:left w:val="none" w:sz="0" w:space="0" w:color="auto"/>
            <w:bottom w:val="none" w:sz="0" w:space="0" w:color="auto"/>
            <w:right w:val="none" w:sz="0" w:space="0" w:color="auto"/>
          </w:divBdr>
        </w:div>
        <w:div w:id="1830903093">
          <w:marLeft w:val="0"/>
          <w:marRight w:val="0"/>
          <w:marTop w:val="0"/>
          <w:marBottom w:val="0"/>
          <w:divBdr>
            <w:top w:val="none" w:sz="0" w:space="0" w:color="auto"/>
            <w:left w:val="none" w:sz="0" w:space="0" w:color="auto"/>
            <w:bottom w:val="none" w:sz="0" w:space="0" w:color="auto"/>
            <w:right w:val="none" w:sz="0" w:space="0" w:color="auto"/>
          </w:divBdr>
        </w:div>
        <w:div w:id="1860778296">
          <w:marLeft w:val="0"/>
          <w:marRight w:val="0"/>
          <w:marTop w:val="0"/>
          <w:marBottom w:val="0"/>
          <w:divBdr>
            <w:top w:val="none" w:sz="0" w:space="0" w:color="auto"/>
            <w:left w:val="none" w:sz="0" w:space="0" w:color="auto"/>
            <w:bottom w:val="none" w:sz="0" w:space="0" w:color="auto"/>
            <w:right w:val="none" w:sz="0" w:space="0" w:color="auto"/>
          </w:divBdr>
        </w:div>
        <w:div w:id="1165776368">
          <w:marLeft w:val="0"/>
          <w:marRight w:val="0"/>
          <w:marTop w:val="0"/>
          <w:marBottom w:val="0"/>
          <w:divBdr>
            <w:top w:val="none" w:sz="0" w:space="0" w:color="auto"/>
            <w:left w:val="none" w:sz="0" w:space="0" w:color="auto"/>
            <w:bottom w:val="none" w:sz="0" w:space="0" w:color="auto"/>
            <w:right w:val="none" w:sz="0" w:space="0" w:color="auto"/>
          </w:divBdr>
        </w:div>
        <w:div w:id="72777004">
          <w:marLeft w:val="0"/>
          <w:marRight w:val="0"/>
          <w:marTop w:val="0"/>
          <w:marBottom w:val="0"/>
          <w:divBdr>
            <w:top w:val="none" w:sz="0" w:space="0" w:color="auto"/>
            <w:left w:val="none" w:sz="0" w:space="0" w:color="auto"/>
            <w:bottom w:val="none" w:sz="0" w:space="0" w:color="auto"/>
            <w:right w:val="none" w:sz="0" w:space="0" w:color="auto"/>
          </w:divBdr>
        </w:div>
        <w:div w:id="593826275">
          <w:marLeft w:val="0"/>
          <w:marRight w:val="0"/>
          <w:marTop w:val="0"/>
          <w:marBottom w:val="0"/>
          <w:divBdr>
            <w:top w:val="none" w:sz="0" w:space="0" w:color="auto"/>
            <w:left w:val="none" w:sz="0" w:space="0" w:color="auto"/>
            <w:bottom w:val="none" w:sz="0" w:space="0" w:color="auto"/>
            <w:right w:val="none" w:sz="0" w:space="0" w:color="auto"/>
          </w:divBdr>
        </w:div>
        <w:div w:id="1300915535">
          <w:marLeft w:val="0"/>
          <w:marRight w:val="0"/>
          <w:marTop w:val="0"/>
          <w:marBottom w:val="0"/>
          <w:divBdr>
            <w:top w:val="none" w:sz="0" w:space="0" w:color="auto"/>
            <w:left w:val="none" w:sz="0" w:space="0" w:color="auto"/>
            <w:bottom w:val="none" w:sz="0" w:space="0" w:color="auto"/>
            <w:right w:val="none" w:sz="0" w:space="0" w:color="auto"/>
          </w:divBdr>
        </w:div>
        <w:div w:id="870528888">
          <w:marLeft w:val="0"/>
          <w:marRight w:val="0"/>
          <w:marTop w:val="0"/>
          <w:marBottom w:val="0"/>
          <w:divBdr>
            <w:top w:val="none" w:sz="0" w:space="0" w:color="auto"/>
            <w:left w:val="none" w:sz="0" w:space="0" w:color="auto"/>
            <w:bottom w:val="none" w:sz="0" w:space="0" w:color="auto"/>
            <w:right w:val="none" w:sz="0" w:space="0" w:color="auto"/>
          </w:divBdr>
        </w:div>
        <w:div w:id="478575247">
          <w:marLeft w:val="0"/>
          <w:marRight w:val="0"/>
          <w:marTop w:val="0"/>
          <w:marBottom w:val="0"/>
          <w:divBdr>
            <w:top w:val="none" w:sz="0" w:space="0" w:color="auto"/>
            <w:left w:val="none" w:sz="0" w:space="0" w:color="auto"/>
            <w:bottom w:val="none" w:sz="0" w:space="0" w:color="auto"/>
            <w:right w:val="none" w:sz="0" w:space="0" w:color="auto"/>
          </w:divBdr>
        </w:div>
        <w:div w:id="1818765137">
          <w:marLeft w:val="0"/>
          <w:marRight w:val="0"/>
          <w:marTop w:val="0"/>
          <w:marBottom w:val="0"/>
          <w:divBdr>
            <w:top w:val="none" w:sz="0" w:space="0" w:color="auto"/>
            <w:left w:val="none" w:sz="0" w:space="0" w:color="auto"/>
            <w:bottom w:val="none" w:sz="0" w:space="0" w:color="auto"/>
            <w:right w:val="none" w:sz="0" w:space="0" w:color="auto"/>
          </w:divBdr>
        </w:div>
        <w:div w:id="1654677962">
          <w:marLeft w:val="0"/>
          <w:marRight w:val="0"/>
          <w:marTop w:val="0"/>
          <w:marBottom w:val="0"/>
          <w:divBdr>
            <w:top w:val="none" w:sz="0" w:space="0" w:color="auto"/>
            <w:left w:val="none" w:sz="0" w:space="0" w:color="auto"/>
            <w:bottom w:val="none" w:sz="0" w:space="0" w:color="auto"/>
            <w:right w:val="none" w:sz="0" w:space="0" w:color="auto"/>
          </w:divBdr>
        </w:div>
        <w:div w:id="642809288">
          <w:marLeft w:val="0"/>
          <w:marRight w:val="0"/>
          <w:marTop w:val="0"/>
          <w:marBottom w:val="0"/>
          <w:divBdr>
            <w:top w:val="none" w:sz="0" w:space="0" w:color="auto"/>
            <w:left w:val="none" w:sz="0" w:space="0" w:color="auto"/>
            <w:bottom w:val="none" w:sz="0" w:space="0" w:color="auto"/>
            <w:right w:val="none" w:sz="0" w:space="0" w:color="auto"/>
          </w:divBdr>
        </w:div>
        <w:div w:id="337733925">
          <w:marLeft w:val="0"/>
          <w:marRight w:val="0"/>
          <w:marTop w:val="0"/>
          <w:marBottom w:val="0"/>
          <w:divBdr>
            <w:top w:val="none" w:sz="0" w:space="0" w:color="auto"/>
            <w:left w:val="none" w:sz="0" w:space="0" w:color="auto"/>
            <w:bottom w:val="none" w:sz="0" w:space="0" w:color="auto"/>
            <w:right w:val="none" w:sz="0" w:space="0" w:color="auto"/>
          </w:divBdr>
        </w:div>
        <w:div w:id="1562982146">
          <w:marLeft w:val="0"/>
          <w:marRight w:val="0"/>
          <w:marTop w:val="0"/>
          <w:marBottom w:val="0"/>
          <w:divBdr>
            <w:top w:val="none" w:sz="0" w:space="0" w:color="auto"/>
            <w:left w:val="none" w:sz="0" w:space="0" w:color="auto"/>
            <w:bottom w:val="none" w:sz="0" w:space="0" w:color="auto"/>
            <w:right w:val="none" w:sz="0" w:space="0" w:color="auto"/>
          </w:divBdr>
        </w:div>
        <w:div w:id="1649894127">
          <w:marLeft w:val="0"/>
          <w:marRight w:val="0"/>
          <w:marTop w:val="0"/>
          <w:marBottom w:val="0"/>
          <w:divBdr>
            <w:top w:val="none" w:sz="0" w:space="0" w:color="auto"/>
            <w:left w:val="none" w:sz="0" w:space="0" w:color="auto"/>
            <w:bottom w:val="none" w:sz="0" w:space="0" w:color="auto"/>
            <w:right w:val="none" w:sz="0" w:space="0" w:color="auto"/>
          </w:divBdr>
        </w:div>
        <w:div w:id="206114345">
          <w:marLeft w:val="0"/>
          <w:marRight w:val="0"/>
          <w:marTop w:val="0"/>
          <w:marBottom w:val="0"/>
          <w:divBdr>
            <w:top w:val="none" w:sz="0" w:space="0" w:color="auto"/>
            <w:left w:val="none" w:sz="0" w:space="0" w:color="auto"/>
            <w:bottom w:val="none" w:sz="0" w:space="0" w:color="auto"/>
            <w:right w:val="none" w:sz="0" w:space="0" w:color="auto"/>
          </w:divBdr>
        </w:div>
        <w:div w:id="890651694">
          <w:marLeft w:val="0"/>
          <w:marRight w:val="0"/>
          <w:marTop w:val="0"/>
          <w:marBottom w:val="0"/>
          <w:divBdr>
            <w:top w:val="none" w:sz="0" w:space="0" w:color="auto"/>
            <w:left w:val="none" w:sz="0" w:space="0" w:color="auto"/>
            <w:bottom w:val="none" w:sz="0" w:space="0" w:color="auto"/>
            <w:right w:val="none" w:sz="0" w:space="0" w:color="auto"/>
          </w:divBdr>
        </w:div>
        <w:div w:id="736173280">
          <w:marLeft w:val="0"/>
          <w:marRight w:val="0"/>
          <w:marTop w:val="0"/>
          <w:marBottom w:val="0"/>
          <w:divBdr>
            <w:top w:val="none" w:sz="0" w:space="0" w:color="auto"/>
            <w:left w:val="none" w:sz="0" w:space="0" w:color="auto"/>
            <w:bottom w:val="none" w:sz="0" w:space="0" w:color="auto"/>
            <w:right w:val="none" w:sz="0" w:space="0" w:color="auto"/>
          </w:divBdr>
        </w:div>
        <w:div w:id="1392077423">
          <w:marLeft w:val="0"/>
          <w:marRight w:val="0"/>
          <w:marTop w:val="0"/>
          <w:marBottom w:val="0"/>
          <w:divBdr>
            <w:top w:val="none" w:sz="0" w:space="0" w:color="auto"/>
            <w:left w:val="none" w:sz="0" w:space="0" w:color="auto"/>
            <w:bottom w:val="none" w:sz="0" w:space="0" w:color="auto"/>
            <w:right w:val="none" w:sz="0" w:space="0" w:color="auto"/>
          </w:divBdr>
        </w:div>
        <w:div w:id="1446848101">
          <w:marLeft w:val="0"/>
          <w:marRight w:val="0"/>
          <w:marTop w:val="0"/>
          <w:marBottom w:val="0"/>
          <w:divBdr>
            <w:top w:val="none" w:sz="0" w:space="0" w:color="auto"/>
            <w:left w:val="none" w:sz="0" w:space="0" w:color="auto"/>
            <w:bottom w:val="none" w:sz="0" w:space="0" w:color="auto"/>
            <w:right w:val="none" w:sz="0" w:space="0" w:color="auto"/>
          </w:divBdr>
        </w:div>
        <w:div w:id="283468072">
          <w:marLeft w:val="0"/>
          <w:marRight w:val="0"/>
          <w:marTop w:val="0"/>
          <w:marBottom w:val="0"/>
          <w:divBdr>
            <w:top w:val="none" w:sz="0" w:space="0" w:color="auto"/>
            <w:left w:val="none" w:sz="0" w:space="0" w:color="auto"/>
            <w:bottom w:val="none" w:sz="0" w:space="0" w:color="auto"/>
            <w:right w:val="none" w:sz="0" w:space="0" w:color="auto"/>
          </w:divBdr>
        </w:div>
        <w:div w:id="1928266547">
          <w:marLeft w:val="0"/>
          <w:marRight w:val="0"/>
          <w:marTop w:val="0"/>
          <w:marBottom w:val="0"/>
          <w:divBdr>
            <w:top w:val="none" w:sz="0" w:space="0" w:color="auto"/>
            <w:left w:val="none" w:sz="0" w:space="0" w:color="auto"/>
            <w:bottom w:val="none" w:sz="0" w:space="0" w:color="auto"/>
            <w:right w:val="none" w:sz="0" w:space="0" w:color="auto"/>
          </w:divBdr>
        </w:div>
        <w:div w:id="1082261944">
          <w:marLeft w:val="0"/>
          <w:marRight w:val="0"/>
          <w:marTop w:val="0"/>
          <w:marBottom w:val="0"/>
          <w:divBdr>
            <w:top w:val="none" w:sz="0" w:space="0" w:color="auto"/>
            <w:left w:val="none" w:sz="0" w:space="0" w:color="auto"/>
            <w:bottom w:val="none" w:sz="0" w:space="0" w:color="auto"/>
            <w:right w:val="none" w:sz="0" w:space="0" w:color="auto"/>
          </w:divBdr>
        </w:div>
        <w:div w:id="1868136142">
          <w:marLeft w:val="0"/>
          <w:marRight w:val="0"/>
          <w:marTop w:val="0"/>
          <w:marBottom w:val="0"/>
          <w:divBdr>
            <w:top w:val="none" w:sz="0" w:space="0" w:color="auto"/>
            <w:left w:val="none" w:sz="0" w:space="0" w:color="auto"/>
            <w:bottom w:val="none" w:sz="0" w:space="0" w:color="auto"/>
            <w:right w:val="none" w:sz="0" w:space="0" w:color="auto"/>
          </w:divBdr>
        </w:div>
        <w:div w:id="1604847118">
          <w:marLeft w:val="0"/>
          <w:marRight w:val="0"/>
          <w:marTop w:val="0"/>
          <w:marBottom w:val="0"/>
          <w:divBdr>
            <w:top w:val="none" w:sz="0" w:space="0" w:color="auto"/>
            <w:left w:val="none" w:sz="0" w:space="0" w:color="auto"/>
            <w:bottom w:val="none" w:sz="0" w:space="0" w:color="auto"/>
            <w:right w:val="none" w:sz="0" w:space="0" w:color="auto"/>
          </w:divBdr>
        </w:div>
        <w:div w:id="1607810508">
          <w:marLeft w:val="0"/>
          <w:marRight w:val="0"/>
          <w:marTop w:val="0"/>
          <w:marBottom w:val="0"/>
          <w:divBdr>
            <w:top w:val="none" w:sz="0" w:space="0" w:color="auto"/>
            <w:left w:val="none" w:sz="0" w:space="0" w:color="auto"/>
            <w:bottom w:val="none" w:sz="0" w:space="0" w:color="auto"/>
            <w:right w:val="none" w:sz="0" w:space="0" w:color="auto"/>
          </w:divBdr>
        </w:div>
        <w:div w:id="1586454669">
          <w:marLeft w:val="0"/>
          <w:marRight w:val="0"/>
          <w:marTop w:val="0"/>
          <w:marBottom w:val="0"/>
          <w:divBdr>
            <w:top w:val="none" w:sz="0" w:space="0" w:color="auto"/>
            <w:left w:val="none" w:sz="0" w:space="0" w:color="auto"/>
            <w:bottom w:val="none" w:sz="0" w:space="0" w:color="auto"/>
            <w:right w:val="none" w:sz="0" w:space="0" w:color="auto"/>
          </w:divBdr>
        </w:div>
        <w:div w:id="389773123">
          <w:marLeft w:val="0"/>
          <w:marRight w:val="0"/>
          <w:marTop w:val="0"/>
          <w:marBottom w:val="0"/>
          <w:divBdr>
            <w:top w:val="none" w:sz="0" w:space="0" w:color="auto"/>
            <w:left w:val="none" w:sz="0" w:space="0" w:color="auto"/>
            <w:bottom w:val="none" w:sz="0" w:space="0" w:color="auto"/>
            <w:right w:val="none" w:sz="0" w:space="0" w:color="auto"/>
          </w:divBdr>
        </w:div>
        <w:div w:id="1693218938">
          <w:marLeft w:val="0"/>
          <w:marRight w:val="0"/>
          <w:marTop w:val="0"/>
          <w:marBottom w:val="0"/>
          <w:divBdr>
            <w:top w:val="none" w:sz="0" w:space="0" w:color="auto"/>
            <w:left w:val="none" w:sz="0" w:space="0" w:color="auto"/>
            <w:bottom w:val="none" w:sz="0" w:space="0" w:color="auto"/>
            <w:right w:val="none" w:sz="0" w:space="0" w:color="auto"/>
          </w:divBdr>
        </w:div>
        <w:div w:id="158889804">
          <w:marLeft w:val="0"/>
          <w:marRight w:val="0"/>
          <w:marTop w:val="0"/>
          <w:marBottom w:val="0"/>
          <w:divBdr>
            <w:top w:val="none" w:sz="0" w:space="0" w:color="auto"/>
            <w:left w:val="none" w:sz="0" w:space="0" w:color="auto"/>
            <w:bottom w:val="none" w:sz="0" w:space="0" w:color="auto"/>
            <w:right w:val="none" w:sz="0" w:space="0" w:color="auto"/>
          </w:divBdr>
        </w:div>
        <w:div w:id="1531841388">
          <w:marLeft w:val="0"/>
          <w:marRight w:val="0"/>
          <w:marTop w:val="0"/>
          <w:marBottom w:val="0"/>
          <w:divBdr>
            <w:top w:val="none" w:sz="0" w:space="0" w:color="auto"/>
            <w:left w:val="none" w:sz="0" w:space="0" w:color="auto"/>
            <w:bottom w:val="none" w:sz="0" w:space="0" w:color="auto"/>
            <w:right w:val="none" w:sz="0" w:space="0" w:color="auto"/>
          </w:divBdr>
        </w:div>
        <w:div w:id="930045596">
          <w:marLeft w:val="0"/>
          <w:marRight w:val="0"/>
          <w:marTop w:val="0"/>
          <w:marBottom w:val="0"/>
          <w:divBdr>
            <w:top w:val="none" w:sz="0" w:space="0" w:color="auto"/>
            <w:left w:val="none" w:sz="0" w:space="0" w:color="auto"/>
            <w:bottom w:val="none" w:sz="0" w:space="0" w:color="auto"/>
            <w:right w:val="none" w:sz="0" w:space="0" w:color="auto"/>
          </w:divBdr>
        </w:div>
        <w:div w:id="769277177">
          <w:marLeft w:val="0"/>
          <w:marRight w:val="0"/>
          <w:marTop w:val="0"/>
          <w:marBottom w:val="0"/>
          <w:divBdr>
            <w:top w:val="none" w:sz="0" w:space="0" w:color="auto"/>
            <w:left w:val="none" w:sz="0" w:space="0" w:color="auto"/>
            <w:bottom w:val="none" w:sz="0" w:space="0" w:color="auto"/>
            <w:right w:val="none" w:sz="0" w:space="0" w:color="auto"/>
          </w:divBdr>
        </w:div>
        <w:div w:id="1211117436">
          <w:marLeft w:val="0"/>
          <w:marRight w:val="0"/>
          <w:marTop w:val="0"/>
          <w:marBottom w:val="0"/>
          <w:divBdr>
            <w:top w:val="none" w:sz="0" w:space="0" w:color="auto"/>
            <w:left w:val="none" w:sz="0" w:space="0" w:color="auto"/>
            <w:bottom w:val="none" w:sz="0" w:space="0" w:color="auto"/>
            <w:right w:val="none" w:sz="0" w:space="0" w:color="auto"/>
          </w:divBdr>
        </w:div>
        <w:div w:id="1179466194">
          <w:marLeft w:val="0"/>
          <w:marRight w:val="0"/>
          <w:marTop w:val="0"/>
          <w:marBottom w:val="0"/>
          <w:divBdr>
            <w:top w:val="none" w:sz="0" w:space="0" w:color="auto"/>
            <w:left w:val="none" w:sz="0" w:space="0" w:color="auto"/>
            <w:bottom w:val="none" w:sz="0" w:space="0" w:color="auto"/>
            <w:right w:val="none" w:sz="0" w:space="0" w:color="auto"/>
          </w:divBdr>
        </w:div>
        <w:div w:id="1487896111">
          <w:marLeft w:val="0"/>
          <w:marRight w:val="0"/>
          <w:marTop w:val="0"/>
          <w:marBottom w:val="0"/>
          <w:divBdr>
            <w:top w:val="none" w:sz="0" w:space="0" w:color="auto"/>
            <w:left w:val="none" w:sz="0" w:space="0" w:color="auto"/>
            <w:bottom w:val="none" w:sz="0" w:space="0" w:color="auto"/>
            <w:right w:val="none" w:sz="0" w:space="0" w:color="auto"/>
          </w:divBdr>
        </w:div>
        <w:div w:id="2099524046">
          <w:marLeft w:val="0"/>
          <w:marRight w:val="0"/>
          <w:marTop w:val="0"/>
          <w:marBottom w:val="0"/>
          <w:divBdr>
            <w:top w:val="none" w:sz="0" w:space="0" w:color="auto"/>
            <w:left w:val="none" w:sz="0" w:space="0" w:color="auto"/>
            <w:bottom w:val="none" w:sz="0" w:space="0" w:color="auto"/>
            <w:right w:val="none" w:sz="0" w:space="0" w:color="auto"/>
          </w:divBdr>
        </w:div>
      </w:divsChild>
    </w:div>
    <w:div w:id="1545293944">
      <w:bodyDiv w:val="1"/>
      <w:marLeft w:val="0"/>
      <w:marRight w:val="0"/>
      <w:marTop w:val="0"/>
      <w:marBottom w:val="0"/>
      <w:divBdr>
        <w:top w:val="none" w:sz="0" w:space="0" w:color="auto"/>
        <w:left w:val="none" w:sz="0" w:space="0" w:color="auto"/>
        <w:bottom w:val="none" w:sz="0" w:space="0" w:color="auto"/>
        <w:right w:val="none" w:sz="0" w:space="0" w:color="auto"/>
      </w:divBdr>
    </w:div>
    <w:div w:id="1671373152">
      <w:bodyDiv w:val="1"/>
      <w:marLeft w:val="0"/>
      <w:marRight w:val="0"/>
      <w:marTop w:val="0"/>
      <w:marBottom w:val="0"/>
      <w:divBdr>
        <w:top w:val="none" w:sz="0" w:space="0" w:color="auto"/>
        <w:left w:val="none" w:sz="0" w:space="0" w:color="auto"/>
        <w:bottom w:val="none" w:sz="0" w:space="0" w:color="auto"/>
        <w:right w:val="none" w:sz="0" w:space="0" w:color="auto"/>
      </w:divBdr>
    </w:div>
    <w:div w:id="1724522359">
      <w:bodyDiv w:val="1"/>
      <w:marLeft w:val="0"/>
      <w:marRight w:val="0"/>
      <w:marTop w:val="0"/>
      <w:marBottom w:val="0"/>
      <w:divBdr>
        <w:top w:val="none" w:sz="0" w:space="0" w:color="auto"/>
        <w:left w:val="none" w:sz="0" w:space="0" w:color="auto"/>
        <w:bottom w:val="none" w:sz="0" w:space="0" w:color="auto"/>
        <w:right w:val="none" w:sz="0" w:space="0" w:color="auto"/>
      </w:divBdr>
      <w:divsChild>
        <w:div w:id="1406369512">
          <w:marLeft w:val="0"/>
          <w:marRight w:val="0"/>
          <w:marTop w:val="0"/>
          <w:marBottom w:val="0"/>
          <w:divBdr>
            <w:top w:val="none" w:sz="0" w:space="0" w:color="auto"/>
            <w:left w:val="none" w:sz="0" w:space="0" w:color="auto"/>
            <w:bottom w:val="none" w:sz="0" w:space="0" w:color="auto"/>
            <w:right w:val="none" w:sz="0" w:space="0" w:color="auto"/>
          </w:divBdr>
        </w:div>
        <w:div w:id="760758293">
          <w:marLeft w:val="0"/>
          <w:marRight w:val="0"/>
          <w:marTop w:val="0"/>
          <w:marBottom w:val="0"/>
          <w:divBdr>
            <w:top w:val="none" w:sz="0" w:space="0" w:color="auto"/>
            <w:left w:val="none" w:sz="0" w:space="0" w:color="auto"/>
            <w:bottom w:val="none" w:sz="0" w:space="0" w:color="auto"/>
            <w:right w:val="none" w:sz="0" w:space="0" w:color="auto"/>
          </w:divBdr>
        </w:div>
        <w:div w:id="226427394">
          <w:marLeft w:val="0"/>
          <w:marRight w:val="0"/>
          <w:marTop w:val="0"/>
          <w:marBottom w:val="0"/>
          <w:divBdr>
            <w:top w:val="none" w:sz="0" w:space="0" w:color="auto"/>
            <w:left w:val="none" w:sz="0" w:space="0" w:color="auto"/>
            <w:bottom w:val="none" w:sz="0" w:space="0" w:color="auto"/>
            <w:right w:val="none" w:sz="0" w:space="0" w:color="auto"/>
          </w:divBdr>
        </w:div>
        <w:div w:id="2099981380">
          <w:marLeft w:val="0"/>
          <w:marRight w:val="0"/>
          <w:marTop w:val="0"/>
          <w:marBottom w:val="0"/>
          <w:divBdr>
            <w:top w:val="none" w:sz="0" w:space="0" w:color="auto"/>
            <w:left w:val="none" w:sz="0" w:space="0" w:color="auto"/>
            <w:bottom w:val="none" w:sz="0" w:space="0" w:color="auto"/>
            <w:right w:val="none" w:sz="0" w:space="0" w:color="auto"/>
          </w:divBdr>
        </w:div>
        <w:div w:id="1242254547">
          <w:marLeft w:val="0"/>
          <w:marRight w:val="0"/>
          <w:marTop w:val="0"/>
          <w:marBottom w:val="0"/>
          <w:divBdr>
            <w:top w:val="none" w:sz="0" w:space="0" w:color="auto"/>
            <w:left w:val="none" w:sz="0" w:space="0" w:color="auto"/>
            <w:bottom w:val="none" w:sz="0" w:space="0" w:color="auto"/>
            <w:right w:val="none" w:sz="0" w:space="0" w:color="auto"/>
          </w:divBdr>
        </w:div>
        <w:div w:id="1791776318">
          <w:marLeft w:val="0"/>
          <w:marRight w:val="0"/>
          <w:marTop w:val="0"/>
          <w:marBottom w:val="0"/>
          <w:divBdr>
            <w:top w:val="none" w:sz="0" w:space="0" w:color="auto"/>
            <w:left w:val="none" w:sz="0" w:space="0" w:color="auto"/>
            <w:bottom w:val="none" w:sz="0" w:space="0" w:color="auto"/>
            <w:right w:val="none" w:sz="0" w:space="0" w:color="auto"/>
          </w:divBdr>
        </w:div>
        <w:div w:id="905605787">
          <w:marLeft w:val="0"/>
          <w:marRight w:val="0"/>
          <w:marTop w:val="0"/>
          <w:marBottom w:val="0"/>
          <w:divBdr>
            <w:top w:val="none" w:sz="0" w:space="0" w:color="auto"/>
            <w:left w:val="none" w:sz="0" w:space="0" w:color="auto"/>
            <w:bottom w:val="none" w:sz="0" w:space="0" w:color="auto"/>
            <w:right w:val="none" w:sz="0" w:space="0" w:color="auto"/>
          </w:divBdr>
        </w:div>
        <w:div w:id="1398356247">
          <w:marLeft w:val="0"/>
          <w:marRight w:val="0"/>
          <w:marTop w:val="0"/>
          <w:marBottom w:val="0"/>
          <w:divBdr>
            <w:top w:val="none" w:sz="0" w:space="0" w:color="auto"/>
            <w:left w:val="none" w:sz="0" w:space="0" w:color="auto"/>
            <w:bottom w:val="none" w:sz="0" w:space="0" w:color="auto"/>
            <w:right w:val="none" w:sz="0" w:space="0" w:color="auto"/>
          </w:divBdr>
        </w:div>
        <w:div w:id="775365297">
          <w:marLeft w:val="0"/>
          <w:marRight w:val="0"/>
          <w:marTop w:val="0"/>
          <w:marBottom w:val="0"/>
          <w:divBdr>
            <w:top w:val="none" w:sz="0" w:space="0" w:color="auto"/>
            <w:left w:val="none" w:sz="0" w:space="0" w:color="auto"/>
            <w:bottom w:val="none" w:sz="0" w:space="0" w:color="auto"/>
            <w:right w:val="none" w:sz="0" w:space="0" w:color="auto"/>
          </w:divBdr>
        </w:div>
        <w:div w:id="1923447608">
          <w:marLeft w:val="0"/>
          <w:marRight w:val="0"/>
          <w:marTop w:val="0"/>
          <w:marBottom w:val="0"/>
          <w:divBdr>
            <w:top w:val="none" w:sz="0" w:space="0" w:color="auto"/>
            <w:left w:val="none" w:sz="0" w:space="0" w:color="auto"/>
            <w:bottom w:val="none" w:sz="0" w:space="0" w:color="auto"/>
            <w:right w:val="none" w:sz="0" w:space="0" w:color="auto"/>
          </w:divBdr>
        </w:div>
        <w:div w:id="953248582">
          <w:marLeft w:val="0"/>
          <w:marRight w:val="0"/>
          <w:marTop w:val="0"/>
          <w:marBottom w:val="0"/>
          <w:divBdr>
            <w:top w:val="none" w:sz="0" w:space="0" w:color="auto"/>
            <w:left w:val="none" w:sz="0" w:space="0" w:color="auto"/>
            <w:bottom w:val="none" w:sz="0" w:space="0" w:color="auto"/>
            <w:right w:val="none" w:sz="0" w:space="0" w:color="auto"/>
          </w:divBdr>
        </w:div>
        <w:div w:id="297615864">
          <w:marLeft w:val="0"/>
          <w:marRight w:val="0"/>
          <w:marTop w:val="0"/>
          <w:marBottom w:val="0"/>
          <w:divBdr>
            <w:top w:val="none" w:sz="0" w:space="0" w:color="auto"/>
            <w:left w:val="none" w:sz="0" w:space="0" w:color="auto"/>
            <w:bottom w:val="none" w:sz="0" w:space="0" w:color="auto"/>
            <w:right w:val="none" w:sz="0" w:space="0" w:color="auto"/>
          </w:divBdr>
        </w:div>
        <w:div w:id="1377003390">
          <w:marLeft w:val="0"/>
          <w:marRight w:val="0"/>
          <w:marTop w:val="0"/>
          <w:marBottom w:val="0"/>
          <w:divBdr>
            <w:top w:val="none" w:sz="0" w:space="0" w:color="auto"/>
            <w:left w:val="none" w:sz="0" w:space="0" w:color="auto"/>
            <w:bottom w:val="none" w:sz="0" w:space="0" w:color="auto"/>
            <w:right w:val="none" w:sz="0" w:space="0" w:color="auto"/>
          </w:divBdr>
        </w:div>
        <w:div w:id="1815021030">
          <w:marLeft w:val="0"/>
          <w:marRight w:val="0"/>
          <w:marTop w:val="0"/>
          <w:marBottom w:val="0"/>
          <w:divBdr>
            <w:top w:val="none" w:sz="0" w:space="0" w:color="auto"/>
            <w:left w:val="none" w:sz="0" w:space="0" w:color="auto"/>
            <w:bottom w:val="none" w:sz="0" w:space="0" w:color="auto"/>
            <w:right w:val="none" w:sz="0" w:space="0" w:color="auto"/>
          </w:divBdr>
        </w:div>
        <w:div w:id="1135411413">
          <w:marLeft w:val="0"/>
          <w:marRight w:val="0"/>
          <w:marTop w:val="0"/>
          <w:marBottom w:val="0"/>
          <w:divBdr>
            <w:top w:val="none" w:sz="0" w:space="0" w:color="auto"/>
            <w:left w:val="none" w:sz="0" w:space="0" w:color="auto"/>
            <w:bottom w:val="none" w:sz="0" w:space="0" w:color="auto"/>
            <w:right w:val="none" w:sz="0" w:space="0" w:color="auto"/>
          </w:divBdr>
        </w:div>
        <w:div w:id="1851067221">
          <w:marLeft w:val="0"/>
          <w:marRight w:val="0"/>
          <w:marTop w:val="0"/>
          <w:marBottom w:val="0"/>
          <w:divBdr>
            <w:top w:val="none" w:sz="0" w:space="0" w:color="auto"/>
            <w:left w:val="none" w:sz="0" w:space="0" w:color="auto"/>
            <w:bottom w:val="none" w:sz="0" w:space="0" w:color="auto"/>
            <w:right w:val="none" w:sz="0" w:space="0" w:color="auto"/>
          </w:divBdr>
        </w:div>
        <w:div w:id="985671616">
          <w:marLeft w:val="0"/>
          <w:marRight w:val="0"/>
          <w:marTop w:val="0"/>
          <w:marBottom w:val="0"/>
          <w:divBdr>
            <w:top w:val="none" w:sz="0" w:space="0" w:color="auto"/>
            <w:left w:val="none" w:sz="0" w:space="0" w:color="auto"/>
            <w:bottom w:val="none" w:sz="0" w:space="0" w:color="auto"/>
            <w:right w:val="none" w:sz="0" w:space="0" w:color="auto"/>
          </w:divBdr>
        </w:div>
        <w:div w:id="76220392">
          <w:marLeft w:val="0"/>
          <w:marRight w:val="0"/>
          <w:marTop w:val="0"/>
          <w:marBottom w:val="0"/>
          <w:divBdr>
            <w:top w:val="none" w:sz="0" w:space="0" w:color="auto"/>
            <w:left w:val="none" w:sz="0" w:space="0" w:color="auto"/>
            <w:bottom w:val="none" w:sz="0" w:space="0" w:color="auto"/>
            <w:right w:val="none" w:sz="0" w:space="0" w:color="auto"/>
          </w:divBdr>
        </w:div>
        <w:div w:id="1704355985">
          <w:marLeft w:val="0"/>
          <w:marRight w:val="0"/>
          <w:marTop w:val="0"/>
          <w:marBottom w:val="0"/>
          <w:divBdr>
            <w:top w:val="none" w:sz="0" w:space="0" w:color="auto"/>
            <w:left w:val="none" w:sz="0" w:space="0" w:color="auto"/>
            <w:bottom w:val="none" w:sz="0" w:space="0" w:color="auto"/>
            <w:right w:val="none" w:sz="0" w:space="0" w:color="auto"/>
          </w:divBdr>
        </w:div>
        <w:div w:id="444929719">
          <w:marLeft w:val="0"/>
          <w:marRight w:val="0"/>
          <w:marTop w:val="0"/>
          <w:marBottom w:val="0"/>
          <w:divBdr>
            <w:top w:val="none" w:sz="0" w:space="0" w:color="auto"/>
            <w:left w:val="none" w:sz="0" w:space="0" w:color="auto"/>
            <w:bottom w:val="none" w:sz="0" w:space="0" w:color="auto"/>
            <w:right w:val="none" w:sz="0" w:space="0" w:color="auto"/>
          </w:divBdr>
        </w:div>
        <w:div w:id="44330836">
          <w:marLeft w:val="0"/>
          <w:marRight w:val="0"/>
          <w:marTop w:val="0"/>
          <w:marBottom w:val="0"/>
          <w:divBdr>
            <w:top w:val="none" w:sz="0" w:space="0" w:color="auto"/>
            <w:left w:val="none" w:sz="0" w:space="0" w:color="auto"/>
            <w:bottom w:val="none" w:sz="0" w:space="0" w:color="auto"/>
            <w:right w:val="none" w:sz="0" w:space="0" w:color="auto"/>
          </w:divBdr>
        </w:div>
        <w:div w:id="590090625">
          <w:marLeft w:val="0"/>
          <w:marRight w:val="0"/>
          <w:marTop w:val="0"/>
          <w:marBottom w:val="0"/>
          <w:divBdr>
            <w:top w:val="none" w:sz="0" w:space="0" w:color="auto"/>
            <w:left w:val="none" w:sz="0" w:space="0" w:color="auto"/>
            <w:bottom w:val="none" w:sz="0" w:space="0" w:color="auto"/>
            <w:right w:val="none" w:sz="0" w:space="0" w:color="auto"/>
          </w:divBdr>
        </w:div>
        <w:div w:id="326596395">
          <w:marLeft w:val="0"/>
          <w:marRight w:val="0"/>
          <w:marTop w:val="0"/>
          <w:marBottom w:val="0"/>
          <w:divBdr>
            <w:top w:val="none" w:sz="0" w:space="0" w:color="auto"/>
            <w:left w:val="none" w:sz="0" w:space="0" w:color="auto"/>
            <w:bottom w:val="none" w:sz="0" w:space="0" w:color="auto"/>
            <w:right w:val="none" w:sz="0" w:space="0" w:color="auto"/>
          </w:divBdr>
        </w:div>
        <w:div w:id="1354260646">
          <w:marLeft w:val="0"/>
          <w:marRight w:val="0"/>
          <w:marTop w:val="0"/>
          <w:marBottom w:val="0"/>
          <w:divBdr>
            <w:top w:val="none" w:sz="0" w:space="0" w:color="auto"/>
            <w:left w:val="none" w:sz="0" w:space="0" w:color="auto"/>
            <w:bottom w:val="none" w:sz="0" w:space="0" w:color="auto"/>
            <w:right w:val="none" w:sz="0" w:space="0" w:color="auto"/>
          </w:divBdr>
        </w:div>
        <w:div w:id="1706176768">
          <w:marLeft w:val="0"/>
          <w:marRight w:val="0"/>
          <w:marTop w:val="0"/>
          <w:marBottom w:val="0"/>
          <w:divBdr>
            <w:top w:val="none" w:sz="0" w:space="0" w:color="auto"/>
            <w:left w:val="none" w:sz="0" w:space="0" w:color="auto"/>
            <w:bottom w:val="none" w:sz="0" w:space="0" w:color="auto"/>
            <w:right w:val="none" w:sz="0" w:space="0" w:color="auto"/>
          </w:divBdr>
        </w:div>
        <w:div w:id="1421290691">
          <w:marLeft w:val="0"/>
          <w:marRight w:val="0"/>
          <w:marTop w:val="0"/>
          <w:marBottom w:val="0"/>
          <w:divBdr>
            <w:top w:val="none" w:sz="0" w:space="0" w:color="auto"/>
            <w:left w:val="none" w:sz="0" w:space="0" w:color="auto"/>
            <w:bottom w:val="none" w:sz="0" w:space="0" w:color="auto"/>
            <w:right w:val="none" w:sz="0" w:space="0" w:color="auto"/>
          </w:divBdr>
        </w:div>
        <w:div w:id="1127701452">
          <w:marLeft w:val="0"/>
          <w:marRight w:val="0"/>
          <w:marTop w:val="0"/>
          <w:marBottom w:val="0"/>
          <w:divBdr>
            <w:top w:val="none" w:sz="0" w:space="0" w:color="auto"/>
            <w:left w:val="none" w:sz="0" w:space="0" w:color="auto"/>
            <w:bottom w:val="none" w:sz="0" w:space="0" w:color="auto"/>
            <w:right w:val="none" w:sz="0" w:space="0" w:color="auto"/>
          </w:divBdr>
        </w:div>
        <w:div w:id="1088847034">
          <w:marLeft w:val="0"/>
          <w:marRight w:val="0"/>
          <w:marTop w:val="0"/>
          <w:marBottom w:val="0"/>
          <w:divBdr>
            <w:top w:val="none" w:sz="0" w:space="0" w:color="auto"/>
            <w:left w:val="none" w:sz="0" w:space="0" w:color="auto"/>
            <w:bottom w:val="none" w:sz="0" w:space="0" w:color="auto"/>
            <w:right w:val="none" w:sz="0" w:space="0" w:color="auto"/>
          </w:divBdr>
        </w:div>
        <w:div w:id="407388197">
          <w:marLeft w:val="0"/>
          <w:marRight w:val="0"/>
          <w:marTop w:val="0"/>
          <w:marBottom w:val="0"/>
          <w:divBdr>
            <w:top w:val="none" w:sz="0" w:space="0" w:color="auto"/>
            <w:left w:val="none" w:sz="0" w:space="0" w:color="auto"/>
            <w:bottom w:val="none" w:sz="0" w:space="0" w:color="auto"/>
            <w:right w:val="none" w:sz="0" w:space="0" w:color="auto"/>
          </w:divBdr>
        </w:div>
        <w:div w:id="1682006734">
          <w:marLeft w:val="0"/>
          <w:marRight w:val="0"/>
          <w:marTop w:val="0"/>
          <w:marBottom w:val="0"/>
          <w:divBdr>
            <w:top w:val="none" w:sz="0" w:space="0" w:color="auto"/>
            <w:left w:val="none" w:sz="0" w:space="0" w:color="auto"/>
            <w:bottom w:val="none" w:sz="0" w:space="0" w:color="auto"/>
            <w:right w:val="none" w:sz="0" w:space="0" w:color="auto"/>
          </w:divBdr>
        </w:div>
        <w:div w:id="203251610">
          <w:marLeft w:val="0"/>
          <w:marRight w:val="0"/>
          <w:marTop w:val="0"/>
          <w:marBottom w:val="0"/>
          <w:divBdr>
            <w:top w:val="none" w:sz="0" w:space="0" w:color="auto"/>
            <w:left w:val="none" w:sz="0" w:space="0" w:color="auto"/>
            <w:bottom w:val="none" w:sz="0" w:space="0" w:color="auto"/>
            <w:right w:val="none" w:sz="0" w:space="0" w:color="auto"/>
          </w:divBdr>
        </w:div>
        <w:div w:id="837497847">
          <w:marLeft w:val="0"/>
          <w:marRight w:val="0"/>
          <w:marTop w:val="0"/>
          <w:marBottom w:val="0"/>
          <w:divBdr>
            <w:top w:val="none" w:sz="0" w:space="0" w:color="auto"/>
            <w:left w:val="none" w:sz="0" w:space="0" w:color="auto"/>
            <w:bottom w:val="none" w:sz="0" w:space="0" w:color="auto"/>
            <w:right w:val="none" w:sz="0" w:space="0" w:color="auto"/>
          </w:divBdr>
        </w:div>
        <w:div w:id="848451357">
          <w:marLeft w:val="0"/>
          <w:marRight w:val="0"/>
          <w:marTop w:val="0"/>
          <w:marBottom w:val="0"/>
          <w:divBdr>
            <w:top w:val="none" w:sz="0" w:space="0" w:color="auto"/>
            <w:left w:val="none" w:sz="0" w:space="0" w:color="auto"/>
            <w:bottom w:val="none" w:sz="0" w:space="0" w:color="auto"/>
            <w:right w:val="none" w:sz="0" w:space="0" w:color="auto"/>
          </w:divBdr>
        </w:div>
        <w:div w:id="485127154">
          <w:marLeft w:val="0"/>
          <w:marRight w:val="0"/>
          <w:marTop w:val="0"/>
          <w:marBottom w:val="0"/>
          <w:divBdr>
            <w:top w:val="none" w:sz="0" w:space="0" w:color="auto"/>
            <w:left w:val="none" w:sz="0" w:space="0" w:color="auto"/>
            <w:bottom w:val="none" w:sz="0" w:space="0" w:color="auto"/>
            <w:right w:val="none" w:sz="0" w:space="0" w:color="auto"/>
          </w:divBdr>
        </w:div>
        <w:div w:id="657803177">
          <w:marLeft w:val="0"/>
          <w:marRight w:val="0"/>
          <w:marTop w:val="0"/>
          <w:marBottom w:val="0"/>
          <w:divBdr>
            <w:top w:val="none" w:sz="0" w:space="0" w:color="auto"/>
            <w:left w:val="none" w:sz="0" w:space="0" w:color="auto"/>
            <w:bottom w:val="none" w:sz="0" w:space="0" w:color="auto"/>
            <w:right w:val="none" w:sz="0" w:space="0" w:color="auto"/>
          </w:divBdr>
        </w:div>
        <w:div w:id="1211839882">
          <w:marLeft w:val="0"/>
          <w:marRight w:val="0"/>
          <w:marTop w:val="0"/>
          <w:marBottom w:val="0"/>
          <w:divBdr>
            <w:top w:val="none" w:sz="0" w:space="0" w:color="auto"/>
            <w:left w:val="none" w:sz="0" w:space="0" w:color="auto"/>
            <w:bottom w:val="none" w:sz="0" w:space="0" w:color="auto"/>
            <w:right w:val="none" w:sz="0" w:space="0" w:color="auto"/>
          </w:divBdr>
        </w:div>
        <w:div w:id="2079161986">
          <w:marLeft w:val="0"/>
          <w:marRight w:val="0"/>
          <w:marTop w:val="0"/>
          <w:marBottom w:val="0"/>
          <w:divBdr>
            <w:top w:val="none" w:sz="0" w:space="0" w:color="auto"/>
            <w:left w:val="none" w:sz="0" w:space="0" w:color="auto"/>
            <w:bottom w:val="none" w:sz="0" w:space="0" w:color="auto"/>
            <w:right w:val="none" w:sz="0" w:space="0" w:color="auto"/>
          </w:divBdr>
        </w:div>
        <w:div w:id="1673606647">
          <w:marLeft w:val="0"/>
          <w:marRight w:val="0"/>
          <w:marTop w:val="0"/>
          <w:marBottom w:val="0"/>
          <w:divBdr>
            <w:top w:val="none" w:sz="0" w:space="0" w:color="auto"/>
            <w:left w:val="none" w:sz="0" w:space="0" w:color="auto"/>
            <w:bottom w:val="none" w:sz="0" w:space="0" w:color="auto"/>
            <w:right w:val="none" w:sz="0" w:space="0" w:color="auto"/>
          </w:divBdr>
        </w:div>
        <w:div w:id="1637493949">
          <w:marLeft w:val="0"/>
          <w:marRight w:val="0"/>
          <w:marTop w:val="0"/>
          <w:marBottom w:val="0"/>
          <w:divBdr>
            <w:top w:val="none" w:sz="0" w:space="0" w:color="auto"/>
            <w:left w:val="none" w:sz="0" w:space="0" w:color="auto"/>
            <w:bottom w:val="none" w:sz="0" w:space="0" w:color="auto"/>
            <w:right w:val="none" w:sz="0" w:space="0" w:color="auto"/>
          </w:divBdr>
        </w:div>
        <w:div w:id="1780686047">
          <w:marLeft w:val="0"/>
          <w:marRight w:val="0"/>
          <w:marTop w:val="0"/>
          <w:marBottom w:val="0"/>
          <w:divBdr>
            <w:top w:val="none" w:sz="0" w:space="0" w:color="auto"/>
            <w:left w:val="none" w:sz="0" w:space="0" w:color="auto"/>
            <w:bottom w:val="none" w:sz="0" w:space="0" w:color="auto"/>
            <w:right w:val="none" w:sz="0" w:space="0" w:color="auto"/>
          </w:divBdr>
        </w:div>
        <w:div w:id="791752501">
          <w:marLeft w:val="0"/>
          <w:marRight w:val="0"/>
          <w:marTop w:val="0"/>
          <w:marBottom w:val="0"/>
          <w:divBdr>
            <w:top w:val="none" w:sz="0" w:space="0" w:color="auto"/>
            <w:left w:val="none" w:sz="0" w:space="0" w:color="auto"/>
            <w:bottom w:val="none" w:sz="0" w:space="0" w:color="auto"/>
            <w:right w:val="none" w:sz="0" w:space="0" w:color="auto"/>
          </w:divBdr>
        </w:div>
        <w:div w:id="193005444">
          <w:marLeft w:val="0"/>
          <w:marRight w:val="0"/>
          <w:marTop w:val="0"/>
          <w:marBottom w:val="0"/>
          <w:divBdr>
            <w:top w:val="none" w:sz="0" w:space="0" w:color="auto"/>
            <w:left w:val="none" w:sz="0" w:space="0" w:color="auto"/>
            <w:bottom w:val="none" w:sz="0" w:space="0" w:color="auto"/>
            <w:right w:val="none" w:sz="0" w:space="0" w:color="auto"/>
          </w:divBdr>
        </w:div>
        <w:div w:id="1492407119">
          <w:marLeft w:val="0"/>
          <w:marRight w:val="0"/>
          <w:marTop w:val="0"/>
          <w:marBottom w:val="0"/>
          <w:divBdr>
            <w:top w:val="none" w:sz="0" w:space="0" w:color="auto"/>
            <w:left w:val="none" w:sz="0" w:space="0" w:color="auto"/>
            <w:bottom w:val="none" w:sz="0" w:space="0" w:color="auto"/>
            <w:right w:val="none" w:sz="0" w:space="0" w:color="auto"/>
          </w:divBdr>
        </w:div>
        <w:div w:id="726876907">
          <w:marLeft w:val="0"/>
          <w:marRight w:val="0"/>
          <w:marTop w:val="0"/>
          <w:marBottom w:val="0"/>
          <w:divBdr>
            <w:top w:val="none" w:sz="0" w:space="0" w:color="auto"/>
            <w:left w:val="none" w:sz="0" w:space="0" w:color="auto"/>
            <w:bottom w:val="none" w:sz="0" w:space="0" w:color="auto"/>
            <w:right w:val="none" w:sz="0" w:space="0" w:color="auto"/>
          </w:divBdr>
        </w:div>
        <w:div w:id="1132943577">
          <w:marLeft w:val="0"/>
          <w:marRight w:val="0"/>
          <w:marTop w:val="0"/>
          <w:marBottom w:val="0"/>
          <w:divBdr>
            <w:top w:val="none" w:sz="0" w:space="0" w:color="auto"/>
            <w:left w:val="none" w:sz="0" w:space="0" w:color="auto"/>
            <w:bottom w:val="none" w:sz="0" w:space="0" w:color="auto"/>
            <w:right w:val="none" w:sz="0" w:space="0" w:color="auto"/>
          </w:divBdr>
        </w:div>
        <w:div w:id="311057407">
          <w:marLeft w:val="0"/>
          <w:marRight w:val="0"/>
          <w:marTop w:val="0"/>
          <w:marBottom w:val="0"/>
          <w:divBdr>
            <w:top w:val="none" w:sz="0" w:space="0" w:color="auto"/>
            <w:left w:val="none" w:sz="0" w:space="0" w:color="auto"/>
            <w:bottom w:val="none" w:sz="0" w:space="0" w:color="auto"/>
            <w:right w:val="none" w:sz="0" w:space="0" w:color="auto"/>
          </w:divBdr>
        </w:div>
        <w:div w:id="1784882706">
          <w:marLeft w:val="0"/>
          <w:marRight w:val="0"/>
          <w:marTop w:val="0"/>
          <w:marBottom w:val="0"/>
          <w:divBdr>
            <w:top w:val="none" w:sz="0" w:space="0" w:color="auto"/>
            <w:left w:val="none" w:sz="0" w:space="0" w:color="auto"/>
            <w:bottom w:val="none" w:sz="0" w:space="0" w:color="auto"/>
            <w:right w:val="none" w:sz="0" w:space="0" w:color="auto"/>
          </w:divBdr>
        </w:div>
        <w:div w:id="652374321">
          <w:marLeft w:val="0"/>
          <w:marRight w:val="0"/>
          <w:marTop w:val="0"/>
          <w:marBottom w:val="0"/>
          <w:divBdr>
            <w:top w:val="none" w:sz="0" w:space="0" w:color="auto"/>
            <w:left w:val="none" w:sz="0" w:space="0" w:color="auto"/>
            <w:bottom w:val="none" w:sz="0" w:space="0" w:color="auto"/>
            <w:right w:val="none" w:sz="0" w:space="0" w:color="auto"/>
          </w:divBdr>
        </w:div>
        <w:div w:id="154536962">
          <w:marLeft w:val="0"/>
          <w:marRight w:val="0"/>
          <w:marTop w:val="0"/>
          <w:marBottom w:val="0"/>
          <w:divBdr>
            <w:top w:val="none" w:sz="0" w:space="0" w:color="auto"/>
            <w:left w:val="none" w:sz="0" w:space="0" w:color="auto"/>
            <w:bottom w:val="none" w:sz="0" w:space="0" w:color="auto"/>
            <w:right w:val="none" w:sz="0" w:space="0" w:color="auto"/>
          </w:divBdr>
        </w:div>
        <w:div w:id="711460323">
          <w:marLeft w:val="0"/>
          <w:marRight w:val="0"/>
          <w:marTop w:val="0"/>
          <w:marBottom w:val="0"/>
          <w:divBdr>
            <w:top w:val="none" w:sz="0" w:space="0" w:color="auto"/>
            <w:left w:val="none" w:sz="0" w:space="0" w:color="auto"/>
            <w:bottom w:val="none" w:sz="0" w:space="0" w:color="auto"/>
            <w:right w:val="none" w:sz="0" w:space="0" w:color="auto"/>
          </w:divBdr>
        </w:div>
        <w:div w:id="170756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ece.org/trans/main/wp5/international_transport_infrastructure_observatory.html" TargetMode="External"/><Relationship Id="rId4" Type="http://schemas.openxmlformats.org/officeDocument/2006/relationships/settings" Target="settings.xml"/><Relationship Id="rId9" Type="http://schemas.openxmlformats.org/officeDocument/2006/relationships/hyperlink" Target="http://www.unece.org/trans/main/wp5/transport_and_urban_development.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FBAC-B420-4219-8F17-9745DDE2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19</Pages>
  <Words>7241</Words>
  <Characters>41280</Characters>
  <Application>Microsoft Office Word</Application>
  <DocSecurity>0</DocSecurity>
  <Lines>344</Lines>
  <Paragraphs>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ECE/TRANS/WP.5/64</vt:lpstr>
      <vt:lpstr>United Nations</vt:lpstr>
    </vt:vector>
  </TitlesOfParts>
  <Company>CSD</Company>
  <LinksUpToDate>false</LinksUpToDate>
  <CharactersWithSpaces>48425</CharactersWithSpaces>
  <SharedDoc>false</SharedDoc>
  <HLinks>
    <vt:vector size="6" baseType="variant">
      <vt:variant>
        <vt:i4>6029358</vt:i4>
      </vt:variant>
      <vt:variant>
        <vt:i4>0</vt:i4>
      </vt:variant>
      <vt:variant>
        <vt:i4>0</vt:i4>
      </vt:variant>
      <vt:variant>
        <vt:i4>5</vt:i4>
      </vt:variant>
      <vt:variant>
        <vt:lpwstr>http://www.unece.org/trans/main/wp5/workshop_rail_road_corridors_europe_asia.html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ECE/TRANS/WP.5/64</dc:title>
  <dc:subject>1821939</dc:subject>
  <dc:creator>Barinova</dc:creator>
  <cp:keywords/>
  <dc:description/>
  <cp:lastModifiedBy>Maria Mostovets</cp:lastModifiedBy>
  <cp:revision>2</cp:revision>
  <cp:lastPrinted>2018-12-14T10:06:00Z</cp:lastPrinted>
  <dcterms:created xsi:type="dcterms:W3CDTF">2019-08-27T09:22:00Z</dcterms:created>
  <dcterms:modified xsi:type="dcterms:W3CDTF">2019-08-27T09:22:00Z</dcterms:modified>
</cp:coreProperties>
</file>