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D79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D79E1" w:rsidP="005D79E1">
            <w:pPr>
              <w:jc w:val="right"/>
            </w:pPr>
            <w:r w:rsidRPr="005D79E1">
              <w:rPr>
                <w:sz w:val="40"/>
              </w:rPr>
              <w:t>ECE</w:t>
            </w:r>
            <w:r>
              <w:t>/TRANS/WP.29/GRVA/2018/10</w:t>
            </w:r>
          </w:p>
        </w:tc>
      </w:tr>
      <w:tr w:rsidR="002D5AAC" w:rsidRPr="005D79E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D79E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D79E1" w:rsidRDefault="005D79E1" w:rsidP="005D79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July 2018</w:t>
            </w:r>
          </w:p>
          <w:p w:rsidR="005D79E1" w:rsidRDefault="005D79E1" w:rsidP="005D79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D79E1" w:rsidRPr="008D53B6" w:rsidRDefault="005D79E1" w:rsidP="005D79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D79E1" w:rsidRPr="005D79E1" w:rsidRDefault="005D79E1" w:rsidP="005D79E1">
      <w:pPr>
        <w:spacing w:before="120"/>
        <w:rPr>
          <w:rFonts w:eastAsia="Times New Roman" w:cs="Times New Roman"/>
          <w:sz w:val="28"/>
          <w:szCs w:val="28"/>
          <w:lang w:val="en-GB"/>
        </w:rPr>
      </w:pPr>
      <w:r w:rsidRPr="005D79E1">
        <w:rPr>
          <w:rFonts w:eastAsia="Times New Roman" w:cs="Times New Roman"/>
          <w:sz w:val="28"/>
          <w:szCs w:val="28"/>
          <w:lang w:val="en-GB"/>
        </w:rPr>
        <w:t>Комитет по внутреннему транспорту</w:t>
      </w:r>
    </w:p>
    <w:p w:rsidR="005D79E1" w:rsidRPr="005D79E1" w:rsidRDefault="005D79E1" w:rsidP="005D79E1">
      <w:pPr>
        <w:adjustRightInd w:val="0"/>
        <w:snapToGrid w:val="0"/>
        <w:spacing w:before="120" w:after="120"/>
        <w:rPr>
          <w:rFonts w:eastAsia="Times New Roman" w:cs="Times New Roman"/>
          <w:b/>
          <w:sz w:val="24"/>
          <w:szCs w:val="24"/>
        </w:rPr>
      </w:pPr>
      <w:r w:rsidRPr="005D79E1">
        <w:rPr>
          <w:rFonts w:eastAsia="Times New Roman" w:cs="Times New Roman"/>
          <w:b/>
          <w:sz w:val="24"/>
          <w:szCs w:val="24"/>
        </w:rPr>
        <w:t>Всемирный форум для согласования правил</w:t>
      </w:r>
      <w:r w:rsidRPr="005D79E1">
        <w:rPr>
          <w:rFonts w:eastAsia="Times New Roman" w:cs="Times New Roman"/>
          <w:b/>
          <w:sz w:val="24"/>
          <w:szCs w:val="24"/>
        </w:rPr>
        <w:br/>
        <w:t>в области транспортных средств</w:t>
      </w:r>
    </w:p>
    <w:p w:rsidR="005D79E1" w:rsidRPr="005D79E1" w:rsidRDefault="005D79E1" w:rsidP="005D79E1">
      <w:pPr>
        <w:suppressAutoHyphens w:val="0"/>
        <w:snapToGrid w:val="0"/>
        <w:spacing w:after="120" w:line="240" w:lineRule="exact"/>
        <w:rPr>
          <w:rFonts w:eastAsia="Times New Roman" w:cs="Times New Roman"/>
          <w:b/>
          <w:bCs/>
          <w:szCs w:val="20"/>
        </w:rPr>
      </w:pPr>
      <w:bookmarkStart w:id="1" w:name="_Hlk518466992"/>
      <w:r w:rsidRPr="005D79E1">
        <w:rPr>
          <w:rFonts w:eastAsia="Times New Roman" w:cs="Times New Roman"/>
          <w:b/>
          <w:bCs/>
          <w:szCs w:val="20"/>
        </w:rPr>
        <w:t>Рабочая группа по автоматизированным/автономным</w:t>
      </w:r>
      <w:r w:rsidRPr="005D79E1">
        <w:rPr>
          <w:rFonts w:eastAsia="Times New Roman" w:cs="Times New Roman"/>
          <w:b/>
          <w:bCs/>
          <w:szCs w:val="20"/>
        </w:rPr>
        <w:br/>
        <w:t>и подключенным транспортным средствам</w:t>
      </w:r>
      <w:r w:rsidRPr="005D79E1">
        <w:rPr>
          <w:rFonts w:eastAsia="Times New Roman" w:cs="Times New Roman"/>
          <w:sz w:val="18"/>
          <w:szCs w:val="18"/>
        </w:rPr>
        <w:footnoteReference w:customMarkFollows="1" w:id="1"/>
        <w:t>*</w:t>
      </w:r>
      <w:bookmarkEnd w:id="1"/>
    </w:p>
    <w:p w:rsidR="005D79E1" w:rsidRPr="005D79E1" w:rsidRDefault="005D79E1" w:rsidP="005D79E1">
      <w:pPr>
        <w:suppressAutoHyphens w:val="0"/>
        <w:spacing w:line="240" w:lineRule="auto"/>
        <w:rPr>
          <w:rFonts w:eastAsia="Times New Roman" w:cs="Times New Roman"/>
          <w:b/>
          <w:szCs w:val="20"/>
          <w:lang w:val="en-GB"/>
        </w:rPr>
      </w:pPr>
      <w:r w:rsidRPr="005D79E1">
        <w:rPr>
          <w:rFonts w:eastAsia="Times New Roman" w:cs="Times New Roman"/>
          <w:b/>
          <w:szCs w:val="20"/>
          <w:lang w:val="en-GB"/>
        </w:rPr>
        <w:t>Первая сессия</w:t>
      </w:r>
    </w:p>
    <w:p w:rsidR="005D79E1" w:rsidRPr="005D79E1" w:rsidRDefault="005D79E1" w:rsidP="005D79E1">
      <w:pPr>
        <w:rPr>
          <w:rFonts w:eastAsia="Times New Roman" w:cs="Times New Roman"/>
          <w:szCs w:val="20"/>
          <w:lang w:val="en-GB"/>
        </w:rPr>
      </w:pPr>
      <w:r w:rsidRPr="005D79E1">
        <w:rPr>
          <w:rFonts w:eastAsia="Times New Roman" w:cs="Times New Roman"/>
          <w:szCs w:val="20"/>
          <w:lang w:val="en-GB"/>
        </w:rPr>
        <w:t>Женева, 25–28 сентября 2018 года</w:t>
      </w:r>
    </w:p>
    <w:p w:rsidR="005D79E1" w:rsidRPr="005D79E1" w:rsidRDefault="005D79E1" w:rsidP="005D79E1">
      <w:pPr>
        <w:rPr>
          <w:rFonts w:eastAsia="Times New Roman" w:cs="Times New Roman"/>
          <w:szCs w:val="20"/>
          <w:lang w:val="en-GB"/>
        </w:rPr>
      </w:pPr>
      <w:r w:rsidRPr="005D79E1">
        <w:rPr>
          <w:rFonts w:eastAsia="Times New Roman" w:cs="Times New Roman"/>
          <w:szCs w:val="20"/>
          <w:lang w:val="en-GB"/>
        </w:rPr>
        <w:t>Пункт 14 b) предварительной повестки дня</w:t>
      </w:r>
    </w:p>
    <w:p w:rsidR="005D79E1" w:rsidRPr="005D79E1" w:rsidRDefault="005D79E1" w:rsidP="005D79E1">
      <w:pPr>
        <w:rPr>
          <w:rFonts w:eastAsia="Times New Roman" w:cs="Times New Roman"/>
          <w:b/>
          <w:bCs/>
          <w:szCs w:val="20"/>
        </w:rPr>
      </w:pPr>
      <w:r w:rsidRPr="005D79E1">
        <w:rPr>
          <w:rFonts w:eastAsia="Times New Roman" w:cs="Times New Roman"/>
          <w:b/>
          <w:bCs/>
          <w:szCs w:val="20"/>
        </w:rPr>
        <w:t>Оставшиеся мероприятия прежней Рабочей группы</w:t>
      </w:r>
      <w:r w:rsidRPr="005D79E1">
        <w:rPr>
          <w:rFonts w:eastAsia="Times New Roman" w:cs="Times New Roman"/>
          <w:b/>
          <w:bCs/>
          <w:szCs w:val="20"/>
        </w:rPr>
        <w:br/>
        <w:t xml:space="preserve">по вопросам торможения </w:t>
      </w:r>
      <w:r>
        <w:rPr>
          <w:rFonts w:eastAsia="Times New Roman" w:cs="Times New Roman"/>
          <w:b/>
          <w:bCs/>
          <w:szCs w:val="20"/>
        </w:rPr>
        <w:t>и ходовой части</w:t>
      </w:r>
      <w:r>
        <w:rPr>
          <w:rFonts w:eastAsia="Times New Roman" w:cs="Times New Roman"/>
          <w:b/>
          <w:bCs/>
          <w:szCs w:val="20"/>
        </w:rPr>
        <w:br/>
      </w:r>
      <w:r w:rsidRPr="005D79E1">
        <w:rPr>
          <w:rFonts w:eastAsia="Times New Roman" w:cs="Times New Roman"/>
          <w:b/>
          <w:bCs/>
          <w:szCs w:val="20"/>
        </w:rPr>
        <w:t>(период передачи дел):</w:t>
      </w:r>
    </w:p>
    <w:p w:rsidR="005D79E1" w:rsidRPr="005D79E1" w:rsidRDefault="005D79E1" w:rsidP="005D79E1">
      <w:pPr>
        <w:rPr>
          <w:rFonts w:eastAsia="Times New Roman" w:cs="Times New Roman"/>
          <w:b/>
          <w:bCs/>
          <w:szCs w:val="20"/>
        </w:rPr>
      </w:pPr>
      <w:r w:rsidRPr="005D79E1">
        <w:rPr>
          <w:rFonts w:eastAsia="Times New Roman" w:cs="Times New Roman"/>
          <w:b/>
          <w:bCs/>
          <w:szCs w:val="20"/>
        </w:rPr>
        <w:t>Механические сцепные устройства</w:t>
      </w:r>
    </w:p>
    <w:p w:rsidR="005D79E1" w:rsidRPr="009F489A" w:rsidRDefault="005D79E1" w:rsidP="005D79E1">
      <w:pPr>
        <w:pStyle w:val="HChGR"/>
      </w:pPr>
      <w:bookmarkStart w:id="2" w:name="OLE_LINK2"/>
      <w:r w:rsidRPr="009F489A">
        <w:tab/>
      </w:r>
      <w:r w:rsidRPr="009F489A">
        <w:tab/>
        <w:t>Предложение по допо</w:t>
      </w:r>
      <w:r>
        <w:t>лнению 8 к поправкам серии 01 к </w:t>
      </w:r>
      <w:r w:rsidRPr="009F489A">
        <w:t>Правилам № 55 ООН (механические сцепные устройства)</w:t>
      </w:r>
      <w:bookmarkEnd w:id="2"/>
    </w:p>
    <w:p w:rsidR="005D79E1" w:rsidRPr="009F489A" w:rsidRDefault="005D79E1" w:rsidP="005D79E1">
      <w:pPr>
        <w:pStyle w:val="H1GR"/>
      </w:pPr>
      <w:r w:rsidRPr="009F489A">
        <w:tab/>
      </w:r>
      <w:r w:rsidRPr="009F489A">
        <w:tab/>
        <w:t>Представлено экспертом от Европейской ассоциации поставщиков автомобильных деталей</w:t>
      </w:r>
      <w:r w:rsidRPr="005D79E1">
        <w:rPr>
          <w:rStyle w:val="FootnoteReference"/>
          <w:b w:val="0"/>
          <w:position w:val="4"/>
          <w:szCs w:val="24"/>
          <w:vertAlign w:val="baseline"/>
        </w:rPr>
        <w:footnoteReference w:customMarkFollows="1" w:id="2"/>
        <w:t>**</w:t>
      </w:r>
    </w:p>
    <w:p w:rsidR="005D79E1" w:rsidRPr="005D79E1" w:rsidRDefault="005D79E1" w:rsidP="005D79E1">
      <w:pPr>
        <w:keepNext/>
        <w:keepLines/>
        <w:spacing w:before="360" w:after="240"/>
        <w:ind w:left="1134" w:right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Pr="005D79E1">
        <w:rPr>
          <w:rFonts w:eastAsia="Times New Roman" w:cs="Times New Roman"/>
          <w:szCs w:val="20"/>
        </w:rPr>
        <w:tab/>
        <w:t>Воспроизведенный ниже текст был подготовлен экспертом от Европейской ассоциации поставщиков автомобильных деталей (КСАОД) для представления поправки к Правилам № 55 ООН. Он основан на документе GRRF-86-03, содержит ссылку на документ ECE/TRANS/WP.29/GRRF/2014/28 и призван уточнить текст этих Правил. Изменения к существующему тексту Правил выделены жирным шрифтом в случае новых положений или зачеркиванием</w:t>
      </w:r>
      <w:r w:rsidRPr="005D79E1">
        <w:rPr>
          <w:rFonts w:eastAsia="Times New Roman" w:cs="Times New Roman"/>
          <w:szCs w:val="20"/>
          <w:lang w:val="en-US"/>
        </w:rPr>
        <w:t> </w:t>
      </w:r>
      <w:r w:rsidRPr="005D79E1">
        <w:rPr>
          <w:rFonts w:eastAsia="Times New Roman" w:cs="Times New Roman"/>
          <w:szCs w:val="20"/>
        </w:rPr>
        <w:t>в случае исключенных элементов.</w:t>
      </w:r>
    </w:p>
    <w:p w:rsidR="005D79E1" w:rsidRPr="005D79E1" w:rsidRDefault="005D79E1" w:rsidP="005D79E1">
      <w:pPr>
        <w:pStyle w:val="HChGR"/>
        <w:pageBreakBefore/>
      </w:pPr>
      <w:r w:rsidRPr="005D79E1">
        <w:lastRenderedPageBreak/>
        <w:tab/>
        <w:t>I.</w:t>
      </w:r>
      <w:r w:rsidRPr="005D79E1">
        <w:tab/>
        <w:t>Предложение</w:t>
      </w:r>
    </w:p>
    <w:p w:rsidR="005D79E1" w:rsidRPr="005D79E1" w:rsidRDefault="005D79E1" w:rsidP="005D79E1">
      <w:pPr>
        <w:pStyle w:val="SingleTxtGR"/>
      </w:pPr>
      <w:r w:rsidRPr="005D79E1">
        <w:rPr>
          <w:i/>
        </w:rPr>
        <w:t>Приложение 5</w:t>
      </w:r>
    </w:p>
    <w:p w:rsidR="005D79E1" w:rsidRPr="005D79E1" w:rsidRDefault="005D79E1" w:rsidP="005D79E1">
      <w:pPr>
        <w:pStyle w:val="SingleTxtGR"/>
      </w:pPr>
      <w:r w:rsidRPr="005D79E1">
        <w:rPr>
          <w:i/>
          <w:iCs/>
        </w:rPr>
        <w:t>Пункт 13.1</w:t>
      </w:r>
      <w:r w:rsidRPr="005D79E1">
        <w:t xml:space="preserve"> изменить следующим образом:</w:t>
      </w:r>
    </w:p>
    <w:p w:rsidR="005D79E1" w:rsidRPr="005D79E1" w:rsidRDefault="005D79E1" w:rsidP="005D79E1">
      <w:pPr>
        <w:pStyle w:val="SingleTxtGR"/>
        <w:tabs>
          <w:tab w:val="clear" w:pos="1701"/>
        </w:tabs>
        <w:ind w:left="2268" w:hanging="1134"/>
      </w:pPr>
      <w:bookmarkStart w:id="3" w:name="_Hlk517881714"/>
      <w:r>
        <w:t>«</w:t>
      </w:r>
      <w:r w:rsidRPr="005D79E1">
        <w:t>13.1</w:t>
      </w:r>
      <w:r w:rsidRPr="005D79E1">
        <w:tab/>
        <w:t>Использование дистанционных индикаторов и устройств дистанционного управления допускается только в автоматических соединительных фланцах и автоматических опорно-сцепных устройствах.</w:t>
      </w:r>
    </w:p>
    <w:bookmarkEnd w:id="3"/>
    <w:p w:rsidR="005D79E1" w:rsidRPr="005D79E1" w:rsidRDefault="005D79E1" w:rsidP="005D79E1">
      <w:pPr>
        <w:spacing w:after="120"/>
        <w:ind w:left="2268" w:right="1134"/>
        <w:jc w:val="both"/>
        <w:rPr>
          <w:rFonts w:eastAsia="Times New Roman" w:cs="Times New Roman"/>
          <w:strike/>
          <w:szCs w:val="20"/>
        </w:rPr>
      </w:pPr>
      <w:r w:rsidRPr="005D79E1">
        <w:rPr>
          <w:rFonts w:eastAsia="Times New Roman" w:cs="Times New Roman"/>
          <w:strike/>
          <w:szCs w:val="20"/>
        </w:rPr>
        <w:t>Использование дистанционных индикаторов и устройств дистанционного управления допускается только на автоматических сцепных устройствах классов C50-X и G50-X.</w:t>
      </w:r>
    </w:p>
    <w:p w:rsidR="005D79E1" w:rsidRPr="005D79E1" w:rsidRDefault="005D79E1" w:rsidP="005D79E1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bookmarkStart w:id="4" w:name="_Hlk517881726"/>
      <w:r w:rsidRPr="005D79E1">
        <w:rPr>
          <w:rFonts w:eastAsia="Times New Roman" w:cs="Times New Roman"/>
          <w:szCs w:val="20"/>
        </w:rPr>
        <w:t>Дистанционные индикаторы и устройства дистанционного управления не должны препятствовать минимальному свободному движению сцепленной проушины сцепной тяги или сцепленного полуприцепа.</w:t>
      </w:r>
      <w:r>
        <w:rPr>
          <w:rFonts w:eastAsia="Times New Roman" w:cs="Times New Roman"/>
          <w:szCs w:val="20"/>
        </w:rPr>
        <w:t xml:space="preserve"> Они </w:t>
      </w:r>
      <w:r w:rsidRPr="005D79E1">
        <w:rPr>
          <w:rFonts w:eastAsia="Times New Roman" w:cs="Times New Roman"/>
          <w:szCs w:val="20"/>
        </w:rPr>
        <w:t>должны быть стационарно установлены на транспортном средстве.</w:t>
      </w:r>
    </w:p>
    <w:p w:rsidR="005D79E1" w:rsidRPr="005D79E1" w:rsidRDefault="005D79E1" w:rsidP="005D79E1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5D79E1">
        <w:rPr>
          <w:rFonts w:eastAsia="Times New Roman" w:cs="Times New Roman"/>
          <w:szCs w:val="20"/>
        </w:rPr>
        <w:t>На все дистанционные индикаторы или устройства дистанционного управления распространяются предписания, касающиеся испытания и официального утверждения сцепных устройств вместе со всеми элементами рабочих органо</w:t>
      </w:r>
      <w:r>
        <w:rPr>
          <w:rFonts w:eastAsia="Times New Roman" w:cs="Times New Roman"/>
          <w:szCs w:val="20"/>
        </w:rPr>
        <w:t>в и передаточных приспособлений».</w:t>
      </w:r>
    </w:p>
    <w:bookmarkEnd w:id="4"/>
    <w:p w:rsidR="005D79E1" w:rsidRPr="005D79E1" w:rsidRDefault="005D79E1" w:rsidP="005D79E1">
      <w:pPr>
        <w:pStyle w:val="HChGR"/>
      </w:pPr>
      <w:r w:rsidRPr="005D79E1">
        <w:tab/>
        <w:t>II.</w:t>
      </w:r>
      <w:r w:rsidRPr="005D79E1">
        <w:tab/>
        <w:t>Обоснование</w:t>
      </w:r>
    </w:p>
    <w:p w:rsidR="005D79E1" w:rsidRPr="005D79E1" w:rsidRDefault="005D79E1" w:rsidP="005D79E1">
      <w:pPr>
        <w:pStyle w:val="SingleTxtGR"/>
      </w:pPr>
      <w:proofErr w:type="gramStart"/>
      <w:r w:rsidRPr="005D79E1">
        <w:t>1.</w:t>
      </w:r>
      <w:r w:rsidRPr="005D79E1">
        <w:tab/>
        <w:t>В</w:t>
      </w:r>
      <w:proofErr w:type="gramEnd"/>
      <w:r w:rsidRPr="005D79E1">
        <w:t xml:space="preserve"> дополнении 04 к поправкам 01 серии (см. документы ECE/TRANS/</w:t>
      </w:r>
      <w:r>
        <w:t xml:space="preserve"> </w:t>
      </w:r>
      <w:r w:rsidRPr="005D79E1">
        <w:t>WP.29/GRRF/2014/28 и в соответствующем документе ECE/TRANS/WP.29/2015/07) был исключен второй абзац пункта 13.1 (бывший пункт 12.1), однако это не нашло отражения в пересмотре 2 Правил № 55 ООН. По этой причине необходимо подтвердить исключение соответствующего абзаца.</w:t>
      </w:r>
    </w:p>
    <w:p w:rsidR="005D79E1" w:rsidRPr="005D79E1" w:rsidRDefault="005D79E1" w:rsidP="005D79E1">
      <w:pPr>
        <w:pStyle w:val="SingleTxtGR"/>
      </w:pPr>
      <w:r w:rsidRPr="005D79E1">
        <w:t>2.</w:t>
      </w:r>
      <w:r w:rsidRPr="005D79E1">
        <w:tab/>
        <w:t>Кроме того, дополнение 4 к серии поправок 01 не содержит четкого указания на то, следует ли исключить третий и четвертый абзацы пункта 13.1 (бывший пункт 12.1). Возможно толкование, сводящееся к тому, что все абзацы как исключаются, так и сохраняются. С учетом обсуждения, состоявшегося на семьдесят восьмой сессии GRRF, представляется, что GRRF намеревалась исключить только ограничение, касающееся автоматических сцепных у</w:t>
      </w:r>
      <w:r>
        <w:t>стройств классов C50-X и G50-X,</w:t>
      </w:r>
      <w:r>
        <w:br/>
      </w:r>
      <w:r w:rsidRPr="005D79E1">
        <w:t>т. е. исключить только второй абзац, сохр</w:t>
      </w:r>
      <w:r>
        <w:t>анив третий и четвертый абзацы.</w:t>
      </w:r>
    </w:p>
    <w:p w:rsidR="005D79E1" w:rsidRPr="005D79E1" w:rsidRDefault="005D79E1" w:rsidP="005D79E1">
      <w:pPr>
        <w:pStyle w:val="SingleTxtGR"/>
      </w:pPr>
      <w:r w:rsidRPr="005D79E1">
        <w:t>3.</w:t>
      </w:r>
      <w:r w:rsidRPr="005D79E1">
        <w:tab/>
        <w:t>Ниже для ссылки приведен текст, содержащийся в документе ECE/TRANS/</w:t>
      </w:r>
      <w:r>
        <w:t xml:space="preserve"> </w:t>
      </w:r>
      <w:r w:rsidRPr="005D79E1">
        <w:t>GRRF/2014/28, который был уже принят в качестве дополнения 4 к поправкам 01 серии согласно документу ECE/TRANS/WP.29/2015/07.</w:t>
      </w:r>
    </w:p>
    <w:p w:rsidR="005D79E1" w:rsidRPr="005D79E1" w:rsidRDefault="005D79E1" w:rsidP="005D79E1">
      <w:pPr>
        <w:pStyle w:val="SingleTxtGR"/>
        <w:rPr>
          <w:bCs/>
        </w:rPr>
      </w:pPr>
      <w:r w:rsidRPr="005D79E1">
        <w:rPr>
          <w:i/>
          <w:iCs/>
        </w:rPr>
        <w:t>Пункт 12.1</w:t>
      </w:r>
      <w:r w:rsidRPr="005D79E1">
        <w:t xml:space="preserve"> изменить следующим образом:</w:t>
      </w:r>
    </w:p>
    <w:p w:rsidR="005D79E1" w:rsidRPr="005D79E1" w:rsidRDefault="005D79E1" w:rsidP="005D79E1">
      <w:pPr>
        <w:pStyle w:val="SingleTxtGR"/>
        <w:tabs>
          <w:tab w:val="clear" w:pos="1701"/>
        </w:tabs>
        <w:ind w:left="2268" w:hanging="1134"/>
      </w:pPr>
      <w:r>
        <w:t>«</w:t>
      </w:r>
      <w:r w:rsidRPr="005D79E1">
        <w:t>12.1</w:t>
      </w:r>
      <w:r>
        <w:tab/>
      </w:r>
      <w:r w:rsidRPr="005D79E1">
        <w:t xml:space="preserve">Использование дистанционных индикаторов и устройств дистанционного управления допускается только в автоматических </w:t>
      </w:r>
      <w:r w:rsidRPr="005D79E1">
        <w:rPr>
          <w:b/>
          <w:bCs/>
        </w:rPr>
        <w:t xml:space="preserve">соединительных фланцах и автоматических опорно-сцепных устройствах </w:t>
      </w:r>
      <w:r w:rsidRPr="005D79E1">
        <w:rPr>
          <w:strike/>
        </w:rPr>
        <w:t>автоматических сц</w:t>
      </w:r>
      <w:r>
        <w:rPr>
          <w:strike/>
        </w:rPr>
        <w:t>епных устройствах классов C50-X</w:t>
      </w:r>
      <w:r>
        <w:rPr>
          <w:strike/>
        </w:rPr>
        <w:br/>
      </w:r>
      <w:r w:rsidRPr="005D79E1">
        <w:rPr>
          <w:strike/>
        </w:rPr>
        <w:t>и G50-X</w:t>
      </w:r>
      <w:r>
        <w:t>»</w:t>
      </w:r>
      <w:r w:rsidRPr="005D79E1">
        <w:t>.</w:t>
      </w:r>
    </w:p>
    <w:p w:rsidR="005D79E1" w:rsidRPr="005D79E1" w:rsidRDefault="005D79E1" w:rsidP="005D79E1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proofErr w:type="gramStart"/>
      <w:r w:rsidRPr="005D79E1">
        <w:rPr>
          <w:rFonts w:eastAsia="Times New Roman" w:cs="Times New Roman"/>
          <w:szCs w:val="20"/>
        </w:rPr>
        <w:t>4.</w:t>
      </w:r>
      <w:r w:rsidRPr="005D79E1">
        <w:rPr>
          <w:rFonts w:eastAsia="Times New Roman" w:cs="Times New Roman"/>
          <w:szCs w:val="20"/>
        </w:rPr>
        <w:tab/>
        <w:t>В</w:t>
      </w:r>
      <w:proofErr w:type="gramEnd"/>
      <w:r w:rsidRPr="005D79E1">
        <w:rPr>
          <w:rFonts w:eastAsia="Times New Roman" w:cs="Times New Roman"/>
          <w:szCs w:val="20"/>
        </w:rPr>
        <w:t xml:space="preserve"> силу настоящего предложения в данной связи восстанавливаются недостающие абзацы в Правилах и, следовательно, уточняются</w:t>
      </w:r>
      <w:r>
        <w:rPr>
          <w:rFonts w:eastAsia="Times New Roman" w:cs="Times New Roman"/>
          <w:szCs w:val="20"/>
        </w:rPr>
        <w:t xml:space="preserve"> изменения к Правилам </w:t>
      </w:r>
      <w:r w:rsidRPr="005D79E1">
        <w:rPr>
          <w:rFonts w:eastAsia="Times New Roman" w:cs="Times New Roman"/>
          <w:szCs w:val="20"/>
        </w:rPr>
        <w:t>№ 55 ООН, предусмотренные в дополнении 4 к поправкам 01 серии.</w:t>
      </w:r>
    </w:p>
    <w:p w:rsidR="005D79E1" w:rsidRPr="005D79E1" w:rsidRDefault="005D79E1" w:rsidP="005D79E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79E1" w:rsidRPr="005D79E1" w:rsidSect="005D79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C0" w:rsidRPr="00A312BC" w:rsidRDefault="00A438C0" w:rsidP="00A312BC"/>
  </w:endnote>
  <w:endnote w:type="continuationSeparator" w:id="0">
    <w:p w:rsidR="00A438C0" w:rsidRPr="00A312BC" w:rsidRDefault="00A438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E1" w:rsidRPr="005D79E1" w:rsidRDefault="005D79E1">
    <w:pPr>
      <w:pStyle w:val="Footer"/>
    </w:pPr>
    <w:r w:rsidRPr="005D79E1">
      <w:rPr>
        <w:b/>
        <w:sz w:val="18"/>
      </w:rPr>
      <w:fldChar w:fldCharType="begin"/>
    </w:r>
    <w:r w:rsidRPr="005D79E1">
      <w:rPr>
        <w:b/>
        <w:sz w:val="18"/>
      </w:rPr>
      <w:instrText xml:space="preserve"> PAGE  \* MERGEFORMAT </w:instrText>
    </w:r>
    <w:r w:rsidRPr="005D79E1">
      <w:rPr>
        <w:b/>
        <w:sz w:val="18"/>
      </w:rPr>
      <w:fldChar w:fldCharType="separate"/>
    </w:r>
    <w:r w:rsidR="007C4845">
      <w:rPr>
        <w:b/>
        <w:noProof/>
        <w:sz w:val="18"/>
      </w:rPr>
      <w:t>2</w:t>
    </w:r>
    <w:r w:rsidRPr="005D79E1">
      <w:rPr>
        <w:b/>
        <w:sz w:val="18"/>
      </w:rPr>
      <w:fldChar w:fldCharType="end"/>
    </w:r>
    <w:r>
      <w:rPr>
        <w:b/>
        <w:sz w:val="18"/>
      </w:rPr>
      <w:tab/>
    </w:r>
    <w:r>
      <w:t>GE.18-11815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E1" w:rsidRPr="005D79E1" w:rsidRDefault="005D79E1" w:rsidP="005D79E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GE.18-11815</w:t>
    </w:r>
    <w:r>
      <w:tab/>
    </w:r>
    <w:r w:rsidRPr="005D79E1">
      <w:rPr>
        <w:b/>
        <w:sz w:val="18"/>
      </w:rPr>
      <w:fldChar w:fldCharType="begin"/>
    </w:r>
    <w:r w:rsidRPr="005D79E1">
      <w:rPr>
        <w:b/>
        <w:sz w:val="18"/>
      </w:rPr>
      <w:instrText xml:space="preserve"> PAGE  \* MERGEFORMAT </w:instrText>
    </w:r>
    <w:r w:rsidRPr="005D79E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D79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D79E1" w:rsidRDefault="005D79E1" w:rsidP="005D79E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11815  (</w:t>
    </w:r>
    <w:proofErr w:type="gramEnd"/>
    <w:r>
      <w:t>R)</w:t>
    </w:r>
    <w:r>
      <w:rPr>
        <w:lang w:val="en-US"/>
      </w:rPr>
      <w:t xml:space="preserve">  310718  310718</w:t>
    </w:r>
    <w:r>
      <w:br/>
    </w:r>
    <w:r w:rsidRPr="005D79E1">
      <w:rPr>
        <w:rFonts w:ascii="C39T30Lfz" w:hAnsi="C39T30Lfz"/>
        <w:kern w:val="14"/>
        <w:sz w:val="56"/>
      </w:rPr>
      <w:t></w:t>
    </w:r>
    <w:r w:rsidRPr="005D79E1">
      <w:rPr>
        <w:rFonts w:ascii="C39T30Lfz" w:hAnsi="C39T30Lfz"/>
        <w:kern w:val="14"/>
        <w:sz w:val="56"/>
      </w:rPr>
      <w:t></w:t>
    </w:r>
    <w:r w:rsidRPr="005D79E1">
      <w:rPr>
        <w:rFonts w:ascii="C39T30Lfz" w:hAnsi="C39T30Lfz"/>
        <w:kern w:val="14"/>
        <w:sz w:val="56"/>
      </w:rPr>
      <w:t></w:t>
    </w:r>
    <w:r w:rsidRPr="005D79E1">
      <w:rPr>
        <w:rFonts w:ascii="C39T30Lfz" w:hAnsi="C39T30Lfz"/>
        <w:kern w:val="14"/>
        <w:sz w:val="56"/>
      </w:rPr>
      <w:t></w:t>
    </w:r>
    <w:r w:rsidRPr="005D79E1">
      <w:rPr>
        <w:rFonts w:ascii="C39T30Lfz" w:hAnsi="C39T30Lfz"/>
        <w:kern w:val="14"/>
        <w:sz w:val="56"/>
      </w:rPr>
      <w:t></w:t>
    </w:r>
    <w:r w:rsidRPr="005D79E1">
      <w:rPr>
        <w:rFonts w:ascii="C39T30Lfz" w:hAnsi="C39T30Lfz"/>
        <w:kern w:val="14"/>
        <w:sz w:val="56"/>
      </w:rPr>
      <w:t></w:t>
    </w:r>
    <w:r w:rsidRPr="005D79E1">
      <w:rPr>
        <w:rFonts w:ascii="C39T30Lfz" w:hAnsi="C39T30Lfz"/>
        <w:kern w:val="14"/>
        <w:sz w:val="56"/>
      </w:rPr>
      <w:t></w:t>
    </w:r>
    <w:r w:rsidRPr="005D79E1">
      <w:rPr>
        <w:rFonts w:ascii="C39T30Lfz" w:hAnsi="C39T30Lfz"/>
        <w:kern w:val="14"/>
        <w:sz w:val="56"/>
      </w:rPr>
      <w:t></w:t>
    </w:r>
    <w:r w:rsidRPr="005D79E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8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C0" w:rsidRPr="001075E9" w:rsidRDefault="00A438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38C0" w:rsidRDefault="00A438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D79E1" w:rsidRPr="00107799" w:rsidRDefault="005D79E1" w:rsidP="005D79E1">
      <w:pPr>
        <w:pStyle w:val="FootnoteText"/>
      </w:pPr>
      <w:r>
        <w:tab/>
        <w:t>*</w:t>
      </w:r>
      <w:r>
        <w:tab/>
        <w:t xml:space="preserve">Прежнее название: </w:t>
      </w:r>
      <w:r w:rsidRPr="00B65C46"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5D79E1" w:rsidRPr="000E361B" w:rsidRDefault="005D79E1" w:rsidP="005D79E1">
      <w:pPr>
        <w:pStyle w:val="FootnoteText"/>
        <w:spacing w:after="240"/>
      </w:pPr>
      <w:r>
        <w:tab/>
        <w:t>**</w:t>
      </w:r>
      <w:r>
        <w:tab/>
        <w:t>В соответствии с документами ECE/TRANS/274, пункт 52, ECE/TRANS/WP.29/1139, пункт 33, и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</w:t>
      </w:r>
      <w:r>
        <w:br/>
        <w:t>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E1" w:rsidRPr="005D79E1" w:rsidRDefault="005D79E1">
    <w:pPr>
      <w:pStyle w:val="Header"/>
    </w:pPr>
    <w:fldSimple w:instr=" TITLE  \* MERGEFORMAT ">
      <w:r w:rsidR="007C4845">
        <w:t>ECE/TRANS/WP.29/GRVA/2018/10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E1" w:rsidRPr="005D79E1" w:rsidRDefault="005D79E1" w:rsidP="005D79E1">
    <w:pPr>
      <w:pStyle w:val="Header"/>
      <w:jc w:val="right"/>
    </w:pPr>
    <w:fldSimple w:instr=" TITLE  \* MERGEFORMAT ">
      <w:r w:rsidR="007C4845">
        <w:t>ECE/TRANS/WP.29/GRVA/2018/10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C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D79E1"/>
    <w:rsid w:val="005E2B41"/>
    <w:rsid w:val="005F0B42"/>
    <w:rsid w:val="00617A43"/>
    <w:rsid w:val="006345DB"/>
    <w:rsid w:val="00640F49"/>
    <w:rsid w:val="00680D03"/>
    <w:rsid w:val="00681A10"/>
    <w:rsid w:val="00691237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484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438C0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A4AD3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0B75AB-AF13-4651-97E9-1EB565B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5D79E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5D79E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5D79E1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5D79E1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ECE/TRANS/WP.29/GRVA/2018/10</vt:lpstr>
      <vt:lpstr>ECE/TRANS/WP.29/GRVA/2018/10</vt:lpstr>
      <vt:lpstr>A/</vt:lpstr>
    </vt:vector>
  </TitlesOfParts>
  <Company>DCM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ECE/TRANS/WP.29/GRVA/2018/10</dc:title>
  <dc:subject/>
  <dc:creator>Anna KISSELEVA</dc:creator>
  <cp:keywords/>
  <cp:lastModifiedBy>Benedicte Boudol</cp:lastModifiedBy>
  <cp:revision>2</cp:revision>
  <cp:lastPrinted>2018-07-31T10:58:00Z</cp:lastPrinted>
  <dcterms:created xsi:type="dcterms:W3CDTF">2018-08-09T17:23:00Z</dcterms:created>
  <dcterms:modified xsi:type="dcterms:W3CDTF">2018-08-09T17:23:00Z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