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22C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22CBF" w:rsidP="00D22CBF">
            <w:pPr>
              <w:jc w:val="right"/>
            </w:pPr>
            <w:r w:rsidRPr="00D22CBF">
              <w:rPr>
                <w:sz w:val="40"/>
              </w:rPr>
              <w:t>ECE</w:t>
            </w:r>
            <w:r>
              <w:t>/TRANS/WP.29/GRVA/2018/10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22CB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22CBF" w:rsidRDefault="00D22CBF" w:rsidP="00D22CBF">
            <w:pPr>
              <w:spacing w:line="240" w:lineRule="exact"/>
            </w:pPr>
            <w:r>
              <w:t>17 juillet 2018</w:t>
            </w:r>
          </w:p>
          <w:p w:rsidR="00D22CBF" w:rsidRDefault="00D22CBF" w:rsidP="00D22CBF">
            <w:pPr>
              <w:spacing w:line="240" w:lineRule="exact"/>
            </w:pPr>
            <w:r>
              <w:t>Français</w:t>
            </w:r>
          </w:p>
          <w:p w:rsidR="00D22CBF" w:rsidRPr="00DB58B5" w:rsidRDefault="00D22CBF" w:rsidP="00D22CB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22CBF" w:rsidRDefault="00D22C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22CBF" w:rsidRDefault="00D22CBF" w:rsidP="00257168">
      <w:pPr>
        <w:spacing w:before="120" w:after="120" w:line="240" w:lineRule="exact"/>
        <w:rPr>
          <w:b/>
        </w:rPr>
      </w:pPr>
      <w:r>
        <w:rPr>
          <w:b/>
        </w:rPr>
        <w:t>Groupe de travail des</w:t>
      </w:r>
      <w:r w:rsidRPr="00D22CBF">
        <w:rPr>
          <w:rFonts w:eastAsia="Times New Roman"/>
          <w:b/>
          <w:bCs/>
          <w:lang w:val="fr-FR"/>
        </w:rPr>
        <w:t xml:space="preserve"> </w:t>
      </w:r>
      <w:r>
        <w:rPr>
          <w:rFonts w:eastAsia="Times New Roman"/>
          <w:b/>
          <w:bCs/>
          <w:lang w:val="fr-FR"/>
        </w:rPr>
        <w:t xml:space="preserve">véhicules automatisés/autonomes </w:t>
      </w:r>
      <w:r w:rsidR="002B39AE">
        <w:rPr>
          <w:rFonts w:eastAsia="Times New Roman"/>
          <w:b/>
          <w:bCs/>
          <w:lang w:val="fr-FR"/>
        </w:rPr>
        <w:br/>
      </w:r>
      <w:r>
        <w:rPr>
          <w:rFonts w:eastAsia="Times New Roman"/>
          <w:b/>
          <w:bCs/>
          <w:lang w:val="fr-FR"/>
        </w:rPr>
        <w:t>et connectés</w:t>
      </w:r>
      <w:r w:rsidRPr="00D22CBF">
        <w:rPr>
          <w:rStyle w:val="FootnoteReference"/>
          <w:rFonts w:eastAsia="Times New Roman"/>
          <w:bCs/>
          <w:sz w:val="20"/>
          <w:vertAlign w:val="baseline"/>
        </w:rPr>
        <w:footnoteReference w:customMarkFollows="1" w:id="2"/>
        <w:t>*</w:t>
      </w:r>
    </w:p>
    <w:p w:rsidR="00D22CBF" w:rsidRPr="008E2666" w:rsidRDefault="00D22CBF" w:rsidP="00D22CBF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b/>
        </w:rPr>
      </w:pPr>
      <w:r w:rsidRPr="00EF280F">
        <w:rPr>
          <w:rFonts w:eastAsia="Times New Roman"/>
          <w:b/>
        </w:rPr>
        <w:t>Première session</w:t>
      </w:r>
    </w:p>
    <w:p w:rsidR="00D22CBF" w:rsidRPr="008E2666" w:rsidRDefault="00D22CBF" w:rsidP="00D22CBF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EF280F">
        <w:rPr>
          <w:rFonts w:eastAsia="Times New Roman"/>
        </w:rPr>
        <w:t>Genève</w:t>
      </w:r>
      <w:r w:rsidRPr="008E2666">
        <w:rPr>
          <w:rFonts w:eastAsia="Times New Roman"/>
        </w:rPr>
        <w:t xml:space="preserve">, </w:t>
      </w:r>
      <w:r w:rsidRPr="00EF280F">
        <w:rPr>
          <w:rFonts w:eastAsia="Times New Roman"/>
        </w:rPr>
        <w:t>25</w:t>
      </w:r>
      <w:r>
        <w:rPr>
          <w:rFonts w:eastAsia="Times New Roman"/>
        </w:rPr>
        <w:t>-</w:t>
      </w:r>
      <w:r w:rsidRPr="008E2666">
        <w:rPr>
          <w:rFonts w:eastAsia="Times New Roman"/>
        </w:rPr>
        <w:t>28</w:t>
      </w:r>
      <w:r>
        <w:rPr>
          <w:rFonts w:eastAsia="Times New Roman"/>
        </w:rPr>
        <w:t> </w:t>
      </w:r>
      <w:r w:rsidRPr="00EF280F">
        <w:rPr>
          <w:rFonts w:eastAsia="Times New Roman"/>
        </w:rPr>
        <w:t>septembre 2</w:t>
      </w:r>
      <w:r w:rsidRPr="008E2666">
        <w:rPr>
          <w:rFonts w:eastAsia="Times New Roman"/>
        </w:rPr>
        <w:t>018</w:t>
      </w:r>
    </w:p>
    <w:p w:rsidR="00D22CBF" w:rsidRPr="00EF280F" w:rsidRDefault="00D22CBF" w:rsidP="00D22CBF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EF280F">
        <w:rPr>
          <w:rFonts w:eastAsia="Times New Roman"/>
        </w:rPr>
        <w:t>Po</w:t>
      </w:r>
      <w:r>
        <w:rPr>
          <w:rFonts w:eastAsia="Times New Roman"/>
        </w:rPr>
        <w:t>int 14 </w:t>
      </w:r>
      <w:r w:rsidRPr="00EF280F">
        <w:rPr>
          <w:rFonts w:eastAsia="Times New Roman"/>
        </w:rPr>
        <w:t>b) de l’ordre du jour provisoire</w:t>
      </w:r>
    </w:p>
    <w:p w:rsidR="00D22CBF" w:rsidRPr="007A2F6A" w:rsidRDefault="00D22CBF" w:rsidP="00D22CBF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Activités restantes de</w:t>
      </w:r>
      <w:r w:rsidRPr="007A2F6A">
        <w:rPr>
          <w:rFonts w:eastAsia="Times New Roman"/>
          <w:b/>
          <w:bCs/>
          <w:lang w:val="fr-FR"/>
        </w:rPr>
        <w:t xml:space="preserve"> l’ancien Groupe de travail</w:t>
      </w:r>
      <w:r>
        <w:rPr>
          <w:rFonts w:eastAsia="Times New Roman"/>
          <w:b/>
          <w:bCs/>
          <w:lang w:val="fr-FR"/>
        </w:rPr>
        <w:t xml:space="preserve"> </w:t>
      </w:r>
      <w:r w:rsidRPr="007A2F6A">
        <w:rPr>
          <w:rFonts w:eastAsia="Times New Roman"/>
          <w:b/>
          <w:bCs/>
          <w:lang w:val="fr-FR"/>
        </w:rPr>
        <w:t xml:space="preserve">en matière de </w:t>
      </w:r>
      <w:r w:rsidRPr="007A2F6A">
        <w:rPr>
          <w:rFonts w:eastAsia="Times New Roman"/>
          <w:b/>
          <w:bCs/>
          <w:lang w:val="fr-FR"/>
        </w:rPr>
        <w:br/>
        <w:t>roulement et de freinage (période de</w:t>
      </w:r>
      <w:r>
        <w:rPr>
          <w:rFonts w:eastAsia="Times New Roman"/>
          <w:b/>
          <w:bCs/>
          <w:lang w:val="fr-FR"/>
        </w:rPr>
        <w:t xml:space="preserve"> transfert de responsabilités</w:t>
      </w:r>
      <w:r w:rsidRPr="007A2F6A">
        <w:rPr>
          <w:rFonts w:eastAsia="Times New Roman"/>
          <w:b/>
          <w:bCs/>
          <w:lang w:val="fr-FR"/>
        </w:rPr>
        <w:t>) :</w:t>
      </w:r>
    </w:p>
    <w:p w:rsidR="00D22CBF" w:rsidRPr="008E2666" w:rsidRDefault="00D22CBF" w:rsidP="00D22CBF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val="fr-FR"/>
        </w:rPr>
      </w:pPr>
      <w:r w:rsidRPr="007A2F6A">
        <w:rPr>
          <w:rFonts w:eastAsia="Times New Roman"/>
          <w:b/>
          <w:bCs/>
          <w:lang w:val="fr-FR"/>
        </w:rPr>
        <w:t>Pièces mécaniques d’attelage</w:t>
      </w:r>
    </w:p>
    <w:p w:rsidR="00D22CBF" w:rsidRPr="008E2666" w:rsidRDefault="00D22CBF" w:rsidP="00D22CBF">
      <w:pPr>
        <w:pStyle w:val="HChG"/>
      </w:pPr>
      <w:bookmarkStart w:id="1" w:name="OLE_LINK2"/>
      <w:r w:rsidRPr="00D22CBF">
        <w:tab/>
      </w:r>
      <w:r w:rsidRPr="008E2666">
        <w:rPr>
          <w:lang w:val="fr-FR"/>
        </w:rPr>
        <w:tab/>
      </w:r>
      <w:bookmarkEnd w:id="1"/>
      <w:r w:rsidRPr="008E2666">
        <w:rPr>
          <w:lang w:val="fr-FR"/>
        </w:rPr>
        <w:t>P</w:t>
      </w:r>
      <w:r w:rsidRPr="00B30B99">
        <w:rPr>
          <w:lang w:val="fr-FR"/>
        </w:rPr>
        <w:t>roposition de complément</w:t>
      </w:r>
      <w:r>
        <w:rPr>
          <w:lang w:val="fr-FR"/>
        </w:rPr>
        <w:t xml:space="preserve"> 8 à la série 01 d’amendements </w:t>
      </w:r>
      <w:r>
        <w:rPr>
          <w:lang w:val="fr-FR"/>
        </w:rPr>
        <w:br/>
        <w:t>au Règlement ONU No 55 (Pièces mécaniques d’attelage)</w:t>
      </w:r>
    </w:p>
    <w:p w:rsidR="00D22CBF" w:rsidRPr="008E2666" w:rsidRDefault="00D22CBF" w:rsidP="00D22CBF">
      <w:pPr>
        <w:pStyle w:val="H1G"/>
        <w:rPr>
          <w:szCs w:val="24"/>
        </w:rPr>
      </w:pPr>
      <w:r w:rsidRPr="008E2666">
        <w:tab/>
      </w:r>
      <w:r w:rsidRPr="008E2666">
        <w:tab/>
      </w:r>
      <w:r w:rsidRPr="00F023A4">
        <w:t xml:space="preserve">Communication de l’expert de l’Association européenne </w:t>
      </w:r>
      <w:r>
        <w:br/>
      </w:r>
      <w:r w:rsidRPr="00F023A4">
        <w:t>des fournisseurs de l’automobile</w:t>
      </w:r>
      <w:r w:rsidRPr="00D22CB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D22CBF" w:rsidRPr="008E2666" w:rsidRDefault="00D22CBF" w:rsidP="00D22CBF">
      <w:pPr>
        <w:pStyle w:val="SingleTxtG"/>
        <w:ind w:firstLine="567"/>
      </w:pPr>
      <w:r>
        <w:t>Le texte ci-après, établi par l’expert de l’Association européenne des fournisseurs de l’automobile (CLEPA), a pour objet d’introduire une modification au Règlement ONU No 55</w:t>
      </w:r>
      <w:r w:rsidRPr="008E2666">
        <w:t>.</w:t>
      </w:r>
      <w:r>
        <w:t xml:space="preserve"> </w:t>
      </w:r>
      <w:r w:rsidRPr="002227C1">
        <w:rPr>
          <w:lang w:val="fr-FR"/>
        </w:rPr>
        <w:t xml:space="preserve">Il s’appuie sur </w:t>
      </w:r>
      <w:r>
        <w:rPr>
          <w:lang w:val="fr-FR"/>
        </w:rPr>
        <w:t xml:space="preserve">le document informel </w:t>
      </w:r>
      <w:r w:rsidRPr="008E2666">
        <w:rPr>
          <w:lang w:val="fr-FR"/>
        </w:rPr>
        <w:t>GRRF-86-03</w:t>
      </w:r>
      <w:r w:rsidRPr="002227C1">
        <w:rPr>
          <w:lang w:val="fr-FR"/>
        </w:rPr>
        <w:t xml:space="preserve"> et fait référence </w:t>
      </w:r>
      <w:r>
        <w:rPr>
          <w:lang w:val="fr-FR"/>
        </w:rPr>
        <w:t>à</w:t>
      </w:r>
      <w:r w:rsidRPr="002227C1">
        <w:rPr>
          <w:lang w:val="fr-FR"/>
        </w:rPr>
        <w:t xml:space="preserve"> </w:t>
      </w:r>
      <w:r>
        <w:rPr>
          <w:lang w:val="fr-FR"/>
        </w:rPr>
        <w:t xml:space="preserve">la proposition formulée dans le document </w:t>
      </w:r>
      <w:r w:rsidRPr="008E2666">
        <w:rPr>
          <w:lang w:val="fr-FR"/>
        </w:rPr>
        <w:t>ECE/TRANS/WP.29/GRRF/2014/28.</w:t>
      </w:r>
      <w:r w:rsidRPr="002227C1">
        <w:rPr>
          <w:lang w:val="fr-FR"/>
        </w:rPr>
        <w:t xml:space="preserve"> Il vise à clarifier le texte du Règlement.</w:t>
      </w:r>
      <w:r>
        <w:rPr>
          <w:lang w:val="fr-FR"/>
        </w:rPr>
        <w:t xml:space="preserve"> Les modifications qu’il est proposé d’apporter au texte actuel du Règlement apparaissent en caractères gras pour les ajouts ou biffés pour les retraits.</w:t>
      </w:r>
    </w:p>
    <w:p w:rsidR="00D22CBF" w:rsidRPr="00D22CBF" w:rsidRDefault="00D22CBF" w:rsidP="00D22CBF">
      <w:pPr>
        <w:pStyle w:val="HChG"/>
      </w:pPr>
      <w:r>
        <w:br w:type="page"/>
      </w:r>
      <w:r w:rsidRPr="008E2666">
        <w:lastRenderedPageBreak/>
        <w:tab/>
      </w:r>
      <w:r w:rsidRPr="00D22CBF">
        <w:t>I.</w:t>
      </w:r>
      <w:r w:rsidRPr="00D22CBF">
        <w:tab/>
        <w:t>Proposition</w:t>
      </w:r>
    </w:p>
    <w:p w:rsidR="00D22CBF" w:rsidRPr="008E2666" w:rsidRDefault="00D22CBF" w:rsidP="00D22CBF">
      <w:pPr>
        <w:pStyle w:val="SingleTxtG"/>
        <w:rPr>
          <w:lang w:val="fr-FR"/>
        </w:rPr>
      </w:pPr>
      <w:r w:rsidRPr="00D22CBF">
        <w:rPr>
          <w:i/>
          <w:lang w:val="fr-FR"/>
        </w:rPr>
        <w:t>Annexe 5</w:t>
      </w:r>
      <w:r w:rsidRPr="008E2666">
        <w:rPr>
          <w:lang w:val="fr-FR"/>
        </w:rPr>
        <w:t>,</w:t>
      </w:r>
    </w:p>
    <w:p w:rsidR="00D22CBF" w:rsidRPr="008E2666" w:rsidRDefault="00D22CBF" w:rsidP="00D22CBF">
      <w:pPr>
        <w:pStyle w:val="SingleTxtG"/>
        <w:rPr>
          <w:lang w:val="fr-FR"/>
        </w:rPr>
      </w:pPr>
      <w:r w:rsidRPr="008E2666">
        <w:rPr>
          <w:i/>
          <w:lang w:val="fr-FR"/>
        </w:rPr>
        <w:t>Paragraph</w:t>
      </w:r>
      <w:r w:rsidRPr="008C1FAC">
        <w:rPr>
          <w:i/>
          <w:lang w:val="fr-FR"/>
        </w:rPr>
        <w:t>e</w:t>
      </w:r>
      <w:r>
        <w:rPr>
          <w:i/>
          <w:iCs/>
          <w:lang w:val="fr-FR"/>
        </w:rPr>
        <w:t xml:space="preserve"> </w:t>
      </w:r>
      <w:r w:rsidRPr="008E2666">
        <w:rPr>
          <w:i/>
          <w:lang w:val="fr-FR"/>
        </w:rPr>
        <w:t>13.1</w:t>
      </w:r>
      <w:r w:rsidRPr="00D22CBF">
        <w:rPr>
          <w:lang w:val="fr-FR"/>
        </w:rPr>
        <w:t xml:space="preserve">, </w:t>
      </w:r>
      <w:r w:rsidRPr="008C1FAC">
        <w:rPr>
          <w:lang w:val="fr-FR"/>
        </w:rPr>
        <w:t>modifier comme suit</w:t>
      </w:r>
      <w:r>
        <w:rPr>
          <w:lang w:val="fr-FR"/>
        </w:rPr>
        <w:t> :</w:t>
      </w:r>
    </w:p>
    <w:p w:rsidR="00D22CBF" w:rsidRPr="008E2666" w:rsidRDefault="00D22CBF" w:rsidP="00D22CBF">
      <w:pPr>
        <w:pStyle w:val="SingleTxtG"/>
        <w:ind w:left="2268" w:hanging="1134"/>
        <w:rPr>
          <w:lang w:val="sv-SE"/>
        </w:rPr>
      </w:pPr>
      <w:bookmarkStart w:id="2" w:name="_Hlk517881714"/>
      <w:r>
        <w:rPr>
          <w:lang w:val="fr-FR"/>
        </w:rPr>
        <w:t>« </w:t>
      </w:r>
      <w:r>
        <w:t>13.1</w:t>
      </w:r>
      <w:r w:rsidRPr="008E2666">
        <w:rPr>
          <w:lang w:val="sv-SE"/>
        </w:rPr>
        <w:tab/>
      </w:r>
      <w:r>
        <w:rPr>
          <w:lang w:val="sv-SE"/>
        </w:rPr>
        <w:t>Les systèmes de témoin à distance et de commande à distance ne sont autorisés que sur les attelages automatiques à timon et les attelages automatiques à sellette d’attelage.</w:t>
      </w:r>
      <w:r w:rsidRPr="008E2666">
        <w:rPr>
          <w:lang w:val="sv-SE"/>
        </w:rPr>
        <w:t xml:space="preserve"> </w:t>
      </w:r>
    </w:p>
    <w:bookmarkEnd w:id="2"/>
    <w:p w:rsidR="00D22CBF" w:rsidRPr="00D22CBF" w:rsidRDefault="00D22CBF" w:rsidP="00D22CBF">
      <w:pPr>
        <w:pStyle w:val="SingleTxtG"/>
        <w:ind w:left="2268"/>
        <w:rPr>
          <w:strike/>
        </w:rPr>
      </w:pPr>
      <w:r w:rsidRPr="00D22CBF">
        <w:rPr>
          <w:strike/>
        </w:rPr>
        <w:t>Les systèmes de témoin à distance et de télécommande ne sont autorisés que sur les attelages automatiques des classes C50-X</w:t>
      </w:r>
      <w:r w:rsidR="00A81CDE">
        <w:rPr>
          <w:strike/>
        </w:rPr>
        <w:t xml:space="preserve"> </w:t>
      </w:r>
      <w:r w:rsidRPr="00D22CBF">
        <w:rPr>
          <w:strike/>
        </w:rPr>
        <w:t>et G50-X.</w:t>
      </w:r>
    </w:p>
    <w:p w:rsidR="00D22CBF" w:rsidRPr="001976FE" w:rsidRDefault="00D22CBF" w:rsidP="00D22CBF">
      <w:pPr>
        <w:pStyle w:val="SingleTxtG"/>
        <w:ind w:left="2268"/>
        <w:rPr>
          <w:lang w:val="fr-FR"/>
        </w:rPr>
      </w:pPr>
      <w:bookmarkStart w:id="3" w:name="_Hlk517881726"/>
      <w:r w:rsidRPr="001976FE">
        <w:rPr>
          <w:lang w:val="fr-FR"/>
        </w:rPr>
        <w:tab/>
        <w:t>Les systèmes de témoin à distance et de télécommande ne doivent pas gêner le débattement libre minimal de l’anneau de timon attelé et de la semi</w:t>
      </w:r>
      <w:r w:rsidRPr="001976FE">
        <w:rPr>
          <w:lang w:val="fr-FR"/>
        </w:rPr>
        <w:noBreakHyphen/>
        <w:t>remorque attelée. Ils doivent être montés sur le véhicule de façon permanente.</w:t>
      </w:r>
    </w:p>
    <w:p w:rsidR="00D22CBF" w:rsidRPr="008E2666" w:rsidRDefault="00D22CBF" w:rsidP="00D22CBF">
      <w:pPr>
        <w:pStyle w:val="SingleTxtG"/>
        <w:ind w:left="2268"/>
        <w:rPr>
          <w:lang w:val="fr-FR"/>
        </w:rPr>
      </w:pPr>
      <w:r w:rsidRPr="001976FE">
        <w:rPr>
          <w:lang w:val="fr-FR"/>
        </w:rPr>
        <w:tab/>
        <w:t xml:space="preserve">Tous les systèmes de témoin à distance et </w:t>
      </w:r>
      <w:r>
        <w:rPr>
          <w:lang w:val="fr-FR"/>
        </w:rPr>
        <w:t xml:space="preserve">de télécommande sont soumis, en </w:t>
      </w:r>
      <w:r w:rsidRPr="001976FE">
        <w:rPr>
          <w:lang w:val="fr-FR"/>
        </w:rPr>
        <w:t>matière d’essais et d’homologation, aux mêmes conditions que les dispositifs d’attelage ainsi que toutes les pièces des dispositifs</w:t>
      </w:r>
      <w:r>
        <w:rPr>
          <w:lang w:val="fr-FR"/>
        </w:rPr>
        <w:t xml:space="preserve"> de manœuvre et de transmission</w:t>
      </w:r>
      <w:r>
        <w:rPr>
          <w:rFonts w:eastAsia="Times New Roman"/>
        </w:rPr>
        <w:t>. ».</w:t>
      </w:r>
    </w:p>
    <w:bookmarkEnd w:id="3"/>
    <w:p w:rsidR="00D22CBF" w:rsidRPr="008E2666" w:rsidRDefault="00D22CBF" w:rsidP="00D22CBF">
      <w:pPr>
        <w:pStyle w:val="HChG"/>
        <w:rPr>
          <w:lang w:val="fr-FR"/>
        </w:rPr>
      </w:pPr>
      <w:r w:rsidRPr="008E2666">
        <w:tab/>
      </w:r>
      <w:r w:rsidRPr="00D22CBF">
        <w:t>II.</w:t>
      </w:r>
      <w:r w:rsidRPr="00D22CBF">
        <w:tab/>
        <w:t>Justification</w:t>
      </w:r>
    </w:p>
    <w:p w:rsidR="00D22CBF" w:rsidRPr="00B66611" w:rsidRDefault="00D22CBF" w:rsidP="00D22CBF">
      <w:pPr>
        <w:pStyle w:val="SingleTxtG"/>
        <w:rPr>
          <w:lang w:val="fr-FR"/>
        </w:rPr>
      </w:pPr>
      <w:r w:rsidRPr="008E2666">
        <w:rPr>
          <w:lang w:val="fr-FR"/>
        </w:rPr>
        <w:t>1.</w:t>
      </w:r>
      <w:r w:rsidRPr="008E2666">
        <w:rPr>
          <w:lang w:val="fr-FR"/>
        </w:rPr>
        <w:tab/>
      </w:r>
      <w:r>
        <w:rPr>
          <w:lang w:val="fr-FR"/>
        </w:rPr>
        <w:t>Dans l</w:t>
      </w:r>
      <w:r w:rsidRPr="00B66611">
        <w:rPr>
          <w:lang w:val="fr-FR"/>
        </w:rPr>
        <w:t>e complément</w:t>
      </w:r>
      <w:r>
        <w:rPr>
          <w:lang w:val="fr-FR"/>
        </w:rPr>
        <w:t xml:space="preserve"> </w:t>
      </w:r>
      <w:r w:rsidRPr="00B66611">
        <w:rPr>
          <w:lang w:val="fr-FR"/>
        </w:rPr>
        <w:t>4 à la série</w:t>
      </w:r>
      <w:r>
        <w:rPr>
          <w:lang w:val="fr-FR"/>
        </w:rPr>
        <w:t xml:space="preserve"> </w:t>
      </w:r>
      <w:r w:rsidRPr="00B66611">
        <w:rPr>
          <w:lang w:val="fr-FR"/>
        </w:rPr>
        <w:t>01 d’amendements (</w:t>
      </w:r>
      <w:r>
        <w:rPr>
          <w:lang w:val="fr-FR"/>
        </w:rPr>
        <w:t xml:space="preserve">voir </w:t>
      </w:r>
      <w:r w:rsidRPr="008E2666">
        <w:rPr>
          <w:lang w:val="fr-FR"/>
        </w:rPr>
        <w:t>ECE/TRANS/WP.29/</w:t>
      </w:r>
      <w:r>
        <w:rPr>
          <w:lang w:val="fr-FR"/>
        </w:rPr>
        <w:t xml:space="preserve"> </w:t>
      </w:r>
      <w:r w:rsidRPr="008E2666">
        <w:rPr>
          <w:lang w:val="fr-FR"/>
        </w:rPr>
        <w:t>GRRF/2014/28</w:t>
      </w:r>
      <w:r w:rsidRPr="00B66611">
        <w:rPr>
          <w:lang w:val="fr-FR"/>
        </w:rPr>
        <w:t xml:space="preserve"> et</w:t>
      </w:r>
      <w:r>
        <w:rPr>
          <w:lang w:val="fr-FR"/>
        </w:rPr>
        <w:t xml:space="preserve"> le document</w:t>
      </w:r>
      <w:r w:rsidRPr="00B66611">
        <w:rPr>
          <w:lang w:val="fr-FR"/>
        </w:rPr>
        <w:t xml:space="preserve"> </w:t>
      </w:r>
      <w:r w:rsidRPr="008E2666">
        <w:rPr>
          <w:lang w:val="fr-FR"/>
        </w:rPr>
        <w:t>E</w:t>
      </w:r>
      <w:r>
        <w:rPr>
          <w:lang w:val="fr-FR"/>
        </w:rPr>
        <w:t>CE/TRANS/WP.29/2015/</w:t>
      </w:r>
      <w:r w:rsidRPr="008E2666">
        <w:rPr>
          <w:lang w:val="fr-FR"/>
        </w:rPr>
        <w:t>7</w:t>
      </w:r>
      <w:r>
        <w:rPr>
          <w:lang w:val="fr-FR"/>
        </w:rPr>
        <w:t xml:space="preserve"> </w:t>
      </w:r>
      <w:r w:rsidRPr="00B66611">
        <w:rPr>
          <w:lang w:val="fr-FR"/>
        </w:rPr>
        <w:t>correspondant) le</w:t>
      </w:r>
      <w:r>
        <w:rPr>
          <w:lang w:val="fr-FR"/>
        </w:rPr>
        <w:t xml:space="preserve"> deuxième</w:t>
      </w:r>
      <w:r w:rsidRPr="00B66611">
        <w:rPr>
          <w:lang w:val="fr-FR"/>
        </w:rPr>
        <w:t xml:space="preserve"> alinéa du paragraph</w:t>
      </w:r>
      <w:r>
        <w:rPr>
          <w:lang w:val="fr-FR"/>
        </w:rPr>
        <w:t xml:space="preserve">e 13.1 (ancien paragraphe </w:t>
      </w:r>
      <w:r w:rsidRPr="00B66611">
        <w:rPr>
          <w:lang w:val="fr-FR"/>
        </w:rPr>
        <w:t>12.1)</w:t>
      </w:r>
      <w:r>
        <w:rPr>
          <w:lang w:val="fr-FR"/>
        </w:rPr>
        <w:t xml:space="preserve"> a été supprimé, mais cette modification n’est pas prise en compte dans la révision 2 du Règlement ONU No 55. Il est donc nécessaire de confirmer la suppression de l’alinéa en question.</w:t>
      </w:r>
    </w:p>
    <w:p w:rsidR="00D22CBF" w:rsidRPr="008E2666" w:rsidRDefault="00D22CBF" w:rsidP="00A81CDE">
      <w:pPr>
        <w:pStyle w:val="SingleTxtG"/>
      </w:pPr>
      <w:r w:rsidRPr="008E2666">
        <w:t>2.</w:t>
      </w:r>
      <w:r w:rsidRPr="008E2666">
        <w:tab/>
      </w:r>
      <w:r>
        <w:t>En outre</w:t>
      </w:r>
      <w:r w:rsidRPr="006A165A">
        <w:t>, le complément 4 à la série</w:t>
      </w:r>
      <w:r>
        <w:t xml:space="preserve"> </w:t>
      </w:r>
      <w:r w:rsidRPr="006A165A">
        <w:t>01 d’amendements n’indique pas clairement si le</w:t>
      </w:r>
      <w:r>
        <w:t>s</w:t>
      </w:r>
      <w:r w:rsidRPr="006A165A">
        <w:t xml:space="preserve"> troisième et</w:t>
      </w:r>
      <w:r w:rsidR="00A81CDE">
        <w:t xml:space="preserve"> </w:t>
      </w:r>
      <w:r w:rsidRPr="006A165A">
        <w:t>quatrième alinéa</w:t>
      </w:r>
      <w:r>
        <w:t>s</w:t>
      </w:r>
      <w:r w:rsidRPr="006A165A">
        <w:t xml:space="preserve"> du paragra</w:t>
      </w:r>
      <w:r>
        <w:t xml:space="preserve">phe </w:t>
      </w:r>
      <w:r w:rsidRPr="006A165A">
        <w:t>13.</w:t>
      </w:r>
      <w:r>
        <w:t xml:space="preserve">1 (ancien paragraphe 12.1) devraient être retirés ou non. Il est possible de comprendre que </w:t>
      </w:r>
      <w:r w:rsidRPr="006A165A">
        <w:t xml:space="preserve">tous les alinéas </w:t>
      </w:r>
      <w:r>
        <w:t>sont à supprimer</w:t>
      </w:r>
      <w:r w:rsidRPr="006A165A">
        <w:t xml:space="preserve"> ou </w:t>
      </w:r>
      <w:r>
        <w:t>que</w:t>
      </w:r>
      <w:r w:rsidRPr="006A165A">
        <w:t xml:space="preserve"> tous les aliné</w:t>
      </w:r>
      <w:r>
        <w:t>as sont à conserver</w:t>
      </w:r>
      <w:r w:rsidRPr="006A165A">
        <w:rPr>
          <w:lang w:val="fr-FR"/>
        </w:rPr>
        <w:t xml:space="preserve">. </w:t>
      </w:r>
      <w:r>
        <w:rPr>
          <w:lang w:val="fr-FR"/>
        </w:rPr>
        <w:t>Suite à la discussion au cours de la</w:t>
      </w:r>
      <w:r w:rsidRPr="006A165A">
        <w:rPr>
          <w:lang w:val="fr-FR"/>
        </w:rPr>
        <w:t xml:space="preserve"> soixante-dix-huitième session du GRRF, il semble que l’intention du Groupe de travail </w:t>
      </w:r>
      <w:r>
        <w:rPr>
          <w:lang w:val="fr-FR"/>
        </w:rPr>
        <w:t xml:space="preserve">était </w:t>
      </w:r>
      <w:r w:rsidRPr="006A165A">
        <w:rPr>
          <w:lang w:val="fr-FR"/>
        </w:rPr>
        <w:t xml:space="preserve">de ne </w:t>
      </w:r>
      <w:r>
        <w:rPr>
          <w:lang w:val="fr-FR"/>
        </w:rPr>
        <w:t>retirer</w:t>
      </w:r>
      <w:r w:rsidRPr="006A165A">
        <w:rPr>
          <w:lang w:val="fr-FR"/>
        </w:rPr>
        <w:t xml:space="preserve"> que la restriction</w:t>
      </w:r>
      <w:r w:rsidRPr="006A165A">
        <w:t xml:space="preserve"> s’appliquant </w:t>
      </w:r>
      <w:r>
        <w:t>aux attelages automatiques des classes C50 </w:t>
      </w:r>
      <w:r w:rsidRPr="008E2666">
        <w:t xml:space="preserve">X </w:t>
      </w:r>
      <w:r>
        <w:t>et</w:t>
      </w:r>
      <w:r w:rsidRPr="008E2666">
        <w:t xml:space="preserve"> G50</w:t>
      </w:r>
      <w:r>
        <w:t> </w:t>
      </w:r>
      <w:r w:rsidRPr="008E2666">
        <w:t>X,</w:t>
      </w:r>
      <w:r>
        <w:t xml:space="preserve"> donc de retirer uniquement le</w:t>
      </w:r>
      <w:r w:rsidR="00A81CDE">
        <w:t xml:space="preserve"> </w:t>
      </w:r>
      <w:r>
        <w:t>deuxième alinéa et de conserver les troisième et quatrième alinéas.</w:t>
      </w:r>
    </w:p>
    <w:p w:rsidR="00D22CBF" w:rsidRPr="008E2666" w:rsidRDefault="00D22CBF" w:rsidP="00A81CDE">
      <w:pPr>
        <w:pStyle w:val="SingleTxtG"/>
      </w:pPr>
      <w:r w:rsidRPr="008E2666">
        <w:t>3.</w:t>
      </w:r>
      <w:r w:rsidRPr="008E2666">
        <w:tab/>
      </w:r>
      <w:r>
        <w:rPr>
          <w:lang w:val="fr-FR"/>
        </w:rPr>
        <w:t>À titre de</w:t>
      </w:r>
      <w:r w:rsidRPr="00E32BFE">
        <w:rPr>
          <w:lang w:val="fr-FR"/>
        </w:rPr>
        <w:t xml:space="preserve"> référence, </w:t>
      </w:r>
      <w:r>
        <w:rPr>
          <w:lang w:val="fr-FR"/>
        </w:rPr>
        <w:t xml:space="preserve">voici </w:t>
      </w:r>
      <w:r w:rsidRPr="00E32BFE">
        <w:rPr>
          <w:lang w:val="fr-FR"/>
        </w:rPr>
        <w:t xml:space="preserve">le texte </w:t>
      </w:r>
      <w:r>
        <w:rPr>
          <w:lang w:val="fr-FR"/>
        </w:rPr>
        <w:t xml:space="preserve">du document </w:t>
      </w:r>
      <w:r w:rsidRPr="008E2666">
        <w:t>ECE/TRANS/</w:t>
      </w:r>
      <w:r>
        <w:t>WP.29/</w:t>
      </w:r>
      <w:r w:rsidR="00A81CDE">
        <w:t xml:space="preserve"> </w:t>
      </w:r>
      <w:r w:rsidRPr="008E2666">
        <w:t>GRRF/2014/28</w:t>
      </w:r>
      <w:r>
        <w:t>, déjà adopté comme complément</w:t>
      </w:r>
      <w:r w:rsidR="00A81CDE">
        <w:t xml:space="preserve"> </w:t>
      </w:r>
      <w:r>
        <w:t>4 à la série</w:t>
      </w:r>
      <w:r w:rsidR="00A81CDE">
        <w:t xml:space="preserve"> </w:t>
      </w:r>
      <w:r>
        <w:t>01 d’amendements dans le document ECE/TRANS/WP.29/2015/</w:t>
      </w:r>
      <w:r w:rsidRPr="008E2666">
        <w:t>7</w:t>
      </w:r>
      <w:r>
        <w:t> :</w:t>
      </w:r>
    </w:p>
    <w:p w:rsidR="00D22CBF" w:rsidRPr="00E32BFE" w:rsidRDefault="00D22CBF" w:rsidP="00A81CDE">
      <w:pPr>
        <w:pStyle w:val="SingleTxtG"/>
        <w:rPr>
          <w:bCs/>
        </w:rPr>
      </w:pPr>
      <w:r w:rsidRPr="00E32BFE">
        <w:rPr>
          <w:bCs/>
          <w:i/>
        </w:rPr>
        <w:t>Paragraphe</w:t>
      </w:r>
      <w:r w:rsidRPr="00E32BFE">
        <w:rPr>
          <w:i/>
        </w:rPr>
        <w:t xml:space="preserve"> </w:t>
      </w:r>
      <w:r w:rsidRPr="00E32BFE">
        <w:rPr>
          <w:i/>
          <w:lang w:eastAsia="ja-JP"/>
        </w:rPr>
        <w:t>12.1</w:t>
      </w:r>
      <w:r w:rsidRPr="00E32BFE">
        <w:rPr>
          <w:lang w:eastAsia="ja-JP"/>
        </w:rPr>
        <w:t>, modifier comme suit</w:t>
      </w:r>
      <w:r w:rsidR="00A81CDE">
        <w:rPr>
          <w:lang w:eastAsia="ja-JP"/>
        </w:rPr>
        <w:t> </w:t>
      </w:r>
      <w:r w:rsidRPr="00E32BFE">
        <w:rPr>
          <w:lang w:eastAsia="ja-JP"/>
        </w:rPr>
        <w:t>:</w:t>
      </w:r>
    </w:p>
    <w:p w:rsidR="00D22CBF" w:rsidRPr="00E32BFE" w:rsidRDefault="00D22CBF" w:rsidP="00D22CBF">
      <w:pPr>
        <w:pStyle w:val="SingleTxtG"/>
        <w:ind w:left="2268" w:hanging="1134"/>
      </w:pPr>
      <w:r>
        <w:rPr>
          <w:lang w:eastAsia="ja-JP"/>
        </w:rPr>
        <w:t>« </w:t>
      </w:r>
      <w:r w:rsidRPr="00E32BFE">
        <w:rPr>
          <w:lang w:eastAsia="ja-JP"/>
        </w:rPr>
        <w:t>12.1</w:t>
      </w:r>
      <w:r w:rsidRPr="00E32BFE">
        <w:rPr>
          <w:lang w:eastAsia="ja-JP"/>
        </w:rPr>
        <w:tab/>
      </w:r>
      <w:r w:rsidRPr="00E32BFE">
        <w:t xml:space="preserve">Les systèmes de signalisation à distance et de commande à distance ne sont autorisés que sur les attelages automatiques </w:t>
      </w:r>
      <w:r w:rsidRPr="00E32BFE">
        <w:rPr>
          <w:b/>
        </w:rPr>
        <w:t xml:space="preserve">à timon et les attelages automatiques à sellette d’attelage </w:t>
      </w:r>
      <w:r w:rsidRPr="00E32BFE">
        <w:rPr>
          <w:strike/>
        </w:rPr>
        <w:t>des classes C50-X et G50-X</w:t>
      </w:r>
      <w:r w:rsidRPr="00E32BFE">
        <w:t>.</w:t>
      </w:r>
      <w:r>
        <w:t> »</w:t>
      </w:r>
      <w:r w:rsidRPr="00E32BFE">
        <w:t>.</w:t>
      </w:r>
    </w:p>
    <w:p w:rsidR="00F9573C" w:rsidRDefault="00D22CBF" w:rsidP="00A81CDE">
      <w:pPr>
        <w:pStyle w:val="SingleTxtG"/>
        <w:rPr>
          <w:rFonts w:eastAsia="Times New Roman"/>
        </w:rPr>
      </w:pPr>
      <w:r w:rsidRPr="008E2666">
        <w:rPr>
          <w:rFonts w:eastAsia="Times New Roman"/>
        </w:rPr>
        <w:t>4.</w:t>
      </w:r>
      <w:r w:rsidRPr="008E2666">
        <w:rPr>
          <w:rFonts w:eastAsia="Times New Roman"/>
        </w:rPr>
        <w:tab/>
      </w:r>
      <w:r>
        <w:rPr>
          <w:rFonts w:eastAsia="Times New Roman"/>
        </w:rPr>
        <w:t xml:space="preserve">La présente </w:t>
      </w:r>
      <w:r w:rsidRPr="00E32BFE">
        <w:rPr>
          <w:rFonts w:eastAsia="Times New Roman"/>
        </w:rPr>
        <w:t>proposition réintroduit donc l</w:t>
      </w:r>
      <w:r>
        <w:rPr>
          <w:rFonts w:eastAsia="Times New Roman"/>
        </w:rPr>
        <w:t>es aliné</w:t>
      </w:r>
      <w:r w:rsidRPr="00E32BFE">
        <w:rPr>
          <w:rFonts w:eastAsia="Times New Roman"/>
        </w:rPr>
        <w:t xml:space="preserve">as manquants au Règlement et, par voie de conséquence, clarifie la modification du Règlement </w:t>
      </w:r>
      <w:r w:rsidR="00A81CDE">
        <w:rPr>
          <w:rFonts w:eastAsia="Times New Roman"/>
        </w:rPr>
        <w:t>ONU No </w:t>
      </w:r>
      <w:r>
        <w:rPr>
          <w:rFonts w:eastAsia="Times New Roman"/>
        </w:rPr>
        <w:t xml:space="preserve">55 introduite par le </w:t>
      </w:r>
      <w:r w:rsidR="00A81CDE">
        <w:rPr>
          <w:rFonts w:eastAsia="Times New Roman"/>
          <w:lang w:val="fr-FR"/>
        </w:rPr>
        <w:t xml:space="preserve">complément </w:t>
      </w:r>
      <w:r w:rsidRPr="00B66611">
        <w:rPr>
          <w:rFonts w:eastAsia="Times New Roman"/>
          <w:lang w:val="fr-FR"/>
        </w:rPr>
        <w:t>4 à la série</w:t>
      </w:r>
      <w:r w:rsidR="00A81CDE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01 </w:t>
      </w:r>
      <w:r w:rsidRPr="00B66611">
        <w:rPr>
          <w:rFonts w:eastAsia="Times New Roman"/>
          <w:lang w:val="fr-FR"/>
        </w:rPr>
        <w:t>d’amendements</w:t>
      </w:r>
      <w:r w:rsidRPr="008E2666">
        <w:rPr>
          <w:rFonts w:eastAsia="Times New Roman"/>
        </w:rPr>
        <w:t>.</w:t>
      </w:r>
    </w:p>
    <w:p w:rsidR="00A81CDE" w:rsidRPr="00A81CDE" w:rsidRDefault="00A81CDE" w:rsidP="00A81C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1CDE" w:rsidRPr="00A81CDE" w:rsidSect="00D22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5A" w:rsidRDefault="0059755A" w:rsidP="00F95C08">
      <w:pPr>
        <w:spacing w:line="240" w:lineRule="auto"/>
      </w:pPr>
    </w:p>
  </w:endnote>
  <w:endnote w:type="continuationSeparator" w:id="0">
    <w:p w:rsidR="0059755A" w:rsidRPr="00AC3823" w:rsidRDefault="0059755A" w:rsidP="00AC3823">
      <w:pPr>
        <w:pStyle w:val="Footer"/>
      </w:pPr>
    </w:p>
  </w:endnote>
  <w:endnote w:type="continuationNotice" w:id="1">
    <w:p w:rsidR="0059755A" w:rsidRDefault="005975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BF" w:rsidRPr="00D22CBF" w:rsidRDefault="00D22CBF" w:rsidP="00D22CBF">
    <w:pPr>
      <w:pStyle w:val="Footer"/>
      <w:tabs>
        <w:tab w:val="right" w:pos="9638"/>
      </w:tabs>
    </w:pPr>
    <w:r w:rsidRPr="00D22CBF">
      <w:rPr>
        <w:b/>
        <w:sz w:val="18"/>
      </w:rPr>
      <w:fldChar w:fldCharType="begin"/>
    </w:r>
    <w:r w:rsidRPr="00D22CBF">
      <w:rPr>
        <w:b/>
        <w:sz w:val="18"/>
      </w:rPr>
      <w:instrText xml:space="preserve"> PAGE  \* MERGEFORMAT </w:instrText>
    </w:r>
    <w:r w:rsidRPr="00D22CBF">
      <w:rPr>
        <w:b/>
        <w:sz w:val="18"/>
      </w:rPr>
      <w:fldChar w:fldCharType="separate"/>
    </w:r>
    <w:r w:rsidR="004C3482">
      <w:rPr>
        <w:b/>
        <w:noProof/>
        <w:sz w:val="18"/>
      </w:rPr>
      <w:t>2</w:t>
    </w:r>
    <w:r w:rsidRPr="00D22CBF">
      <w:rPr>
        <w:b/>
        <w:sz w:val="18"/>
      </w:rPr>
      <w:fldChar w:fldCharType="end"/>
    </w:r>
    <w:r>
      <w:rPr>
        <w:b/>
        <w:sz w:val="18"/>
      </w:rPr>
      <w:tab/>
    </w:r>
    <w:r>
      <w:t>GE.18-11815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BF" w:rsidRPr="00D22CBF" w:rsidRDefault="00D22CBF" w:rsidP="00D22CBF">
    <w:pPr>
      <w:pStyle w:val="Footer"/>
      <w:tabs>
        <w:tab w:val="right" w:pos="9638"/>
      </w:tabs>
      <w:rPr>
        <w:b/>
        <w:sz w:val="18"/>
      </w:rPr>
    </w:pPr>
    <w:r>
      <w:t>GE.18-11815</w:t>
    </w:r>
    <w:r>
      <w:tab/>
    </w:r>
    <w:r w:rsidRPr="00D22CBF">
      <w:rPr>
        <w:b/>
        <w:sz w:val="18"/>
      </w:rPr>
      <w:fldChar w:fldCharType="begin"/>
    </w:r>
    <w:r w:rsidRPr="00D22CBF">
      <w:rPr>
        <w:b/>
        <w:sz w:val="18"/>
      </w:rPr>
      <w:instrText xml:space="preserve"> PAGE  \* MERGEFORMAT </w:instrText>
    </w:r>
    <w:r w:rsidRPr="00D22CBF">
      <w:rPr>
        <w:b/>
        <w:sz w:val="18"/>
      </w:rPr>
      <w:fldChar w:fldCharType="separate"/>
    </w:r>
    <w:r w:rsidR="002B39AE">
      <w:rPr>
        <w:b/>
        <w:noProof/>
        <w:sz w:val="18"/>
      </w:rPr>
      <w:t>2</w:t>
    </w:r>
    <w:r w:rsidRPr="00D22C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22CBF" w:rsidRDefault="00D22CBF" w:rsidP="00D22CB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18-11815  (F)</w:t>
    </w:r>
    <w:r w:rsidR="002B39AE">
      <w:rPr>
        <w:sz w:val="20"/>
      </w:rPr>
      <w:t xml:space="preserve">    300718    090818</w:t>
    </w:r>
    <w:r>
      <w:rPr>
        <w:sz w:val="20"/>
      </w:rPr>
      <w:br/>
    </w:r>
    <w:r w:rsidRPr="00D22CBF">
      <w:rPr>
        <w:rFonts w:ascii="C39T30Lfz" w:hAnsi="C39T30Lfz"/>
        <w:sz w:val="56"/>
      </w:rPr>
      <w:t></w:t>
    </w:r>
    <w:r w:rsidRPr="00D22CBF">
      <w:rPr>
        <w:rFonts w:ascii="C39T30Lfz" w:hAnsi="C39T30Lfz"/>
        <w:sz w:val="56"/>
      </w:rPr>
      <w:t></w:t>
    </w:r>
    <w:r w:rsidRPr="00D22CBF">
      <w:rPr>
        <w:rFonts w:ascii="C39T30Lfz" w:hAnsi="C39T30Lfz"/>
        <w:sz w:val="56"/>
      </w:rPr>
      <w:t></w:t>
    </w:r>
    <w:r w:rsidRPr="00D22CBF">
      <w:rPr>
        <w:rFonts w:ascii="C39T30Lfz" w:hAnsi="C39T30Lfz"/>
        <w:sz w:val="56"/>
      </w:rPr>
      <w:t></w:t>
    </w:r>
    <w:r w:rsidRPr="00D22CBF">
      <w:rPr>
        <w:rFonts w:ascii="C39T30Lfz" w:hAnsi="C39T30Lfz"/>
        <w:sz w:val="56"/>
      </w:rPr>
      <w:t></w:t>
    </w:r>
    <w:r w:rsidRPr="00D22CBF">
      <w:rPr>
        <w:rFonts w:ascii="C39T30Lfz" w:hAnsi="C39T30Lfz"/>
        <w:sz w:val="56"/>
      </w:rPr>
      <w:t></w:t>
    </w:r>
    <w:r w:rsidRPr="00D22CBF">
      <w:rPr>
        <w:rFonts w:ascii="C39T30Lfz" w:hAnsi="C39T30Lfz"/>
        <w:sz w:val="56"/>
      </w:rPr>
      <w:t></w:t>
    </w:r>
    <w:r w:rsidRPr="00D22CBF">
      <w:rPr>
        <w:rFonts w:ascii="C39T30Lfz" w:hAnsi="C39T30Lfz"/>
        <w:sz w:val="56"/>
      </w:rPr>
      <w:t></w:t>
    </w:r>
    <w:r w:rsidRPr="00D22CB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5A" w:rsidRPr="00AC3823" w:rsidRDefault="005975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755A" w:rsidRPr="00AC3823" w:rsidRDefault="005975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755A" w:rsidRPr="00AC3823" w:rsidRDefault="0059755A">
      <w:pPr>
        <w:spacing w:line="240" w:lineRule="auto"/>
        <w:rPr>
          <w:sz w:val="2"/>
          <w:szCs w:val="2"/>
        </w:rPr>
      </w:pPr>
    </w:p>
  </w:footnote>
  <w:footnote w:id="2">
    <w:p w:rsidR="00D22CBF" w:rsidRPr="00D22CBF" w:rsidRDefault="00D22CBF">
      <w:pPr>
        <w:pStyle w:val="FootnoteText"/>
      </w:pPr>
      <w:r>
        <w:rPr>
          <w:rStyle w:val="FootnoteReference"/>
        </w:rPr>
        <w:tab/>
      </w:r>
      <w:r w:rsidRPr="00D22C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297D">
        <w:t>Anciennement</w:t>
      </w:r>
      <w:r>
        <w:t>,</w:t>
      </w:r>
      <w:r>
        <w:rPr>
          <w:lang w:val="fr-FR"/>
        </w:rPr>
        <w:t xml:space="preserve"> le </w:t>
      </w:r>
      <w:r w:rsidRPr="00EC297D">
        <w:rPr>
          <w:b/>
          <w:lang w:val="fr-FR"/>
        </w:rPr>
        <w:t>Groupe de travail en matière de roulement et de freinage</w:t>
      </w:r>
      <w:r w:rsidRPr="00EC297D">
        <w:rPr>
          <w:b/>
          <w:bCs/>
        </w:rPr>
        <w:t xml:space="preserve"> (GRRF)</w:t>
      </w:r>
      <w:r w:rsidRPr="00EC297D">
        <w:t>.</w:t>
      </w:r>
    </w:p>
  </w:footnote>
  <w:footnote w:id="3">
    <w:p w:rsidR="00D22CBF" w:rsidRPr="00D22CBF" w:rsidRDefault="00D22CBF">
      <w:pPr>
        <w:pStyle w:val="FootnoteText"/>
      </w:pPr>
      <w:r>
        <w:rPr>
          <w:rStyle w:val="FootnoteReference"/>
        </w:rPr>
        <w:tab/>
      </w:r>
      <w:r w:rsidRPr="00D22CB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B0DF3">
        <w:t>Conformément au rapport ECE/TRANS/274, par. 52, au rapport ECE/TRANS/WP.29/1139, par.</w:t>
      </w:r>
      <w:r>
        <w:t> </w:t>
      </w:r>
      <w:r w:rsidRPr="007B0DF3">
        <w:t xml:space="preserve">33 et au programme de travail du Comité des transports intérieurs pour la période 2014-2018 </w:t>
      </w:r>
      <w:r>
        <w:t>(ECE/TRANS/240, par</w:t>
      </w:r>
      <w:r w:rsidRPr="007B0DF3">
        <w:t>.</w:t>
      </w:r>
      <w:r>
        <w:t> </w:t>
      </w:r>
      <w:r w:rsidRPr="007B0DF3">
        <w:t>105</w:t>
      </w:r>
      <w:r>
        <w:t>,</w:t>
      </w:r>
      <w:r w:rsidRPr="007B0DF3">
        <w:t xml:space="preserve"> </w:t>
      </w:r>
      <w:r>
        <w:t>et</w:t>
      </w:r>
      <w:r w:rsidRPr="007B0DF3">
        <w:t xml:space="preserve"> ECE/TRANS/2014/26, </w:t>
      </w:r>
      <w:r>
        <w:t>activité 02.4)</w:t>
      </w:r>
      <w:r w:rsidRPr="007B0DF3">
        <w:t>,</w:t>
      </w:r>
      <w:r>
        <w:t xml:space="preserve"> le Forum mondial a pour mission d’élaborer, d’harmoniser et de mettre à jour les Règlements en vue d’améliorer les caractéristiques fonctionnelles des véhicules. Le présent document est soumis dans le cadre de ce 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BF" w:rsidRPr="00D22CBF" w:rsidRDefault="009453D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3482">
      <w:t>ECE/TRANS/WP.29/GRVA/2018/10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BF" w:rsidRPr="00D22CBF" w:rsidRDefault="009453D2" w:rsidP="00D22C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3482">
      <w:t>ECE/TRANS/WP.29/GRVA/2018/10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AE" w:rsidRDefault="002B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5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39AE"/>
    <w:rsid w:val="002D7C93"/>
    <w:rsid w:val="00305801"/>
    <w:rsid w:val="003916DE"/>
    <w:rsid w:val="00441C3B"/>
    <w:rsid w:val="00446FE5"/>
    <w:rsid w:val="00452396"/>
    <w:rsid w:val="004837D8"/>
    <w:rsid w:val="004C3482"/>
    <w:rsid w:val="004E468C"/>
    <w:rsid w:val="005505B7"/>
    <w:rsid w:val="00573BE5"/>
    <w:rsid w:val="00586ED3"/>
    <w:rsid w:val="00596AA9"/>
    <w:rsid w:val="0059755A"/>
    <w:rsid w:val="0071601D"/>
    <w:rsid w:val="007A62E6"/>
    <w:rsid w:val="007F20FA"/>
    <w:rsid w:val="0080684C"/>
    <w:rsid w:val="00871C75"/>
    <w:rsid w:val="008776DC"/>
    <w:rsid w:val="009446C0"/>
    <w:rsid w:val="009453D2"/>
    <w:rsid w:val="009617CA"/>
    <w:rsid w:val="009705C8"/>
    <w:rsid w:val="009C1CF4"/>
    <w:rsid w:val="009F6B74"/>
    <w:rsid w:val="00A30353"/>
    <w:rsid w:val="00A81CDE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22CBF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CF4B95-6F32-4350-B79A-72AA8F6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22CB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ECE/TRANS/WP.29/GRVA/2018/10</vt:lpstr>
      <vt:lpstr>ECE/TRANS/WP.29/GRVA/2018/10</vt:lpstr>
    </vt:vector>
  </TitlesOfParts>
  <Company>DCM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ECE/TRANS/WP.29/GRVA/2018/10</dc:title>
  <dc:subject/>
  <dc:creator>Fabienne CRELIER</dc:creator>
  <cp:keywords/>
  <cp:lastModifiedBy>Benedicte Boudol</cp:lastModifiedBy>
  <cp:revision>2</cp:revision>
  <cp:lastPrinted>2018-08-09T15:06:00Z</cp:lastPrinted>
  <dcterms:created xsi:type="dcterms:W3CDTF">2018-08-09T17:22:00Z</dcterms:created>
  <dcterms:modified xsi:type="dcterms:W3CDTF">2018-08-09T17:22:00Z</dcterms:modified>
</cp:coreProperties>
</file>