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713952D0" w14:textId="77777777" w:rsidTr="00A62664">
        <w:trPr>
          <w:cantSplit/>
          <w:trHeight w:hRule="exact" w:val="851"/>
        </w:trPr>
        <w:tc>
          <w:tcPr>
            <w:tcW w:w="1276" w:type="dxa"/>
            <w:tcBorders>
              <w:bottom w:val="single" w:sz="4" w:space="0" w:color="auto"/>
            </w:tcBorders>
            <w:shd w:val="clear" w:color="auto" w:fill="auto"/>
            <w:vAlign w:val="bottom"/>
          </w:tcPr>
          <w:p w14:paraId="18DA78EC" w14:textId="77777777" w:rsidR="00B56E9C" w:rsidRPr="001B61B6" w:rsidRDefault="00B56E9C" w:rsidP="001B61B6">
            <w:pPr>
              <w:spacing w:line="20" w:lineRule="exact"/>
              <w:rPr>
                <w:sz w:val="2"/>
              </w:rPr>
            </w:pPr>
            <w:bookmarkStart w:id="0" w:name="_GoBack"/>
            <w:bookmarkEnd w:id="0"/>
          </w:p>
          <w:p w14:paraId="105DB86C" w14:textId="77777777" w:rsidR="001B61B6" w:rsidRDefault="001B61B6" w:rsidP="00844BB6">
            <w:pPr>
              <w:spacing w:after="80"/>
            </w:pPr>
          </w:p>
        </w:tc>
        <w:tc>
          <w:tcPr>
            <w:tcW w:w="2268" w:type="dxa"/>
            <w:tcBorders>
              <w:bottom w:val="single" w:sz="4" w:space="0" w:color="auto"/>
            </w:tcBorders>
            <w:shd w:val="clear" w:color="auto" w:fill="auto"/>
            <w:vAlign w:val="bottom"/>
          </w:tcPr>
          <w:p w14:paraId="7678D408"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146B3E14" w14:textId="77777777" w:rsidR="00B56E9C" w:rsidRPr="004C4906" w:rsidRDefault="00844BB6" w:rsidP="00BF476F">
            <w:pPr>
              <w:jc w:val="right"/>
            </w:pPr>
            <w:r w:rsidRPr="004C4906">
              <w:rPr>
                <w:sz w:val="40"/>
              </w:rPr>
              <w:t>ECE</w:t>
            </w:r>
            <w:r w:rsidR="00245396" w:rsidRPr="004C4906">
              <w:t>/TRANS/WP.29/GR</w:t>
            </w:r>
            <w:r w:rsidR="00D306B7">
              <w:t>VA</w:t>
            </w:r>
            <w:r w:rsidR="00245396" w:rsidRPr="004C4906">
              <w:t>/201</w:t>
            </w:r>
            <w:r w:rsidR="00B65D86">
              <w:t>8</w:t>
            </w:r>
            <w:r w:rsidR="0004548E" w:rsidRPr="004C4906">
              <w:t>/</w:t>
            </w:r>
            <w:r w:rsidR="00FF4BFF">
              <w:t>8</w:t>
            </w:r>
          </w:p>
        </w:tc>
      </w:tr>
      <w:tr w:rsidR="00B56E9C" w:rsidRPr="004C4906" w14:paraId="39D8AE87"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3F2AF5B1" w14:textId="77777777" w:rsidR="00B56E9C" w:rsidRPr="004C4906" w:rsidRDefault="003667DC" w:rsidP="00844BB6">
            <w:pPr>
              <w:spacing w:before="120"/>
            </w:pPr>
            <w:r w:rsidRPr="004C4906">
              <w:rPr>
                <w:noProof/>
                <w:lang w:eastAsia="zh-CN"/>
              </w:rPr>
              <w:drawing>
                <wp:inline distT="0" distB="0" distL="0" distR="0" wp14:anchorId="2150768F" wp14:editId="26E10CEA">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E205227"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68FC8D9D" w14:textId="77777777" w:rsidR="00EA2A77" w:rsidRPr="004C4906" w:rsidRDefault="00844BB6" w:rsidP="00844BB6">
            <w:pPr>
              <w:spacing w:before="240" w:line="240" w:lineRule="exact"/>
            </w:pPr>
            <w:r w:rsidRPr="004C4906">
              <w:t>Distr.: General</w:t>
            </w:r>
          </w:p>
          <w:p w14:paraId="3BD1AC28" w14:textId="62A02D6E" w:rsidR="00844BB6" w:rsidRPr="004C4906" w:rsidRDefault="005E0753" w:rsidP="00844BB6">
            <w:pPr>
              <w:spacing w:line="240" w:lineRule="exact"/>
            </w:pPr>
            <w:r>
              <w:t>17</w:t>
            </w:r>
            <w:r w:rsidR="00F12D2F">
              <w:t xml:space="preserve"> </w:t>
            </w:r>
            <w:r w:rsidR="00D306B7">
              <w:t>July</w:t>
            </w:r>
            <w:r w:rsidR="00BF476F">
              <w:t xml:space="preserve"> </w:t>
            </w:r>
            <w:r w:rsidR="00844BB6" w:rsidRPr="004C4906">
              <w:t>201</w:t>
            </w:r>
            <w:r w:rsidR="00BF476F">
              <w:t>8</w:t>
            </w:r>
          </w:p>
          <w:p w14:paraId="75C6587D" w14:textId="77777777" w:rsidR="00844BB6" w:rsidRPr="004C4906" w:rsidRDefault="00844BB6" w:rsidP="00844BB6">
            <w:pPr>
              <w:spacing w:line="240" w:lineRule="exact"/>
            </w:pPr>
          </w:p>
          <w:p w14:paraId="553DAB12" w14:textId="77777777" w:rsidR="00844BB6" w:rsidRPr="004C4906" w:rsidRDefault="000A2337" w:rsidP="000A2337">
            <w:pPr>
              <w:spacing w:line="240" w:lineRule="exact"/>
            </w:pPr>
            <w:r w:rsidRPr="004C4906">
              <w:t xml:space="preserve">Original: </w:t>
            </w:r>
            <w:r w:rsidR="00844BB6" w:rsidRPr="004C4906">
              <w:t>English</w:t>
            </w:r>
          </w:p>
        </w:tc>
      </w:tr>
    </w:tbl>
    <w:p w14:paraId="48AC347A" w14:textId="77777777" w:rsidR="00442A83" w:rsidRPr="004C4906" w:rsidRDefault="00C96DF2" w:rsidP="00C96DF2">
      <w:pPr>
        <w:spacing w:before="120"/>
        <w:rPr>
          <w:b/>
          <w:sz w:val="28"/>
          <w:szCs w:val="28"/>
        </w:rPr>
      </w:pPr>
      <w:r w:rsidRPr="004C4906">
        <w:rPr>
          <w:b/>
          <w:sz w:val="28"/>
          <w:szCs w:val="28"/>
        </w:rPr>
        <w:t>Economic Commission for Europe</w:t>
      </w:r>
    </w:p>
    <w:p w14:paraId="11661872" w14:textId="77777777" w:rsidR="00C96DF2" w:rsidRPr="004C4906" w:rsidRDefault="008F31D2" w:rsidP="00C96DF2">
      <w:pPr>
        <w:spacing w:before="120"/>
        <w:rPr>
          <w:sz w:val="28"/>
          <w:szCs w:val="28"/>
        </w:rPr>
      </w:pPr>
      <w:r w:rsidRPr="004C4906">
        <w:rPr>
          <w:sz w:val="28"/>
          <w:szCs w:val="28"/>
        </w:rPr>
        <w:t>Inland Transport Committee</w:t>
      </w:r>
    </w:p>
    <w:p w14:paraId="14C48504"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522F9563" w14:textId="41F5A648" w:rsidR="005D3B96" w:rsidRPr="006764C6" w:rsidRDefault="006D015D" w:rsidP="005D3B96">
      <w:pPr>
        <w:spacing w:before="120"/>
        <w:rPr>
          <w:b/>
          <w:bCs/>
        </w:rPr>
      </w:pPr>
      <w:bookmarkStart w:id="1" w:name="_Hlk518466992"/>
      <w:r w:rsidRPr="00AE5D67">
        <w:rPr>
          <w:b/>
          <w:bCs/>
        </w:rPr>
        <w:t>Working Party on Automated/Autonomous and Connected Vehicle</w:t>
      </w:r>
      <w:bookmarkEnd w:id="1"/>
      <w:r w:rsidR="005D3B96">
        <w:rPr>
          <w:b/>
          <w:bCs/>
        </w:rPr>
        <w:t>s</w:t>
      </w:r>
      <w:r w:rsidR="00557010" w:rsidRPr="00557010">
        <w:rPr>
          <w:rStyle w:val="FootnoteReference"/>
          <w:sz w:val="20"/>
          <w:vertAlign w:val="baseline"/>
        </w:rPr>
        <w:footnoteReference w:customMarkFollows="1" w:id="2"/>
        <w:t>*</w:t>
      </w:r>
    </w:p>
    <w:p w14:paraId="0682D3E1" w14:textId="77777777" w:rsidR="008841F1" w:rsidRPr="004C4906" w:rsidRDefault="00D306B7" w:rsidP="005D3B96">
      <w:pPr>
        <w:spacing w:before="120"/>
        <w:rPr>
          <w:b/>
        </w:rPr>
      </w:pPr>
      <w:r>
        <w:rPr>
          <w:b/>
        </w:rPr>
        <w:t>First</w:t>
      </w:r>
      <w:r w:rsidR="002E64ED" w:rsidRPr="004C4906">
        <w:rPr>
          <w:b/>
        </w:rPr>
        <w:t xml:space="preserve"> session</w:t>
      </w:r>
    </w:p>
    <w:p w14:paraId="64071B34" w14:textId="77777777" w:rsidR="008841F1" w:rsidRPr="004C4906" w:rsidRDefault="008841F1" w:rsidP="008841F1">
      <w:r w:rsidRPr="004C4906">
        <w:t xml:space="preserve">Geneva, </w:t>
      </w:r>
      <w:r w:rsidR="005B4742">
        <w:t>25</w:t>
      </w:r>
      <w:r w:rsidR="00982240" w:rsidRPr="004C4906">
        <w:t>-</w:t>
      </w:r>
      <w:r w:rsidR="005B4742">
        <w:t>28</w:t>
      </w:r>
      <w:r w:rsidR="00982240" w:rsidRPr="004C4906">
        <w:t xml:space="preserve"> </w:t>
      </w:r>
      <w:r w:rsidR="005B4742">
        <w:t xml:space="preserve">September </w:t>
      </w:r>
      <w:r w:rsidRPr="004C4906">
        <w:t>201</w:t>
      </w:r>
      <w:r w:rsidR="008408D1">
        <w:t>8</w:t>
      </w:r>
    </w:p>
    <w:p w14:paraId="7FAB8A21" w14:textId="77777777" w:rsidR="00C903C8" w:rsidRDefault="00C903C8" w:rsidP="00C903C8">
      <w:pPr>
        <w:jc w:val="both"/>
        <w:rPr>
          <w:lang w:val="en-US"/>
        </w:rPr>
      </w:pPr>
      <w:r w:rsidRPr="005C7CCC">
        <w:t xml:space="preserve">Item </w:t>
      </w:r>
      <w:r>
        <w:t xml:space="preserve">14 (a) </w:t>
      </w:r>
      <w:r w:rsidRPr="005C7CCC">
        <w:t>of the provisional agenda</w:t>
      </w:r>
    </w:p>
    <w:p w14:paraId="72DF17EF" w14:textId="77777777" w:rsidR="00C903C8" w:rsidRDefault="00C903C8" w:rsidP="00C903C8">
      <w:pPr>
        <w:rPr>
          <w:b/>
          <w:bCs/>
        </w:rPr>
      </w:pPr>
      <w:r w:rsidRPr="002B7D0C">
        <w:rPr>
          <w:b/>
          <w:bCs/>
        </w:rPr>
        <w:t xml:space="preserve">Remaining activities from the former Working Party </w:t>
      </w:r>
      <w:r w:rsidRPr="002B7D0C">
        <w:rPr>
          <w:b/>
          <w:bCs/>
        </w:rPr>
        <w:br/>
        <w:t>on Brake and Running Gear (handover period):</w:t>
      </w:r>
    </w:p>
    <w:p w14:paraId="73A62714" w14:textId="77777777" w:rsidR="009F1A57" w:rsidRPr="004C4906" w:rsidRDefault="00C903C8" w:rsidP="00C903C8">
      <w:pPr>
        <w:rPr>
          <w:b/>
        </w:rPr>
      </w:pPr>
      <w:r>
        <w:rPr>
          <w:b/>
          <w:bCs/>
        </w:rPr>
        <w:t>Tyres</w:t>
      </w:r>
    </w:p>
    <w:p w14:paraId="483622D3" w14:textId="77777777" w:rsidR="00135769" w:rsidRPr="004C4906" w:rsidRDefault="00135769" w:rsidP="009736A9">
      <w:pPr>
        <w:pStyle w:val="HChG"/>
      </w:pPr>
      <w:bookmarkStart w:id="2" w:name="OLE_LINK2"/>
      <w:r w:rsidRPr="004C4906">
        <w:tab/>
      </w:r>
      <w:r w:rsidRPr="004C4906">
        <w:tab/>
      </w:r>
      <w:bookmarkEnd w:id="2"/>
      <w:r w:rsidR="009F1A57">
        <w:t xml:space="preserve">Proposal for </w:t>
      </w:r>
      <w:r w:rsidR="00827F24" w:rsidRPr="005C7CCC">
        <w:t xml:space="preserve">amendments to </w:t>
      </w:r>
      <w:r w:rsidR="00C903C8">
        <w:t xml:space="preserve">UN </w:t>
      </w:r>
      <w:r w:rsidR="00827F24" w:rsidRPr="005C7CCC">
        <w:t>Regulation No. 106 (Tyres for agricultural vehicles and their trailers)</w:t>
      </w:r>
    </w:p>
    <w:p w14:paraId="5FE2DC88" w14:textId="54E309CC" w:rsidR="009F1A57" w:rsidRDefault="00FF4BFF" w:rsidP="009F1A57">
      <w:pPr>
        <w:pStyle w:val="H1G"/>
        <w:rPr>
          <w:szCs w:val="24"/>
          <w:lang w:val="en-US"/>
        </w:rPr>
      </w:pPr>
      <w:r>
        <w:tab/>
      </w:r>
      <w:r>
        <w:tab/>
        <w:t>Submitted by the expert from</w:t>
      </w:r>
      <w:r w:rsidR="00827F24" w:rsidRPr="00827F24">
        <w:t xml:space="preserve"> </w:t>
      </w:r>
      <w:r w:rsidR="00827F24" w:rsidRPr="005C7CCC">
        <w:t>the European Tyre and Rim Technical Organisation (ETRTO)</w:t>
      </w:r>
      <w:r w:rsidR="00557010" w:rsidRPr="00557010">
        <w:rPr>
          <w:rStyle w:val="FootnoteReference"/>
          <w:sz w:val="20"/>
          <w:vertAlign w:val="baseline"/>
        </w:rPr>
        <w:footnoteReference w:customMarkFollows="1" w:id="3"/>
        <w:t>**</w:t>
      </w:r>
    </w:p>
    <w:p w14:paraId="1D332C1E" w14:textId="32F2EDC3" w:rsidR="009F1A57" w:rsidRPr="009F1A57" w:rsidRDefault="00557010" w:rsidP="009F1A57">
      <w:pPr>
        <w:keepNext/>
        <w:keepLines/>
        <w:spacing w:before="360" w:after="240" w:line="240" w:lineRule="auto"/>
        <w:ind w:left="1134" w:right="1134"/>
        <w:jc w:val="both"/>
        <w:rPr>
          <w:lang w:val="en-US"/>
        </w:rPr>
      </w:pPr>
      <w:r>
        <w:rPr>
          <w:lang w:val="en-US"/>
        </w:rPr>
        <w:tab/>
      </w:r>
      <w:r w:rsidR="00827F24" w:rsidRPr="005C7CCC">
        <w:t>The text reproduced below was prepared by the experts from the European Tyre and Rim Technical Organisation (ETRTO) amending Regulation No. 106. The modifications to the existing text of the Regulation are marked in bold for new or strikethrough for deleted characters</w:t>
      </w:r>
      <w:r w:rsidR="00827F24">
        <w:t xml:space="preserve"> if not specified differently</w:t>
      </w:r>
      <w:r w:rsidR="00245A5D">
        <w:rPr>
          <w:lang w:val="en-US"/>
        </w:rPr>
        <w:t>.</w:t>
      </w:r>
    </w:p>
    <w:p w14:paraId="4F304527"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09D9C33C" w14:textId="77777777" w:rsidR="003039F9" w:rsidRDefault="00827F24" w:rsidP="00890CB0">
      <w:pPr>
        <w:suppressAutoHyphens w:val="0"/>
        <w:autoSpaceDE w:val="0"/>
        <w:autoSpaceDN w:val="0"/>
        <w:adjustRightInd w:val="0"/>
        <w:spacing w:after="120" w:line="240" w:lineRule="auto"/>
        <w:ind w:left="2268" w:right="1134" w:hanging="1134"/>
        <w:jc w:val="both"/>
        <w:rPr>
          <w:rFonts w:eastAsiaTheme="minorHAnsi"/>
          <w:bCs/>
        </w:rPr>
      </w:pPr>
      <w:r w:rsidRPr="00827F24">
        <w:rPr>
          <w:rFonts w:eastAsiaTheme="minorHAnsi"/>
          <w:bCs/>
          <w:i/>
          <w:iCs/>
        </w:rPr>
        <w:t>Paragraph 1.</w:t>
      </w:r>
      <w:r>
        <w:rPr>
          <w:rFonts w:eastAsiaTheme="minorHAnsi"/>
          <w:bCs/>
        </w:rPr>
        <w:t>, amend to read:</w:t>
      </w:r>
    </w:p>
    <w:p w14:paraId="02239504" w14:textId="77777777" w:rsidR="00827F24" w:rsidRDefault="00827F24"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"1.</w:t>
      </w:r>
      <w:r>
        <w:rPr>
          <w:rFonts w:eastAsiaTheme="minorHAnsi"/>
          <w:b/>
        </w:rPr>
        <w:tab/>
        <w:t>Scope</w:t>
      </w:r>
    </w:p>
    <w:p w14:paraId="2A18611E" w14:textId="77777777" w:rsidR="00827F24" w:rsidRPr="00827F24" w:rsidRDefault="00827F24" w:rsidP="00827F24">
      <w:pPr>
        <w:pStyle w:val="para"/>
        <w:rPr>
          <w:strike/>
        </w:rPr>
      </w:pPr>
      <w:r>
        <w:rPr>
          <w:rFonts w:eastAsiaTheme="minorHAnsi"/>
          <w:b/>
        </w:rPr>
        <w:tab/>
      </w:r>
      <w:r w:rsidRPr="00827F24">
        <w:rPr>
          <w:strike/>
        </w:rPr>
        <w:t>This Regulation covers new pneumatic tyres* designed primarily, but not only, for agricultural and forestry vehicles (power-driven vehicles in category T), agricultural machines (power-driven and trailed) and agricultural trailers, and identified by speed category symbols corresponding to speeds of 65 km/h (speed symbol "D") and below.</w:t>
      </w:r>
    </w:p>
    <w:p w14:paraId="04528B41" w14:textId="77777777" w:rsidR="00827F24" w:rsidRPr="00827F24" w:rsidRDefault="00827F24" w:rsidP="00827F24">
      <w:pPr>
        <w:pStyle w:val="para"/>
        <w:rPr>
          <w:strike/>
        </w:rPr>
      </w:pPr>
      <w:r w:rsidRPr="000E3614">
        <w:tab/>
      </w:r>
      <w:r w:rsidRPr="00827F24">
        <w:rPr>
          <w:strike/>
        </w:rPr>
        <w:t>It does not apply to tyre types designated primarily for other purposes, such as:</w:t>
      </w:r>
    </w:p>
    <w:p w14:paraId="6DB4EE70" w14:textId="77777777" w:rsidR="00827F24" w:rsidRPr="00827F24" w:rsidRDefault="00827F24" w:rsidP="00827F24">
      <w:pPr>
        <w:pStyle w:val="a"/>
        <w:rPr>
          <w:strike/>
        </w:rPr>
      </w:pPr>
      <w:r w:rsidRPr="00827F24">
        <w:rPr>
          <w:strike/>
        </w:rPr>
        <w:t>(a)</w:t>
      </w:r>
      <w:r w:rsidRPr="00827F24">
        <w:rPr>
          <w:strike/>
        </w:rPr>
        <w:tab/>
        <w:t>Earth-moving equipment;</w:t>
      </w:r>
    </w:p>
    <w:p w14:paraId="512C36DF" w14:textId="77777777" w:rsidR="00827F24" w:rsidRDefault="00827F24" w:rsidP="00827F24">
      <w:pPr>
        <w:pStyle w:val="a"/>
      </w:pPr>
      <w:r w:rsidRPr="00827F24">
        <w:rPr>
          <w:strike/>
        </w:rPr>
        <w:t>(b)</w:t>
      </w:r>
      <w:r w:rsidRPr="00827F24">
        <w:rPr>
          <w:strike/>
        </w:rPr>
        <w:tab/>
        <w:t>Industrial and lift trucks.</w:t>
      </w:r>
    </w:p>
    <w:p w14:paraId="2841F057" w14:textId="77777777" w:rsidR="00827F24" w:rsidRPr="00827F24" w:rsidRDefault="00827F24" w:rsidP="00827F24">
      <w:pPr>
        <w:pStyle w:val="para"/>
        <w:rPr>
          <w:b/>
          <w:bCs/>
        </w:rPr>
      </w:pPr>
      <w:r w:rsidRPr="00827F24">
        <w:rPr>
          <w:b/>
          <w:bCs/>
        </w:rPr>
        <w:t xml:space="preserve">1.1. </w:t>
      </w:r>
      <w:r w:rsidRPr="00827F24">
        <w:rPr>
          <w:b/>
          <w:bCs/>
        </w:rPr>
        <w:tab/>
        <w:t xml:space="preserve">This UN Regulation applies to </w:t>
      </w:r>
      <w:r w:rsidR="002C009E">
        <w:rPr>
          <w:b/>
          <w:bCs/>
        </w:rPr>
        <w:t>new pneumatic tyres*</w:t>
      </w:r>
      <w:r w:rsidRPr="00827F24">
        <w:rPr>
          <w:b/>
          <w:bCs/>
        </w:rPr>
        <w:t xml:space="preserve"> designed primarily, but not only, for agricultural and forestry vehicles</w:t>
      </w:r>
      <w:r w:rsidRPr="00827F24">
        <w:rPr>
          <w:b/>
          <w:bCs/>
          <w:i/>
        </w:rPr>
        <w:t xml:space="preserve"> </w:t>
      </w:r>
      <w:r w:rsidRPr="00827F24">
        <w:rPr>
          <w:b/>
          <w:bCs/>
        </w:rPr>
        <w:t>in categories T, R and S</w:t>
      </w:r>
      <w:r w:rsidRPr="00827F24">
        <w:rPr>
          <w:b/>
          <w:bCs/>
          <w:vertAlign w:val="superscript"/>
        </w:rPr>
        <w:t>1</w:t>
      </w:r>
      <w:r w:rsidRPr="00827F24">
        <w:rPr>
          <w:b/>
          <w:bCs/>
        </w:rPr>
        <w:t xml:space="preserve">. </w:t>
      </w:r>
    </w:p>
    <w:p w14:paraId="04ADFF98" w14:textId="77777777" w:rsidR="00827F24" w:rsidRPr="00827F24" w:rsidRDefault="00827F24" w:rsidP="00827F24">
      <w:pPr>
        <w:pStyle w:val="para"/>
        <w:rPr>
          <w:b/>
          <w:bCs/>
        </w:rPr>
      </w:pPr>
      <w:r w:rsidRPr="00827F24">
        <w:rPr>
          <w:b/>
          <w:bCs/>
        </w:rPr>
        <w:t xml:space="preserve">1.2. </w:t>
      </w:r>
      <w:r w:rsidRPr="00827F24">
        <w:rPr>
          <w:b/>
          <w:bCs/>
        </w:rPr>
        <w:tab/>
        <w:t xml:space="preserve">This UN Regulation does not apply (UN approvals to this UN Regulation may not be granted) to the following tyres: </w:t>
      </w:r>
    </w:p>
    <w:p w14:paraId="2233105C" w14:textId="77777777" w:rsidR="00827F24" w:rsidRPr="00827F24" w:rsidRDefault="00827F24" w:rsidP="00827F24">
      <w:pPr>
        <w:pStyle w:val="para"/>
        <w:rPr>
          <w:b/>
          <w:bCs/>
        </w:rPr>
      </w:pPr>
      <w:r w:rsidRPr="00827F24">
        <w:rPr>
          <w:b/>
          <w:bCs/>
        </w:rPr>
        <w:t xml:space="preserve">1.2.1. </w:t>
      </w:r>
      <w:r w:rsidRPr="00827F24">
        <w:rPr>
          <w:b/>
          <w:bCs/>
        </w:rPr>
        <w:tab/>
        <w:t>Tyres identified by speed category symbols corresponding to speeds higher than 65 km/h (i.e. speed category symbols higher than "D").</w:t>
      </w:r>
    </w:p>
    <w:p w14:paraId="1C075E5C" w14:textId="77777777" w:rsidR="00827F24" w:rsidRPr="00827F24" w:rsidRDefault="00827F24" w:rsidP="00827F24">
      <w:pPr>
        <w:pStyle w:val="para"/>
        <w:rPr>
          <w:b/>
          <w:bCs/>
        </w:rPr>
      </w:pPr>
      <w:r w:rsidRPr="00827F24">
        <w:rPr>
          <w:b/>
          <w:bCs/>
        </w:rPr>
        <w:t>1.2.2.</w:t>
      </w:r>
      <w:r w:rsidRPr="00827F24">
        <w:rPr>
          <w:b/>
          <w:bCs/>
        </w:rPr>
        <w:tab/>
        <w:t>Tyres designated primarily for other purposes, such as:</w:t>
      </w:r>
    </w:p>
    <w:p w14:paraId="61BBA718" w14:textId="77777777" w:rsidR="00827F24" w:rsidRPr="00827F24" w:rsidRDefault="00827F24" w:rsidP="00721906">
      <w:pPr>
        <w:pStyle w:val="a"/>
        <w:ind w:left="2268" w:firstLine="0"/>
        <w:rPr>
          <w:b/>
          <w:bCs/>
        </w:rPr>
      </w:pPr>
      <w:r w:rsidRPr="00827F24">
        <w:rPr>
          <w:b/>
          <w:bCs/>
        </w:rPr>
        <w:t>(a)</w:t>
      </w:r>
      <w:r w:rsidRPr="00827F24">
        <w:rPr>
          <w:b/>
          <w:bCs/>
        </w:rPr>
        <w:tab/>
        <w:t>Earth-moving equipment;</w:t>
      </w:r>
    </w:p>
    <w:p w14:paraId="77061BFB" w14:textId="77777777" w:rsidR="00827F24" w:rsidRPr="005C7CCC" w:rsidRDefault="00827F24" w:rsidP="00721906">
      <w:pPr>
        <w:pStyle w:val="a"/>
        <w:ind w:left="2268" w:firstLine="0"/>
      </w:pPr>
      <w:r w:rsidRPr="00827F24">
        <w:rPr>
          <w:b/>
          <w:bCs/>
        </w:rPr>
        <w:t>(b)</w:t>
      </w:r>
      <w:r w:rsidRPr="00827F24">
        <w:rPr>
          <w:b/>
          <w:bCs/>
        </w:rPr>
        <w:tab/>
        <w:t>Industrial and lift trucks.</w:t>
      </w:r>
      <w:r>
        <w:t>"</w:t>
      </w:r>
    </w:p>
    <w:p w14:paraId="406C6B56" w14:textId="77777777" w:rsidR="00827F24" w:rsidRDefault="00827F24" w:rsidP="00890CB0">
      <w:pPr>
        <w:suppressAutoHyphens w:val="0"/>
        <w:autoSpaceDE w:val="0"/>
        <w:autoSpaceDN w:val="0"/>
        <w:adjustRightInd w:val="0"/>
        <w:spacing w:after="120" w:line="240" w:lineRule="auto"/>
        <w:ind w:left="2268" w:right="1134" w:hanging="1134"/>
        <w:jc w:val="both"/>
        <w:rPr>
          <w:iCs/>
        </w:rPr>
      </w:pPr>
      <w:r w:rsidRPr="005C7CCC">
        <w:rPr>
          <w:i/>
        </w:rPr>
        <w:t>Paragraph 3.1.9.2.</w:t>
      </w:r>
      <w:r w:rsidR="002C009E">
        <w:rPr>
          <w:i/>
        </w:rPr>
        <w:t xml:space="preserve"> (former)</w:t>
      </w:r>
      <w:r>
        <w:rPr>
          <w:i/>
        </w:rPr>
        <w:t xml:space="preserve">, </w:t>
      </w:r>
      <w:r w:rsidRPr="00827F24">
        <w:rPr>
          <w:iCs/>
        </w:rPr>
        <w:t>renumber and amend to read:</w:t>
      </w:r>
    </w:p>
    <w:p w14:paraId="1A5EA586" w14:textId="77777777" w:rsidR="00827F24" w:rsidRDefault="00827F24" w:rsidP="00890CB0">
      <w:pPr>
        <w:suppressAutoHyphens w:val="0"/>
        <w:autoSpaceDE w:val="0"/>
        <w:autoSpaceDN w:val="0"/>
        <w:adjustRightInd w:val="0"/>
        <w:spacing w:after="120" w:line="240" w:lineRule="auto"/>
        <w:ind w:left="2268" w:right="1134" w:hanging="1134"/>
        <w:jc w:val="both"/>
      </w:pPr>
      <w:r>
        <w:t>"</w:t>
      </w:r>
      <w:r w:rsidRPr="005C7CCC">
        <w:t>3.1.</w:t>
      </w:r>
      <w:r w:rsidRPr="005C7CCC">
        <w:rPr>
          <w:strike/>
        </w:rPr>
        <w:t>9.2.</w:t>
      </w:r>
      <w:r w:rsidRPr="005C7CCC">
        <w:rPr>
          <w:b/>
        </w:rPr>
        <w:t>10.1.</w:t>
      </w:r>
      <w:r w:rsidRPr="005C7CCC">
        <w:tab/>
        <w:t>The inscription 'I-3' for implement tyres with traction tread as identif</w:t>
      </w:r>
      <w:r>
        <w:t>ied in Annex 5, Tables 5 and 6."</w:t>
      </w:r>
    </w:p>
    <w:p w14:paraId="3C00D302" w14:textId="77777777" w:rsidR="00827F24" w:rsidRPr="005C7CCC" w:rsidRDefault="00827F24" w:rsidP="00827F24">
      <w:pPr>
        <w:spacing w:line="0" w:lineRule="atLeast"/>
        <w:ind w:left="1120"/>
        <w:rPr>
          <w:i/>
        </w:rPr>
      </w:pPr>
      <w:r w:rsidRPr="005C7CCC">
        <w:rPr>
          <w:i/>
          <w:iCs/>
        </w:rPr>
        <w:t>Annex 5, Table 5</w:t>
      </w:r>
      <w:r w:rsidRPr="005C7CCC">
        <w:rPr>
          <w:i/>
        </w:rPr>
        <w:t xml:space="preserve">, </w:t>
      </w:r>
      <w:r>
        <w:rPr>
          <w:i/>
        </w:rPr>
        <w:t>N</w:t>
      </w:r>
      <w:r w:rsidRPr="005C7CCC">
        <w:rPr>
          <w:i/>
        </w:rPr>
        <w:t>ote 3</w:t>
      </w:r>
      <w:r>
        <w:rPr>
          <w:i/>
        </w:rPr>
        <w:t xml:space="preserve">, </w:t>
      </w:r>
      <w:r w:rsidRPr="00827F24">
        <w:rPr>
          <w:iCs/>
        </w:rPr>
        <w:t>amend to read:</w:t>
      </w:r>
    </w:p>
    <w:p w14:paraId="06ABB897" w14:textId="77777777" w:rsidR="00827F24" w:rsidRDefault="00827F24" w:rsidP="00827F24">
      <w:pPr>
        <w:suppressAutoHyphens w:val="0"/>
        <w:autoSpaceDE w:val="0"/>
        <w:autoSpaceDN w:val="0"/>
        <w:adjustRightInd w:val="0"/>
        <w:spacing w:after="120" w:line="240" w:lineRule="auto"/>
        <w:ind w:left="2268" w:right="1134" w:hanging="1134"/>
        <w:jc w:val="both"/>
        <w:rPr>
          <w:sz w:val="18"/>
          <w:szCs w:val="18"/>
        </w:rPr>
      </w:pPr>
      <w:r>
        <w:rPr>
          <w:sz w:val="18"/>
          <w:szCs w:val="18"/>
        </w:rPr>
        <w:t>"</w:t>
      </w:r>
      <w:r w:rsidRPr="005C7CCC">
        <w:rPr>
          <w:sz w:val="18"/>
          <w:szCs w:val="18"/>
        </w:rPr>
        <w:t>3.</w:t>
      </w:r>
      <w:r w:rsidRPr="005C7CCC">
        <w:rPr>
          <w:sz w:val="18"/>
          <w:szCs w:val="18"/>
        </w:rPr>
        <w:tab/>
        <w:t>Overall diameters (D) in column (*) apply to tyres marked with classification code "I-3" – see paragraph 3.1.</w:t>
      </w:r>
      <w:r w:rsidRPr="005C7CCC">
        <w:rPr>
          <w:strike/>
          <w:sz w:val="18"/>
          <w:szCs w:val="18"/>
        </w:rPr>
        <w:t>9.2.</w:t>
      </w:r>
      <w:r w:rsidRPr="005C7CCC">
        <w:rPr>
          <w:b/>
          <w:sz w:val="18"/>
          <w:szCs w:val="18"/>
        </w:rPr>
        <w:t>10.1.</w:t>
      </w:r>
      <w:r w:rsidRPr="005C7CCC">
        <w:rPr>
          <w:sz w:val="18"/>
          <w:szCs w:val="18"/>
        </w:rPr>
        <w:t xml:space="preserve"> of this Regulation.</w:t>
      </w:r>
      <w:r>
        <w:rPr>
          <w:sz w:val="18"/>
          <w:szCs w:val="18"/>
        </w:rPr>
        <w:t>"</w:t>
      </w:r>
    </w:p>
    <w:p w14:paraId="04D52990" w14:textId="77777777" w:rsidR="00827F24" w:rsidRPr="00827F24" w:rsidRDefault="00827F24" w:rsidP="00827F24">
      <w:pPr>
        <w:spacing w:line="0" w:lineRule="atLeast"/>
        <w:ind w:left="1120"/>
      </w:pPr>
      <w:r w:rsidRPr="005C7CCC">
        <w:rPr>
          <w:i/>
          <w:iCs/>
        </w:rPr>
        <w:t>Annex 5, Table 6</w:t>
      </w:r>
      <w:r w:rsidRPr="001F773E">
        <w:rPr>
          <w:i/>
          <w:iCs/>
        </w:rPr>
        <w:t xml:space="preserve">, </w:t>
      </w:r>
      <w:r>
        <w:rPr>
          <w:i/>
          <w:iCs/>
        </w:rPr>
        <w:t>N</w:t>
      </w:r>
      <w:r w:rsidRPr="001F773E">
        <w:rPr>
          <w:i/>
          <w:iCs/>
        </w:rPr>
        <w:t>ote 3</w:t>
      </w:r>
      <w:r>
        <w:rPr>
          <w:i/>
          <w:iCs/>
        </w:rPr>
        <w:t>,</w:t>
      </w:r>
      <w:r w:rsidRPr="00827F24">
        <w:t xml:space="preserve"> amend to read:</w:t>
      </w:r>
    </w:p>
    <w:p w14:paraId="00A82F57" w14:textId="77777777" w:rsidR="00827F24" w:rsidRDefault="00827F24" w:rsidP="00827F24">
      <w:pPr>
        <w:suppressAutoHyphens w:val="0"/>
        <w:autoSpaceDE w:val="0"/>
        <w:autoSpaceDN w:val="0"/>
        <w:adjustRightInd w:val="0"/>
        <w:spacing w:after="120" w:line="240" w:lineRule="auto"/>
        <w:ind w:left="2268" w:right="1134" w:hanging="1134"/>
        <w:jc w:val="both"/>
        <w:rPr>
          <w:sz w:val="18"/>
          <w:szCs w:val="18"/>
        </w:rPr>
      </w:pPr>
      <w:r>
        <w:rPr>
          <w:sz w:val="18"/>
          <w:szCs w:val="18"/>
        </w:rPr>
        <w:t>"</w:t>
      </w:r>
      <w:r w:rsidRPr="005C7CCC">
        <w:rPr>
          <w:sz w:val="18"/>
          <w:szCs w:val="18"/>
        </w:rPr>
        <w:t>3.</w:t>
      </w:r>
      <w:r w:rsidRPr="005C7CCC">
        <w:rPr>
          <w:sz w:val="18"/>
          <w:szCs w:val="18"/>
        </w:rPr>
        <w:tab/>
        <w:t>Overall diameters (D) in column (*) apply to tyres marked with classification code "I-3" – see paragraph 3.1.</w:t>
      </w:r>
      <w:r w:rsidRPr="005C7CCC">
        <w:rPr>
          <w:strike/>
          <w:sz w:val="18"/>
          <w:szCs w:val="18"/>
        </w:rPr>
        <w:t>9.2.</w:t>
      </w:r>
      <w:r w:rsidRPr="005C7CCC">
        <w:rPr>
          <w:b/>
          <w:sz w:val="18"/>
          <w:szCs w:val="18"/>
        </w:rPr>
        <w:t>10.1.</w:t>
      </w:r>
      <w:r>
        <w:rPr>
          <w:sz w:val="18"/>
          <w:szCs w:val="18"/>
        </w:rPr>
        <w:t xml:space="preserve"> of this Regulation."</w:t>
      </w:r>
    </w:p>
    <w:p w14:paraId="4F2CCEA8" w14:textId="77777777" w:rsidR="00827F24" w:rsidRDefault="00827F24" w:rsidP="00827F24">
      <w:pPr>
        <w:suppressAutoHyphens w:val="0"/>
        <w:autoSpaceDE w:val="0"/>
        <w:autoSpaceDN w:val="0"/>
        <w:adjustRightInd w:val="0"/>
        <w:spacing w:after="120" w:line="240" w:lineRule="auto"/>
        <w:ind w:left="2268" w:right="1134" w:hanging="1134"/>
        <w:jc w:val="both"/>
      </w:pPr>
      <w:r w:rsidRPr="001F773E">
        <w:rPr>
          <w:i/>
          <w:iCs/>
        </w:rPr>
        <w:t>Annex 5, Table 7 (3 of 4),</w:t>
      </w:r>
      <w:r w:rsidRPr="00827F24">
        <w:t xml:space="preserve"> amend to read:</w:t>
      </w:r>
    </w:p>
    <w:tbl>
      <w:tblPr>
        <w:tblW w:w="836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1780"/>
        <w:gridCol w:w="1600"/>
        <w:gridCol w:w="1620"/>
        <w:gridCol w:w="1440"/>
      </w:tblGrid>
      <w:tr w:rsidR="00827F24" w:rsidRPr="005C7CCC" w14:paraId="1AE173A4" w14:textId="77777777" w:rsidTr="00827F24">
        <w:trPr>
          <w:trHeight w:val="284"/>
        </w:trPr>
        <w:tc>
          <w:tcPr>
            <w:tcW w:w="1920" w:type="dxa"/>
            <w:tcBorders>
              <w:bottom w:val="single" w:sz="12" w:space="0" w:color="auto"/>
            </w:tcBorders>
            <w:shd w:val="clear" w:color="auto" w:fill="auto"/>
            <w:vAlign w:val="bottom"/>
          </w:tcPr>
          <w:p w14:paraId="0500E9C3" w14:textId="77777777" w:rsidR="00827F24" w:rsidRPr="005C7CCC" w:rsidRDefault="00827F24" w:rsidP="00C21D10">
            <w:pPr>
              <w:ind w:left="120"/>
              <w:rPr>
                <w:i/>
              </w:rPr>
            </w:pPr>
            <w:r w:rsidRPr="005C7CCC">
              <w:rPr>
                <w:i/>
              </w:rPr>
              <w:t>Tyre size</w:t>
            </w:r>
          </w:p>
          <w:p w14:paraId="0F149DE8" w14:textId="77777777" w:rsidR="00827F24" w:rsidRPr="005C7CCC" w:rsidRDefault="00827F24" w:rsidP="00C21D10">
            <w:pPr>
              <w:ind w:left="120"/>
              <w:rPr>
                <w:i/>
              </w:rPr>
            </w:pPr>
            <w:r w:rsidRPr="005C7CCC">
              <w:rPr>
                <w:i/>
              </w:rPr>
              <w:t>designation</w:t>
            </w:r>
            <w:r w:rsidRPr="005C7CCC">
              <w:rPr>
                <w:b/>
                <w:i/>
                <w:vertAlign w:val="superscript"/>
              </w:rPr>
              <w:t>5</w:t>
            </w:r>
          </w:p>
        </w:tc>
        <w:tc>
          <w:tcPr>
            <w:tcW w:w="1780" w:type="dxa"/>
            <w:tcBorders>
              <w:bottom w:val="single" w:sz="12" w:space="0" w:color="auto"/>
            </w:tcBorders>
            <w:shd w:val="clear" w:color="auto" w:fill="auto"/>
            <w:vAlign w:val="bottom"/>
          </w:tcPr>
          <w:p w14:paraId="24FA8C5F" w14:textId="77777777" w:rsidR="00827F24" w:rsidRPr="005C7CCC" w:rsidRDefault="00827F24" w:rsidP="00C21D10">
            <w:pPr>
              <w:jc w:val="center"/>
              <w:rPr>
                <w:i/>
              </w:rPr>
            </w:pPr>
            <w:r w:rsidRPr="005C7CCC">
              <w:rPr>
                <w:i/>
              </w:rPr>
              <w:t>Theoretical</w:t>
            </w:r>
          </w:p>
          <w:p w14:paraId="3AE7F01B" w14:textId="77777777" w:rsidR="00827F24" w:rsidRPr="005C7CCC" w:rsidRDefault="00827F24" w:rsidP="00C21D10">
            <w:pPr>
              <w:jc w:val="center"/>
              <w:rPr>
                <w:i/>
              </w:rPr>
            </w:pPr>
            <w:r w:rsidRPr="005C7CCC">
              <w:rPr>
                <w:i/>
              </w:rPr>
              <w:t>rim width</w:t>
            </w:r>
          </w:p>
          <w:p w14:paraId="6EF2FC3F" w14:textId="77777777" w:rsidR="00827F24" w:rsidRPr="005C7CCC" w:rsidRDefault="00827F24" w:rsidP="00C21D10">
            <w:pPr>
              <w:jc w:val="center"/>
              <w:rPr>
                <w:i/>
              </w:rPr>
            </w:pPr>
            <w:r w:rsidRPr="005C7CCC">
              <w:rPr>
                <w:i/>
              </w:rPr>
              <w:t>code (A1)</w:t>
            </w:r>
          </w:p>
        </w:tc>
        <w:tc>
          <w:tcPr>
            <w:tcW w:w="1600" w:type="dxa"/>
            <w:tcBorders>
              <w:bottom w:val="single" w:sz="12" w:space="0" w:color="auto"/>
            </w:tcBorders>
            <w:shd w:val="clear" w:color="auto" w:fill="auto"/>
            <w:vAlign w:val="bottom"/>
          </w:tcPr>
          <w:p w14:paraId="7AC3DED1" w14:textId="77777777" w:rsidR="00827F24" w:rsidRPr="005C7CCC" w:rsidRDefault="00827F24" w:rsidP="00C21D10">
            <w:pPr>
              <w:jc w:val="center"/>
              <w:rPr>
                <w:i/>
                <w:w w:val="99"/>
              </w:rPr>
            </w:pPr>
            <w:r w:rsidRPr="005C7CCC">
              <w:rPr>
                <w:i/>
                <w:w w:val="99"/>
              </w:rPr>
              <w:t>Nominal section</w:t>
            </w:r>
          </w:p>
          <w:p w14:paraId="4747E15A" w14:textId="77777777" w:rsidR="00827F24" w:rsidRPr="005C7CCC" w:rsidRDefault="00827F24" w:rsidP="00C21D10">
            <w:pPr>
              <w:jc w:val="center"/>
              <w:rPr>
                <w:i/>
                <w:w w:val="99"/>
              </w:rPr>
            </w:pPr>
            <w:r w:rsidRPr="005C7CCC">
              <w:rPr>
                <w:i/>
                <w:w w:val="99"/>
              </w:rPr>
              <w:t>width (S1)</w:t>
            </w:r>
          </w:p>
          <w:p w14:paraId="2B9D030D" w14:textId="77777777" w:rsidR="00827F24" w:rsidRPr="005C7CCC" w:rsidRDefault="00827F24" w:rsidP="00C21D10">
            <w:pPr>
              <w:jc w:val="center"/>
              <w:rPr>
                <w:i/>
                <w:w w:val="99"/>
              </w:rPr>
            </w:pPr>
            <w:r w:rsidRPr="005C7CCC">
              <w:rPr>
                <w:i/>
              </w:rPr>
              <w:t>(mm)</w:t>
            </w:r>
          </w:p>
        </w:tc>
        <w:tc>
          <w:tcPr>
            <w:tcW w:w="1620" w:type="dxa"/>
            <w:tcBorders>
              <w:bottom w:val="single" w:sz="12" w:space="0" w:color="auto"/>
            </w:tcBorders>
            <w:shd w:val="clear" w:color="auto" w:fill="auto"/>
            <w:vAlign w:val="bottom"/>
          </w:tcPr>
          <w:p w14:paraId="418ADCE5" w14:textId="77777777" w:rsidR="00827F24" w:rsidRPr="005C7CCC" w:rsidRDefault="00827F24" w:rsidP="00C21D10">
            <w:pPr>
              <w:jc w:val="center"/>
              <w:rPr>
                <w:i/>
                <w:w w:val="98"/>
              </w:rPr>
            </w:pPr>
            <w:r w:rsidRPr="005C7CCC">
              <w:rPr>
                <w:i/>
                <w:w w:val="98"/>
              </w:rPr>
              <w:t>Overall</w:t>
            </w:r>
          </w:p>
          <w:p w14:paraId="07490880" w14:textId="77777777" w:rsidR="00827F24" w:rsidRPr="005C7CCC" w:rsidRDefault="00827F24" w:rsidP="00C21D10">
            <w:pPr>
              <w:jc w:val="center"/>
              <w:rPr>
                <w:i/>
              </w:rPr>
            </w:pPr>
            <w:r w:rsidRPr="005C7CCC">
              <w:rPr>
                <w:i/>
              </w:rPr>
              <w:t>diameter (D)</w:t>
            </w:r>
          </w:p>
          <w:p w14:paraId="17D7B8AC" w14:textId="77777777" w:rsidR="00827F24" w:rsidRPr="005C7CCC" w:rsidRDefault="00827F24" w:rsidP="00C21D10">
            <w:pPr>
              <w:jc w:val="center"/>
              <w:rPr>
                <w:i/>
                <w:w w:val="98"/>
              </w:rPr>
            </w:pPr>
            <w:r w:rsidRPr="005C7CCC">
              <w:rPr>
                <w:i/>
              </w:rPr>
              <w:t>(mm)</w:t>
            </w:r>
          </w:p>
        </w:tc>
        <w:tc>
          <w:tcPr>
            <w:tcW w:w="1440" w:type="dxa"/>
            <w:tcBorders>
              <w:bottom w:val="single" w:sz="12" w:space="0" w:color="auto"/>
            </w:tcBorders>
            <w:shd w:val="clear" w:color="auto" w:fill="auto"/>
            <w:vAlign w:val="bottom"/>
          </w:tcPr>
          <w:p w14:paraId="49D44B5E" w14:textId="77777777" w:rsidR="00827F24" w:rsidRPr="005C7CCC" w:rsidRDefault="00827F24" w:rsidP="00C21D10">
            <w:pPr>
              <w:jc w:val="center"/>
              <w:rPr>
                <w:i/>
              </w:rPr>
            </w:pPr>
            <w:r w:rsidRPr="005C7CCC">
              <w:rPr>
                <w:i/>
              </w:rPr>
              <w:t>Nominal rim</w:t>
            </w:r>
          </w:p>
          <w:p w14:paraId="705C276B" w14:textId="77777777" w:rsidR="00827F24" w:rsidRPr="005C7CCC" w:rsidRDefault="00827F24" w:rsidP="00C21D10">
            <w:pPr>
              <w:jc w:val="center"/>
              <w:rPr>
                <w:i/>
              </w:rPr>
            </w:pPr>
            <w:r w:rsidRPr="005C7CCC">
              <w:rPr>
                <w:i/>
              </w:rPr>
              <w:t>diameter (d)</w:t>
            </w:r>
          </w:p>
          <w:p w14:paraId="1A611EA6" w14:textId="77777777" w:rsidR="00827F24" w:rsidRPr="005C7CCC" w:rsidRDefault="00827F24" w:rsidP="00C21D10">
            <w:pPr>
              <w:jc w:val="center"/>
              <w:rPr>
                <w:i/>
              </w:rPr>
            </w:pPr>
            <w:r w:rsidRPr="005C7CCC">
              <w:rPr>
                <w:i/>
              </w:rPr>
              <w:t>(mm)</w:t>
            </w:r>
          </w:p>
        </w:tc>
      </w:tr>
      <w:tr w:rsidR="00827F24" w:rsidRPr="005C7CCC" w14:paraId="370CE01D" w14:textId="77777777" w:rsidTr="00827F24">
        <w:trPr>
          <w:trHeight w:val="284"/>
        </w:trPr>
        <w:tc>
          <w:tcPr>
            <w:tcW w:w="1920" w:type="dxa"/>
            <w:tcBorders>
              <w:top w:val="single" w:sz="12" w:space="0" w:color="auto"/>
            </w:tcBorders>
            <w:shd w:val="clear" w:color="auto" w:fill="auto"/>
            <w:vAlign w:val="bottom"/>
          </w:tcPr>
          <w:p w14:paraId="561E09EF" w14:textId="77777777" w:rsidR="00827F24" w:rsidRPr="005C7CCC" w:rsidRDefault="00827F24" w:rsidP="00C21D10">
            <w:pPr>
              <w:spacing w:line="0" w:lineRule="atLeast"/>
              <w:ind w:left="120"/>
            </w:pPr>
            <w:r w:rsidRPr="005C7CCC">
              <w:t>...</w:t>
            </w:r>
          </w:p>
        </w:tc>
        <w:tc>
          <w:tcPr>
            <w:tcW w:w="1780" w:type="dxa"/>
            <w:tcBorders>
              <w:top w:val="single" w:sz="12" w:space="0" w:color="auto"/>
            </w:tcBorders>
            <w:shd w:val="clear" w:color="auto" w:fill="auto"/>
            <w:vAlign w:val="bottom"/>
          </w:tcPr>
          <w:p w14:paraId="596FE7DF" w14:textId="77777777" w:rsidR="00827F24" w:rsidRPr="005C7CCC" w:rsidRDefault="00827F24" w:rsidP="00C21D10">
            <w:pPr>
              <w:spacing w:line="0" w:lineRule="atLeast"/>
              <w:jc w:val="center"/>
            </w:pPr>
            <w:r w:rsidRPr="005C7CCC">
              <w:t>...</w:t>
            </w:r>
          </w:p>
        </w:tc>
        <w:tc>
          <w:tcPr>
            <w:tcW w:w="1600" w:type="dxa"/>
            <w:tcBorders>
              <w:top w:val="single" w:sz="12" w:space="0" w:color="auto"/>
            </w:tcBorders>
            <w:shd w:val="clear" w:color="auto" w:fill="auto"/>
            <w:vAlign w:val="bottom"/>
          </w:tcPr>
          <w:p w14:paraId="351F2BE1" w14:textId="77777777" w:rsidR="00827F24" w:rsidRPr="005C7CCC" w:rsidRDefault="00827F24" w:rsidP="00C21D10">
            <w:pPr>
              <w:spacing w:line="0" w:lineRule="atLeast"/>
              <w:jc w:val="center"/>
            </w:pPr>
            <w:r w:rsidRPr="005C7CCC">
              <w:t>...</w:t>
            </w:r>
          </w:p>
        </w:tc>
        <w:tc>
          <w:tcPr>
            <w:tcW w:w="1620" w:type="dxa"/>
            <w:tcBorders>
              <w:top w:val="single" w:sz="12" w:space="0" w:color="auto"/>
            </w:tcBorders>
            <w:shd w:val="clear" w:color="auto" w:fill="auto"/>
            <w:vAlign w:val="bottom"/>
          </w:tcPr>
          <w:p w14:paraId="07E336BA" w14:textId="77777777" w:rsidR="00827F24" w:rsidRPr="005C7CCC" w:rsidRDefault="00827F24" w:rsidP="00C21D10">
            <w:pPr>
              <w:spacing w:line="0" w:lineRule="atLeast"/>
              <w:jc w:val="center"/>
            </w:pPr>
            <w:r w:rsidRPr="005C7CCC">
              <w:t>...</w:t>
            </w:r>
          </w:p>
        </w:tc>
        <w:tc>
          <w:tcPr>
            <w:tcW w:w="1440" w:type="dxa"/>
            <w:tcBorders>
              <w:top w:val="single" w:sz="12" w:space="0" w:color="auto"/>
            </w:tcBorders>
            <w:shd w:val="clear" w:color="auto" w:fill="auto"/>
            <w:vAlign w:val="bottom"/>
          </w:tcPr>
          <w:p w14:paraId="32B724D5" w14:textId="77777777" w:rsidR="00827F24" w:rsidRPr="005C7CCC" w:rsidRDefault="00827F24" w:rsidP="00C21D10">
            <w:pPr>
              <w:spacing w:line="0" w:lineRule="atLeast"/>
              <w:jc w:val="center"/>
            </w:pPr>
            <w:r w:rsidRPr="005C7CCC">
              <w:t>...</w:t>
            </w:r>
          </w:p>
        </w:tc>
      </w:tr>
      <w:tr w:rsidR="00827F24" w:rsidRPr="005C7CCC" w14:paraId="321ECCED" w14:textId="77777777" w:rsidTr="00827F24">
        <w:trPr>
          <w:trHeight w:val="284"/>
        </w:trPr>
        <w:tc>
          <w:tcPr>
            <w:tcW w:w="1920" w:type="dxa"/>
            <w:shd w:val="clear" w:color="auto" w:fill="auto"/>
            <w:vAlign w:val="bottom"/>
          </w:tcPr>
          <w:p w14:paraId="03FE7F1F" w14:textId="77777777" w:rsidR="00827F24" w:rsidRPr="005C7CCC" w:rsidRDefault="00827F24" w:rsidP="00C21D10">
            <w:pPr>
              <w:spacing w:line="0" w:lineRule="atLeast"/>
              <w:ind w:left="120"/>
              <w:rPr>
                <w:i/>
                <w:u w:val="words"/>
              </w:rPr>
            </w:pPr>
            <w:r w:rsidRPr="005C7CCC">
              <w:rPr>
                <w:strike/>
              </w:rPr>
              <w:t>35</w:t>
            </w:r>
            <w:r w:rsidRPr="005C7CCC">
              <w:rPr>
                <w:b/>
              </w:rPr>
              <w:t>36</w:t>
            </w:r>
            <w:r w:rsidRPr="005C7CCC">
              <w:t xml:space="preserve">x16-17.5 </w:t>
            </w:r>
          </w:p>
        </w:tc>
        <w:tc>
          <w:tcPr>
            <w:tcW w:w="1780" w:type="dxa"/>
            <w:shd w:val="clear" w:color="auto" w:fill="auto"/>
            <w:vAlign w:val="bottom"/>
          </w:tcPr>
          <w:p w14:paraId="555F7FC8" w14:textId="77777777" w:rsidR="00827F24" w:rsidRPr="005C7CCC" w:rsidRDefault="00827F24" w:rsidP="00C21D10">
            <w:pPr>
              <w:spacing w:line="0" w:lineRule="atLeast"/>
              <w:jc w:val="center"/>
            </w:pPr>
            <w:r w:rsidRPr="005C7CCC">
              <w:t>10.5</w:t>
            </w:r>
          </w:p>
        </w:tc>
        <w:tc>
          <w:tcPr>
            <w:tcW w:w="1600" w:type="dxa"/>
            <w:shd w:val="clear" w:color="auto" w:fill="auto"/>
            <w:vAlign w:val="bottom"/>
          </w:tcPr>
          <w:p w14:paraId="4BB60C59" w14:textId="77777777" w:rsidR="00827F24" w:rsidRPr="005C7CCC" w:rsidRDefault="00827F24" w:rsidP="00C21D10">
            <w:pPr>
              <w:spacing w:line="0" w:lineRule="atLeast"/>
              <w:jc w:val="center"/>
            </w:pPr>
            <w:r w:rsidRPr="005C7CCC">
              <w:t>406</w:t>
            </w:r>
          </w:p>
        </w:tc>
        <w:tc>
          <w:tcPr>
            <w:tcW w:w="1620" w:type="dxa"/>
            <w:shd w:val="clear" w:color="auto" w:fill="auto"/>
            <w:vAlign w:val="bottom"/>
          </w:tcPr>
          <w:p w14:paraId="2204935E" w14:textId="77777777" w:rsidR="00827F24" w:rsidRPr="005C7CCC" w:rsidRDefault="00827F24" w:rsidP="00C21D10">
            <w:pPr>
              <w:spacing w:line="0" w:lineRule="atLeast"/>
              <w:jc w:val="center"/>
            </w:pPr>
            <w:r w:rsidRPr="005C7CCC">
              <w:t>914</w:t>
            </w:r>
          </w:p>
        </w:tc>
        <w:tc>
          <w:tcPr>
            <w:tcW w:w="1440" w:type="dxa"/>
            <w:shd w:val="clear" w:color="auto" w:fill="auto"/>
            <w:vAlign w:val="bottom"/>
          </w:tcPr>
          <w:p w14:paraId="2496393E" w14:textId="77777777" w:rsidR="00827F24" w:rsidRPr="005C7CCC" w:rsidRDefault="00827F24" w:rsidP="00C21D10">
            <w:pPr>
              <w:spacing w:line="0" w:lineRule="atLeast"/>
              <w:jc w:val="center"/>
            </w:pPr>
            <w:r w:rsidRPr="005C7CCC">
              <w:t>445</w:t>
            </w:r>
          </w:p>
        </w:tc>
      </w:tr>
      <w:tr w:rsidR="00827F24" w:rsidRPr="005C7CCC" w14:paraId="37DB0C78" w14:textId="77777777" w:rsidTr="00827F24">
        <w:trPr>
          <w:trHeight w:val="284"/>
        </w:trPr>
        <w:tc>
          <w:tcPr>
            <w:tcW w:w="1920" w:type="dxa"/>
            <w:tcBorders>
              <w:bottom w:val="single" w:sz="12" w:space="0" w:color="auto"/>
            </w:tcBorders>
            <w:shd w:val="clear" w:color="auto" w:fill="auto"/>
            <w:vAlign w:val="bottom"/>
          </w:tcPr>
          <w:p w14:paraId="62A86BEC" w14:textId="77777777" w:rsidR="00827F24" w:rsidRPr="005C7CCC" w:rsidRDefault="00827F24" w:rsidP="00C21D10">
            <w:pPr>
              <w:spacing w:line="0" w:lineRule="atLeast"/>
              <w:ind w:left="120"/>
            </w:pPr>
            <w:r w:rsidRPr="005C7CCC">
              <w:t>...</w:t>
            </w:r>
          </w:p>
        </w:tc>
        <w:tc>
          <w:tcPr>
            <w:tcW w:w="1780" w:type="dxa"/>
            <w:tcBorders>
              <w:bottom w:val="single" w:sz="12" w:space="0" w:color="auto"/>
            </w:tcBorders>
            <w:shd w:val="clear" w:color="auto" w:fill="auto"/>
            <w:vAlign w:val="bottom"/>
          </w:tcPr>
          <w:p w14:paraId="7241360A" w14:textId="77777777" w:rsidR="00827F24" w:rsidRPr="005C7CCC" w:rsidRDefault="00827F24" w:rsidP="00C21D10">
            <w:pPr>
              <w:spacing w:line="0" w:lineRule="atLeast"/>
              <w:jc w:val="center"/>
            </w:pPr>
            <w:r w:rsidRPr="005C7CCC">
              <w:t>...</w:t>
            </w:r>
          </w:p>
        </w:tc>
        <w:tc>
          <w:tcPr>
            <w:tcW w:w="1600" w:type="dxa"/>
            <w:tcBorders>
              <w:bottom w:val="single" w:sz="12" w:space="0" w:color="auto"/>
            </w:tcBorders>
            <w:shd w:val="clear" w:color="auto" w:fill="auto"/>
            <w:vAlign w:val="bottom"/>
          </w:tcPr>
          <w:p w14:paraId="4AC320C2" w14:textId="77777777" w:rsidR="00827F24" w:rsidRPr="005C7CCC" w:rsidRDefault="00827F24" w:rsidP="00C21D10">
            <w:pPr>
              <w:spacing w:line="0" w:lineRule="atLeast"/>
              <w:jc w:val="center"/>
            </w:pPr>
            <w:r w:rsidRPr="005C7CCC">
              <w:t>...</w:t>
            </w:r>
          </w:p>
        </w:tc>
        <w:tc>
          <w:tcPr>
            <w:tcW w:w="1620" w:type="dxa"/>
            <w:tcBorders>
              <w:bottom w:val="single" w:sz="12" w:space="0" w:color="auto"/>
            </w:tcBorders>
            <w:shd w:val="clear" w:color="auto" w:fill="auto"/>
            <w:vAlign w:val="bottom"/>
          </w:tcPr>
          <w:p w14:paraId="3ACC8785" w14:textId="77777777" w:rsidR="00827F24" w:rsidRPr="005C7CCC" w:rsidRDefault="00827F24" w:rsidP="00C21D10">
            <w:pPr>
              <w:spacing w:line="0" w:lineRule="atLeast"/>
              <w:jc w:val="center"/>
            </w:pPr>
            <w:r w:rsidRPr="005C7CCC">
              <w:t>...</w:t>
            </w:r>
          </w:p>
        </w:tc>
        <w:tc>
          <w:tcPr>
            <w:tcW w:w="1440" w:type="dxa"/>
            <w:tcBorders>
              <w:bottom w:val="single" w:sz="12" w:space="0" w:color="auto"/>
            </w:tcBorders>
            <w:shd w:val="clear" w:color="auto" w:fill="auto"/>
            <w:vAlign w:val="bottom"/>
          </w:tcPr>
          <w:p w14:paraId="5377D960" w14:textId="77777777" w:rsidR="00827F24" w:rsidRPr="005C7CCC" w:rsidRDefault="00827F24" w:rsidP="00C21D10">
            <w:pPr>
              <w:spacing w:line="0" w:lineRule="atLeast"/>
              <w:jc w:val="center"/>
            </w:pPr>
            <w:r w:rsidRPr="005C7CCC">
              <w:t>...</w:t>
            </w:r>
          </w:p>
        </w:tc>
      </w:tr>
    </w:tbl>
    <w:p w14:paraId="697A3434" w14:textId="77777777" w:rsidR="00827F24" w:rsidRDefault="00827F24" w:rsidP="005D22DB">
      <w:pPr>
        <w:pageBreakBefore/>
        <w:suppressAutoHyphens w:val="0"/>
        <w:autoSpaceDE w:val="0"/>
        <w:autoSpaceDN w:val="0"/>
        <w:adjustRightInd w:val="0"/>
        <w:spacing w:before="120" w:after="120" w:line="240" w:lineRule="auto"/>
        <w:ind w:left="2268" w:right="1134" w:hanging="1134"/>
        <w:jc w:val="both"/>
      </w:pPr>
      <w:r w:rsidRPr="001F773E">
        <w:rPr>
          <w:i/>
          <w:iCs/>
        </w:rPr>
        <w:lastRenderedPageBreak/>
        <w:t xml:space="preserve">Annex 7, Part E, </w:t>
      </w:r>
      <w:r w:rsidRPr="00827F24">
        <w:t>amend the table to read:</w:t>
      </w:r>
    </w:p>
    <w:tbl>
      <w:tblPr>
        <w:tblW w:w="8222" w:type="dxa"/>
        <w:tblInd w:w="790" w:type="dxa"/>
        <w:tblLayout w:type="fixed"/>
        <w:tblCellMar>
          <w:left w:w="81" w:type="dxa"/>
          <w:right w:w="81" w:type="dxa"/>
        </w:tblCellMar>
        <w:tblLook w:val="0000" w:firstRow="0" w:lastRow="0" w:firstColumn="0" w:lastColumn="0" w:noHBand="0" w:noVBand="0"/>
      </w:tblPr>
      <w:tblGrid>
        <w:gridCol w:w="993"/>
        <w:gridCol w:w="708"/>
        <w:gridCol w:w="1276"/>
        <w:gridCol w:w="1843"/>
        <w:gridCol w:w="1417"/>
        <w:gridCol w:w="1985"/>
      </w:tblGrid>
      <w:tr w:rsidR="00827F24" w:rsidRPr="005C7CCC" w14:paraId="48B38245" w14:textId="77777777" w:rsidTr="00C21D10">
        <w:tc>
          <w:tcPr>
            <w:tcW w:w="993" w:type="dxa"/>
            <w:vMerge w:val="restart"/>
            <w:tcBorders>
              <w:top w:val="single" w:sz="4" w:space="0" w:color="000000"/>
              <w:left w:val="single" w:sz="4" w:space="0" w:color="000000"/>
              <w:bottom w:val="single" w:sz="4" w:space="0" w:color="000000"/>
            </w:tcBorders>
            <w:shd w:val="clear" w:color="auto" w:fill="auto"/>
          </w:tcPr>
          <w:p w14:paraId="10319C37"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rPr>
                <w:bCs/>
                <w:i/>
                <w:sz w:val="16"/>
                <w:szCs w:val="16"/>
                <w:lang w:val="en-US" w:eastAsia="ar-SA"/>
              </w:rPr>
            </w:pPr>
            <w:r w:rsidRPr="005C7CCC">
              <w:rPr>
                <w:bCs/>
                <w:i/>
                <w:sz w:val="16"/>
                <w:szCs w:val="16"/>
                <w:lang w:eastAsia="ar-SA"/>
              </w:rPr>
              <w:t>Speed (km/h)</w:t>
            </w:r>
          </w:p>
        </w:tc>
        <w:tc>
          <w:tcPr>
            <w:tcW w:w="7229" w:type="dxa"/>
            <w:gridSpan w:val="5"/>
            <w:tcBorders>
              <w:top w:val="single" w:sz="4" w:space="0" w:color="000000"/>
              <w:left w:val="single" w:sz="4" w:space="0" w:color="000000"/>
              <w:bottom w:val="single" w:sz="4" w:space="0" w:color="000000"/>
              <w:right w:val="single" w:sz="4" w:space="0" w:color="000000"/>
            </w:tcBorders>
          </w:tcPr>
          <w:p w14:paraId="5A429DFB"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ind w:left="567"/>
              <w:jc w:val="center"/>
              <w:rPr>
                <w:bCs/>
                <w:i/>
                <w:sz w:val="16"/>
                <w:szCs w:val="16"/>
                <w:lang w:val="en-US" w:eastAsia="ar-SA"/>
              </w:rPr>
            </w:pPr>
            <w:r w:rsidRPr="005C7CCC">
              <w:rPr>
                <w:bCs/>
                <w:i/>
                <w:sz w:val="16"/>
                <w:szCs w:val="16"/>
                <w:lang w:val="en-US" w:eastAsia="ar-SA"/>
              </w:rPr>
              <w:t>Speed Category Symbol</w:t>
            </w:r>
          </w:p>
        </w:tc>
      </w:tr>
      <w:tr w:rsidR="00827F24" w:rsidRPr="005C7CCC" w14:paraId="03A3797F" w14:textId="77777777" w:rsidTr="00C21D10">
        <w:tc>
          <w:tcPr>
            <w:tcW w:w="993" w:type="dxa"/>
            <w:vMerge/>
            <w:tcBorders>
              <w:top w:val="single" w:sz="4" w:space="0" w:color="000000"/>
              <w:left w:val="single" w:sz="4" w:space="0" w:color="000000"/>
              <w:bottom w:val="single" w:sz="4" w:space="0" w:color="000000"/>
            </w:tcBorders>
            <w:shd w:val="clear" w:color="auto" w:fill="auto"/>
          </w:tcPr>
          <w:p w14:paraId="299973F9"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rPr>
                <w:bCs/>
                <w:i/>
                <w:sz w:val="16"/>
                <w:szCs w:val="16"/>
                <w:lang w:val="en-US" w:eastAsia="ar-SA"/>
              </w:rPr>
            </w:pPr>
          </w:p>
        </w:tc>
        <w:tc>
          <w:tcPr>
            <w:tcW w:w="708" w:type="dxa"/>
            <w:vMerge w:val="restart"/>
            <w:tcBorders>
              <w:top w:val="single" w:sz="4" w:space="0" w:color="000000"/>
              <w:left w:val="single" w:sz="4" w:space="0" w:color="000000"/>
            </w:tcBorders>
          </w:tcPr>
          <w:p w14:paraId="7F02E84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US" w:eastAsia="ar-SA"/>
              </w:rPr>
            </w:pPr>
            <w:r w:rsidRPr="005C7CCC">
              <w:rPr>
                <w:bCs/>
                <w:i/>
                <w:sz w:val="16"/>
                <w:szCs w:val="16"/>
                <w:lang w:val="en-US" w:eastAsia="ar-SA"/>
              </w:rPr>
              <w:t>A2</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2D96D1C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US" w:eastAsia="ar-SA"/>
              </w:rPr>
            </w:pPr>
            <w:r w:rsidRPr="005C7CCC">
              <w:rPr>
                <w:bCs/>
                <w:i/>
                <w:sz w:val="16"/>
                <w:szCs w:val="16"/>
                <w:lang w:val="en-US" w:eastAsia="ar-SA"/>
              </w:rPr>
              <w:t>A8</w:t>
            </w:r>
          </w:p>
        </w:tc>
        <w:tc>
          <w:tcPr>
            <w:tcW w:w="3402" w:type="dxa"/>
            <w:gridSpan w:val="2"/>
            <w:tcBorders>
              <w:top w:val="single" w:sz="4" w:space="0" w:color="000000"/>
              <w:left w:val="single" w:sz="4" w:space="0" w:color="000000"/>
              <w:bottom w:val="single" w:sz="4" w:space="0" w:color="000000"/>
              <w:right w:val="single" w:sz="4" w:space="0" w:color="000000"/>
            </w:tcBorders>
          </w:tcPr>
          <w:p w14:paraId="0DFB7AD2"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
                <w:bCs/>
                <w:i/>
                <w:sz w:val="16"/>
                <w:szCs w:val="16"/>
                <w:lang w:val="en-US" w:eastAsia="ar-SA"/>
              </w:rPr>
            </w:pPr>
            <w:r w:rsidRPr="005C7CCC">
              <w:rPr>
                <w:b/>
                <w:bCs/>
                <w:i/>
                <w:sz w:val="16"/>
                <w:szCs w:val="16"/>
                <w:lang w:val="en-US" w:eastAsia="ar-SA"/>
              </w:rPr>
              <w:t>D</w:t>
            </w:r>
          </w:p>
        </w:tc>
      </w:tr>
      <w:tr w:rsidR="00827F24" w:rsidRPr="005C7CCC" w14:paraId="11C0C337" w14:textId="77777777" w:rsidTr="00C21D10">
        <w:tc>
          <w:tcPr>
            <w:tcW w:w="993" w:type="dxa"/>
            <w:vMerge/>
            <w:tcBorders>
              <w:left w:val="single" w:sz="4" w:space="0" w:color="000000"/>
              <w:bottom w:val="single" w:sz="12" w:space="0" w:color="auto"/>
            </w:tcBorders>
            <w:shd w:val="clear" w:color="auto" w:fill="auto"/>
          </w:tcPr>
          <w:p w14:paraId="3178C13F"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80" w:after="80" w:line="200" w:lineRule="atLeast"/>
              <w:ind w:left="567"/>
              <w:jc w:val="center"/>
              <w:rPr>
                <w:bCs/>
                <w:i/>
                <w:sz w:val="16"/>
                <w:szCs w:val="16"/>
                <w:lang w:eastAsia="ar-SA"/>
              </w:rPr>
            </w:pPr>
          </w:p>
        </w:tc>
        <w:tc>
          <w:tcPr>
            <w:tcW w:w="708" w:type="dxa"/>
            <w:vMerge/>
            <w:tcBorders>
              <w:left w:val="single" w:sz="4" w:space="0" w:color="000000"/>
              <w:bottom w:val="single" w:sz="12" w:space="0" w:color="auto"/>
              <w:right w:val="single" w:sz="4" w:space="0" w:color="000000"/>
            </w:tcBorders>
          </w:tcPr>
          <w:p w14:paraId="009A6C0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ind w:left="567"/>
              <w:jc w:val="center"/>
              <w:rPr>
                <w:bCs/>
                <w:i/>
                <w:sz w:val="16"/>
                <w:szCs w:val="16"/>
                <w:lang w:val="en-US" w:eastAsia="ar-SA"/>
              </w:rPr>
            </w:pPr>
          </w:p>
        </w:tc>
        <w:tc>
          <w:tcPr>
            <w:tcW w:w="1276" w:type="dxa"/>
            <w:tcBorders>
              <w:top w:val="single" w:sz="4" w:space="0" w:color="000000"/>
              <w:left w:val="single" w:sz="4" w:space="0" w:color="000000"/>
              <w:bottom w:val="single" w:sz="12" w:space="0" w:color="auto"/>
            </w:tcBorders>
            <w:shd w:val="clear" w:color="auto" w:fill="auto"/>
          </w:tcPr>
          <w:p w14:paraId="3F2DF4DF" w14:textId="77777777" w:rsidR="00827F24" w:rsidRPr="005C7CCC" w:rsidRDefault="00827F24" w:rsidP="00C21D10">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eastAsia="ar-SA"/>
              </w:rPr>
            </w:pPr>
            <w:r w:rsidRPr="005C7CCC">
              <w:rPr>
                <w:bCs/>
                <w:i/>
                <w:sz w:val="16"/>
                <w:szCs w:val="16"/>
                <w:lang w:eastAsia="ar-SA"/>
              </w:rPr>
              <w:t>Constant load</w:t>
            </w:r>
          </w:p>
        </w:tc>
        <w:tc>
          <w:tcPr>
            <w:tcW w:w="1843" w:type="dxa"/>
            <w:tcBorders>
              <w:top w:val="single" w:sz="4" w:space="0" w:color="000000"/>
              <w:left w:val="single" w:sz="4" w:space="0" w:color="000000"/>
              <w:bottom w:val="single" w:sz="12" w:space="0" w:color="auto"/>
              <w:right w:val="single" w:sz="4" w:space="0" w:color="000000"/>
            </w:tcBorders>
            <w:shd w:val="clear" w:color="auto" w:fill="auto"/>
          </w:tcPr>
          <w:p w14:paraId="6117E3AE"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eastAsia="ar-SA"/>
              </w:rPr>
            </w:pPr>
            <w:r w:rsidRPr="005C7CCC">
              <w:rPr>
                <w:bCs/>
                <w:i/>
                <w:sz w:val="16"/>
                <w:szCs w:val="16"/>
                <w:lang w:eastAsia="ar-SA"/>
              </w:rPr>
              <w:t>Cyclic applications (+)</w:t>
            </w:r>
          </w:p>
        </w:tc>
        <w:tc>
          <w:tcPr>
            <w:tcW w:w="1417" w:type="dxa"/>
            <w:tcBorders>
              <w:top w:val="single" w:sz="4" w:space="0" w:color="000000"/>
              <w:left w:val="single" w:sz="4" w:space="0" w:color="000000"/>
              <w:bottom w:val="single" w:sz="12" w:space="0" w:color="000000"/>
              <w:right w:val="single" w:sz="4" w:space="0" w:color="000000"/>
            </w:tcBorders>
          </w:tcPr>
          <w:p w14:paraId="6C867941" w14:textId="77777777" w:rsidR="00827F24" w:rsidRPr="005C7CCC" w:rsidRDefault="00827F24" w:rsidP="00C21D10">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
                <w:bCs/>
                <w:i/>
                <w:sz w:val="16"/>
                <w:szCs w:val="16"/>
                <w:lang w:eastAsia="ar-SA"/>
              </w:rPr>
            </w:pPr>
            <w:r w:rsidRPr="005C7CCC">
              <w:rPr>
                <w:b/>
                <w:bCs/>
                <w:i/>
                <w:sz w:val="16"/>
                <w:szCs w:val="16"/>
                <w:lang w:eastAsia="ar-SA"/>
              </w:rPr>
              <w:t>Constant load</w:t>
            </w:r>
          </w:p>
        </w:tc>
        <w:tc>
          <w:tcPr>
            <w:tcW w:w="1985" w:type="dxa"/>
            <w:tcBorders>
              <w:top w:val="single" w:sz="4" w:space="0" w:color="000000"/>
              <w:left w:val="single" w:sz="4" w:space="0" w:color="000000"/>
              <w:bottom w:val="single" w:sz="12" w:space="0" w:color="000000"/>
              <w:right w:val="single" w:sz="4" w:space="0" w:color="000000"/>
            </w:tcBorders>
          </w:tcPr>
          <w:p w14:paraId="7DE693CB"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
                <w:bCs/>
                <w:i/>
                <w:sz w:val="16"/>
                <w:szCs w:val="16"/>
                <w:lang w:eastAsia="ar-SA"/>
              </w:rPr>
            </w:pPr>
            <w:r w:rsidRPr="005C7CCC">
              <w:rPr>
                <w:b/>
                <w:bCs/>
                <w:i/>
                <w:sz w:val="16"/>
                <w:szCs w:val="16"/>
                <w:lang w:eastAsia="ar-SA"/>
              </w:rPr>
              <w:t>Cyclic applications (+)</w:t>
            </w:r>
          </w:p>
        </w:tc>
      </w:tr>
      <w:tr w:rsidR="00827F24" w:rsidRPr="005C7CCC" w14:paraId="1C935EA5" w14:textId="77777777" w:rsidTr="00C21D10">
        <w:tc>
          <w:tcPr>
            <w:tcW w:w="993" w:type="dxa"/>
            <w:tcBorders>
              <w:top w:val="single" w:sz="12" w:space="0" w:color="auto"/>
              <w:left w:val="single" w:sz="4" w:space="0" w:color="000000"/>
              <w:bottom w:val="dotted" w:sz="4" w:space="0" w:color="auto"/>
            </w:tcBorders>
            <w:shd w:val="clear" w:color="auto" w:fill="auto"/>
          </w:tcPr>
          <w:p w14:paraId="2B0DE12F"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5</w:t>
            </w:r>
          </w:p>
        </w:tc>
        <w:tc>
          <w:tcPr>
            <w:tcW w:w="708" w:type="dxa"/>
            <w:tcBorders>
              <w:top w:val="single" w:sz="12" w:space="0" w:color="auto"/>
              <w:left w:val="single" w:sz="4" w:space="0" w:color="000000"/>
              <w:bottom w:val="dotted" w:sz="4" w:space="0" w:color="auto"/>
              <w:right w:val="single" w:sz="4" w:space="0" w:color="000000"/>
            </w:tcBorders>
          </w:tcPr>
          <w:p w14:paraId="4E84977F"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+ 11</w:t>
            </w:r>
          </w:p>
        </w:tc>
        <w:tc>
          <w:tcPr>
            <w:tcW w:w="1276" w:type="dxa"/>
            <w:tcBorders>
              <w:top w:val="single" w:sz="12" w:space="0" w:color="auto"/>
              <w:left w:val="single" w:sz="4" w:space="0" w:color="000000"/>
              <w:bottom w:val="dotted" w:sz="4" w:space="0" w:color="auto"/>
            </w:tcBorders>
            <w:shd w:val="clear" w:color="auto" w:fill="auto"/>
          </w:tcPr>
          <w:p w14:paraId="4FB4D1A8"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+ 45</w:t>
            </w:r>
          </w:p>
        </w:tc>
        <w:tc>
          <w:tcPr>
            <w:tcW w:w="1843" w:type="dxa"/>
            <w:tcBorders>
              <w:top w:val="single" w:sz="12" w:space="0" w:color="auto"/>
              <w:left w:val="single" w:sz="4" w:space="0" w:color="000000"/>
              <w:bottom w:val="dotted" w:sz="4" w:space="0" w:color="auto"/>
              <w:right w:val="single" w:sz="4" w:space="0" w:color="000000"/>
            </w:tcBorders>
            <w:shd w:val="clear" w:color="auto" w:fill="auto"/>
          </w:tcPr>
          <w:p w14:paraId="66DBF0C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+ 67 (1)</w:t>
            </w:r>
          </w:p>
        </w:tc>
        <w:tc>
          <w:tcPr>
            <w:tcW w:w="1417" w:type="dxa"/>
            <w:tcBorders>
              <w:top w:val="single" w:sz="12" w:space="0" w:color="000000"/>
              <w:left w:val="single" w:sz="4" w:space="0" w:color="000000"/>
              <w:right w:val="single" w:sz="4" w:space="0" w:color="000000"/>
            </w:tcBorders>
          </w:tcPr>
          <w:p w14:paraId="1EB1A8F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+67</w:t>
            </w:r>
          </w:p>
        </w:tc>
        <w:tc>
          <w:tcPr>
            <w:tcW w:w="1985" w:type="dxa"/>
            <w:tcBorders>
              <w:top w:val="single" w:sz="12" w:space="0" w:color="000000"/>
              <w:left w:val="single" w:sz="4" w:space="0" w:color="000000"/>
              <w:right w:val="single" w:sz="4" w:space="0" w:color="000000"/>
            </w:tcBorders>
          </w:tcPr>
          <w:p w14:paraId="20ACB473"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+92 (1)</w:t>
            </w:r>
          </w:p>
        </w:tc>
      </w:tr>
      <w:tr w:rsidR="00827F24" w:rsidRPr="005C7CCC" w14:paraId="4385BD0D" w14:textId="77777777" w:rsidTr="00C21D10">
        <w:tc>
          <w:tcPr>
            <w:tcW w:w="993" w:type="dxa"/>
            <w:tcBorders>
              <w:top w:val="dotted" w:sz="4" w:space="0" w:color="auto"/>
              <w:left w:val="single" w:sz="4" w:space="0" w:color="000000"/>
              <w:bottom w:val="dotted" w:sz="4" w:space="0" w:color="auto"/>
            </w:tcBorders>
            <w:shd w:val="clear" w:color="auto" w:fill="auto"/>
          </w:tcPr>
          <w:p w14:paraId="5CA2A2A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10</w:t>
            </w:r>
          </w:p>
        </w:tc>
        <w:tc>
          <w:tcPr>
            <w:tcW w:w="708" w:type="dxa"/>
            <w:tcBorders>
              <w:top w:val="dotted" w:sz="4" w:space="0" w:color="auto"/>
              <w:left w:val="single" w:sz="4" w:space="0" w:color="000000"/>
              <w:bottom w:val="dotted" w:sz="4" w:space="0" w:color="auto"/>
              <w:right w:val="single" w:sz="4" w:space="0" w:color="000000"/>
            </w:tcBorders>
          </w:tcPr>
          <w:p w14:paraId="6645C74A"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0</w:t>
            </w:r>
          </w:p>
        </w:tc>
        <w:tc>
          <w:tcPr>
            <w:tcW w:w="1276" w:type="dxa"/>
            <w:tcBorders>
              <w:top w:val="dotted" w:sz="4" w:space="0" w:color="auto"/>
              <w:left w:val="single" w:sz="4" w:space="0" w:color="000000"/>
              <w:bottom w:val="dotted" w:sz="4" w:space="0" w:color="auto"/>
            </w:tcBorders>
            <w:shd w:val="clear" w:color="auto" w:fill="auto"/>
          </w:tcPr>
          <w:p w14:paraId="1DFB42B1"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+ 25</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4B3A4DDA"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+ 50 (2)</w:t>
            </w:r>
          </w:p>
        </w:tc>
        <w:tc>
          <w:tcPr>
            <w:tcW w:w="1417" w:type="dxa"/>
            <w:tcBorders>
              <w:left w:val="single" w:sz="4" w:space="0" w:color="000000"/>
              <w:right w:val="single" w:sz="4" w:space="0" w:color="000000"/>
            </w:tcBorders>
          </w:tcPr>
          <w:p w14:paraId="16C97DF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+44</w:t>
            </w:r>
          </w:p>
        </w:tc>
        <w:tc>
          <w:tcPr>
            <w:tcW w:w="1985" w:type="dxa"/>
            <w:tcBorders>
              <w:left w:val="single" w:sz="4" w:space="0" w:color="000000"/>
              <w:right w:val="single" w:sz="4" w:space="0" w:color="000000"/>
            </w:tcBorders>
          </w:tcPr>
          <w:p w14:paraId="4AF21112"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+73 (2)</w:t>
            </w:r>
          </w:p>
        </w:tc>
      </w:tr>
      <w:tr w:rsidR="00827F24" w:rsidRPr="005C7CCC" w14:paraId="4CDF1955" w14:textId="77777777" w:rsidTr="00C21D10">
        <w:tc>
          <w:tcPr>
            <w:tcW w:w="993" w:type="dxa"/>
            <w:tcBorders>
              <w:top w:val="dotted" w:sz="4" w:space="0" w:color="auto"/>
              <w:left w:val="single" w:sz="4" w:space="0" w:color="000000"/>
              <w:bottom w:val="dotted" w:sz="4" w:space="0" w:color="auto"/>
            </w:tcBorders>
            <w:shd w:val="clear" w:color="auto" w:fill="auto"/>
          </w:tcPr>
          <w:p w14:paraId="7CB26992"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15</w:t>
            </w:r>
          </w:p>
        </w:tc>
        <w:tc>
          <w:tcPr>
            <w:tcW w:w="708" w:type="dxa"/>
            <w:tcBorders>
              <w:top w:val="dotted" w:sz="4" w:space="0" w:color="auto"/>
              <w:left w:val="single" w:sz="4" w:space="0" w:color="000000"/>
              <w:bottom w:val="dotted" w:sz="4" w:space="0" w:color="auto"/>
              <w:right w:val="single" w:sz="4" w:space="0" w:color="000000"/>
            </w:tcBorders>
          </w:tcPr>
          <w:p w14:paraId="6388FBA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- 21</w:t>
            </w:r>
          </w:p>
        </w:tc>
        <w:tc>
          <w:tcPr>
            <w:tcW w:w="1276" w:type="dxa"/>
            <w:tcBorders>
              <w:top w:val="dotted" w:sz="4" w:space="0" w:color="auto"/>
              <w:left w:val="single" w:sz="4" w:space="0" w:color="000000"/>
              <w:bottom w:val="dotted" w:sz="4" w:space="0" w:color="auto"/>
            </w:tcBorders>
            <w:shd w:val="clear" w:color="auto" w:fill="auto"/>
          </w:tcPr>
          <w:p w14:paraId="192BFC95"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+ 13</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4785A6B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+ 34</w:t>
            </w:r>
          </w:p>
        </w:tc>
        <w:tc>
          <w:tcPr>
            <w:tcW w:w="1417" w:type="dxa"/>
            <w:tcBorders>
              <w:left w:val="single" w:sz="4" w:space="0" w:color="000000"/>
              <w:right w:val="single" w:sz="4" w:space="0" w:color="000000"/>
            </w:tcBorders>
          </w:tcPr>
          <w:p w14:paraId="6D59720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+30</w:t>
            </w:r>
          </w:p>
        </w:tc>
        <w:tc>
          <w:tcPr>
            <w:tcW w:w="1985" w:type="dxa"/>
            <w:tcBorders>
              <w:left w:val="single" w:sz="4" w:space="0" w:color="000000"/>
              <w:right w:val="single" w:sz="4" w:space="0" w:color="000000"/>
            </w:tcBorders>
          </w:tcPr>
          <w:p w14:paraId="1B775AB2"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+54</w:t>
            </w:r>
          </w:p>
        </w:tc>
      </w:tr>
      <w:tr w:rsidR="00827F24" w:rsidRPr="005C7CCC" w14:paraId="68FD0904" w14:textId="77777777" w:rsidTr="00C21D10">
        <w:tc>
          <w:tcPr>
            <w:tcW w:w="993" w:type="dxa"/>
            <w:tcBorders>
              <w:top w:val="dotted" w:sz="4" w:space="0" w:color="auto"/>
              <w:left w:val="single" w:sz="4" w:space="0" w:color="000000"/>
              <w:bottom w:val="dotted" w:sz="4" w:space="0" w:color="auto"/>
            </w:tcBorders>
            <w:shd w:val="clear" w:color="auto" w:fill="auto"/>
          </w:tcPr>
          <w:p w14:paraId="25DBB45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20</w:t>
            </w:r>
          </w:p>
        </w:tc>
        <w:tc>
          <w:tcPr>
            <w:tcW w:w="708" w:type="dxa"/>
            <w:tcBorders>
              <w:top w:val="dotted" w:sz="4" w:space="0" w:color="auto"/>
              <w:left w:val="single" w:sz="4" w:space="0" w:color="000000"/>
              <w:bottom w:val="dotted" w:sz="4" w:space="0" w:color="auto"/>
              <w:right w:val="single" w:sz="4" w:space="0" w:color="000000"/>
            </w:tcBorders>
          </w:tcPr>
          <w:p w14:paraId="78A214A4"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- 24</w:t>
            </w:r>
          </w:p>
        </w:tc>
        <w:tc>
          <w:tcPr>
            <w:tcW w:w="1276" w:type="dxa"/>
            <w:tcBorders>
              <w:top w:val="dotted" w:sz="4" w:space="0" w:color="auto"/>
              <w:left w:val="single" w:sz="4" w:space="0" w:color="000000"/>
              <w:bottom w:val="dotted" w:sz="4" w:space="0" w:color="auto"/>
            </w:tcBorders>
            <w:shd w:val="clear" w:color="auto" w:fill="auto"/>
          </w:tcPr>
          <w:p w14:paraId="7CFEC9C4"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9</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558F5D83"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+ 23</w:t>
            </w:r>
          </w:p>
        </w:tc>
        <w:tc>
          <w:tcPr>
            <w:tcW w:w="1417" w:type="dxa"/>
            <w:tcBorders>
              <w:left w:val="single" w:sz="4" w:space="0" w:color="000000"/>
              <w:right w:val="single" w:sz="4" w:space="0" w:color="000000"/>
            </w:tcBorders>
          </w:tcPr>
          <w:p w14:paraId="7803476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+26</w:t>
            </w:r>
          </w:p>
        </w:tc>
        <w:tc>
          <w:tcPr>
            <w:tcW w:w="1985" w:type="dxa"/>
            <w:tcBorders>
              <w:left w:val="single" w:sz="4" w:space="0" w:color="000000"/>
              <w:right w:val="single" w:sz="4" w:space="0" w:color="000000"/>
            </w:tcBorders>
          </w:tcPr>
          <w:p w14:paraId="30D7FC7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+42</w:t>
            </w:r>
          </w:p>
        </w:tc>
      </w:tr>
      <w:tr w:rsidR="00827F24" w:rsidRPr="005C7CCC" w14:paraId="2A095B40" w14:textId="77777777" w:rsidTr="00C21D10">
        <w:tc>
          <w:tcPr>
            <w:tcW w:w="993" w:type="dxa"/>
            <w:tcBorders>
              <w:top w:val="dotted" w:sz="4" w:space="0" w:color="auto"/>
              <w:left w:val="single" w:sz="4" w:space="0" w:color="000000"/>
              <w:bottom w:val="dotted" w:sz="4" w:space="0" w:color="auto"/>
            </w:tcBorders>
            <w:shd w:val="clear" w:color="auto" w:fill="auto"/>
          </w:tcPr>
          <w:p w14:paraId="4E4FC99A"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25</w:t>
            </w:r>
          </w:p>
        </w:tc>
        <w:tc>
          <w:tcPr>
            <w:tcW w:w="708" w:type="dxa"/>
            <w:tcBorders>
              <w:top w:val="dotted" w:sz="4" w:space="0" w:color="auto"/>
              <w:left w:val="single" w:sz="4" w:space="0" w:color="000000"/>
              <w:bottom w:val="dotted" w:sz="4" w:space="0" w:color="auto"/>
              <w:right w:val="single" w:sz="4" w:space="0" w:color="000000"/>
            </w:tcBorders>
          </w:tcPr>
          <w:p w14:paraId="65F5E90B"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- 28</w:t>
            </w:r>
          </w:p>
        </w:tc>
        <w:tc>
          <w:tcPr>
            <w:tcW w:w="1276" w:type="dxa"/>
            <w:tcBorders>
              <w:top w:val="dotted" w:sz="4" w:space="0" w:color="auto"/>
              <w:left w:val="single" w:sz="4" w:space="0" w:color="000000"/>
              <w:bottom w:val="dotted" w:sz="4" w:space="0" w:color="auto"/>
            </w:tcBorders>
            <w:shd w:val="clear" w:color="auto" w:fill="auto"/>
          </w:tcPr>
          <w:p w14:paraId="25FA2B81"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6</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0963CBE8"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+ 11</w:t>
            </w:r>
          </w:p>
        </w:tc>
        <w:tc>
          <w:tcPr>
            <w:tcW w:w="1417" w:type="dxa"/>
            <w:tcBorders>
              <w:left w:val="single" w:sz="4" w:space="0" w:color="000000"/>
              <w:right w:val="single" w:sz="4" w:space="0" w:color="000000"/>
            </w:tcBorders>
          </w:tcPr>
          <w:p w14:paraId="5492472A"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+22</w:t>
            </w:r>
          </w:p>
        </w:tc>
        <w:tc>
          <w:tcPr>
            <w:tcW w:w="1985" w:type="dxa"/>
            <w:tcBorders>
              <w:left w:val="single" w:sz="4" w:space="0" w:color="000000"/>
              <w:right w:val="single" w:sz="4" w:space="0" w:color="000000"/>
            </w:tcBorders>
          </w:tcPr>
          <w:p w14:paraId="0AC105D4"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+28</w:t>
            </w:r>
          </w:p>
        </w:tc>
      </w:tr>
      <w:tr w:rsidR="00827F24" w:rsidRPr="005C7CCC" w14:paraId="14E42D85" w14:textId="77777777" w:rsidTr="00C21D10">
        <w:tc>
          <w:tcPr>
            <w:tcW w:w="993" w:type="dxa"/>
            <w:tcBorders>
              <w:top w:val="dotted" w:sz="4" w:space="0" w:color="auto"/>
              <w:left w:val="single" w:sz="4" w:space="0" w:color="000000"/>
              <w:bottom w:val="dotted" w:sz="4" w:space="0" w:color="auto"/>
            </w:tcBorders>
            <w:shd w:val="clear" w:color="auto" w:fill="auto"/>
          </w:tcPr>
          <w:p w14:paraId="43FE79C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30</w:t>
            </w:r>
          </w:p>
        </w:tc>
        <w:tc>
          <w:tcPr>
            <w:tcW w:w="708" w:type="dxa"/>
            <w:tcBorders>
              <w:top w:val="dotted" w:sz="4" w:space="0" w:color="auto"/>
              <w:left w:val="single" w:sz="4" w:space="0" w:color="000000"/>
              <w:bottom w:val="dotted" w:sz="4" w:space="0" w:color="auto"/>
              <w:right w:val="single" w:sz="4" w:space="0" w:color="000000"/>
            </w:tcBorders>
          </w:tcPr>
          <w:p w14:paraId="14934EE5"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- 32</w:t>
            </w:r>
          </w:p>
        </w:tc>
        <w:tc>
          <w:tcPr>
            <w:tcW w:w="1276" w:type="dxa"/>
            <w:tcBorders>
              <w:top w:val="dotted" w:sz="4" w:space="0" w:color="auto"/>
              <w:left w:val="single" w:sz="4" w:space="0" w:color="000000"/>
              <w:bottom w:val="dotted" w:sz="4" w:space="0" w:color="auto"/>
            </w:tcBorders>
            <w:shd w:val="clear" w:color="auto" w:fill="auto"/>
          </w:tcPr>
          <w:p w14:paraId="72465B1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4</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10226305"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7</w:t>
            </w:r>
          </w:p>
        </w:tc>
        <w:tc>
          <w:tcPr>
            <w:tcW w:w="1417" w:type="dxa"/>
            <w:tcBorders>
              <w:left w:val="single" w:sz="4" w:space="0" w:color="000000"/>
              <w:right w:val="single" w:sz="4" w:space="0" w:color="000000"/>
            </w:tcBorders>
          </w:tcPr>
          <w:p w14:paraId="123D777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+20</w:t>
            </w:r>
          </w:p>
        </w:tc>
        <w:tc>
          <w:tcPr>
            <w:tcW w:w="1985" w:type="dxa"/>
            <w:tcBorders>
              <w:left w:val="single" w:sz="4" w:space="0" w:color="000000"/>
              <w:right w:val="single" w:sz="4" w:space="0" w:color="000000"/>
            </w:tcBorders>
          </w:tcPr>
          <w:p w14:paraId="5B1D7A28"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+23</w:t>
            </w:r>
          </w:p>
        </w:tc>
      </w:tr>
      <w:tr w:rsidR="00827F24" w:rsidRPr="005C7CCC" w14:paraId="30CD56F8" w14:textId="77777777" w:rsidTr="00C21D10">
        <w:tc>
          <w:tcPr>
            <w:tcW w:w="993" w:type="dxa"/>
            <w:tcBorders>
              <w:top w:val="dotted" w:sz="4" w:space="0" w:color="auto"/>
              <w:left w:val="single" w:sz="4" w:space="0" w:color="000000"/>
              <w:bottom w:val="dotted" w:sz="4" w:space="0" w:color="auto"/>
            </w:tcBorders>
            <w:shd w:val="clear" w:color="auto" w:fill="auto"/>
          </w:tcPr>
          <w:p w14:paraId="10B30AC1"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35</w:t>
            </w:r>
          </w:p>
        </w:tc>
        <w:tc>
          <w:tcPr>
            <w:tcW w:w="708" w:type="dxa"/>
            <w:tcBorders>
              <w:top w:val="dotted" w:sz="4" w:space="0" w:color="auto"/>
              <w:left w:val="single" w:sz="4" w:space="0" w:color="000000"/>
              <w:bottom w:val="dotted" w:sz="4" w:space="0" w:color="auto"/>
              <w:right w:val="single" w:sz="4" w:space="0" w:color="000000"/>
            </w:tcBorders>
          </w:tcPr>
          <w:p w14:paraId="3FB053DF"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- 33</w:t>
            </w:r>
          </w:p>
        </w:tc>
        <w:tc>
          <w:tcPr>
            <w:tcW w:w="1276" w:type="dxa"/>
            <w:tcBorders>
              <w:top w:val="dotted" w:sz="4" w:space="0" w:color="auto"/>
              <w:left w:val="single" w:sz="4" w:space="0" w:color="000000"/>
              <w:bottom w:val="dotted" w:sz="4" w:space="0" w:color="auto"/>
            </w:tcBorders>
            <w:shd w:val="clear" w:color="auto" w:fill="auto"/>
          </w:tcPr>
          <w:p w14:paraId="6A8E6FF8"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2</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756A74C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3</w:t>
            </w:r>
          </w:p>
        </w:tc>
        <w:tc>
          <w:tcPr>
            <w:tcW w:w="1417" w:type="dxa"/>
            <w:tcBorders>
              <w:left w:val="single" w:sz="4" w:space="0" w:color="000000"/>
              <w:right w:val="single" w:sz="4" w:space="0" w:color="000000"/>
            </w:tcBorders>
          </w:tcPr>
          <w:p w14:paraId="100DED07"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+18</w:t>
            </w:r>
          </w:p>
        </w:tc>
        <w:tc>
          <w:tcPr>
            <w:tcW w:w="1985" w:type="dxa"/>
            <w:tcBorders>
              <w:left w:val="single" w:sz="4" w:space="0" w:color="000000"/>
              <w:right w:val="single" w:sz="4" w:space="0" w:color="000000"/>
            </w:tcBorders>
          </w:tcPr>
          <w:p w14:paraId="014AE204"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+19</w:t>
            </w:r>
          </w:p>
        </w:tc>
      </w:tr>
      <w:tr w:rsidR="00827F24" w:rsidRPr="005C7CCC" w14:paraId="4B1B832B" w14:textId="77777777" w:rsidTr="00C21D10">
        <w:tc>
          <w:tcPr>
            <w:tcW w:w="993" w:type="dxa"/>
            <w:tcBorders>
              <w:top w:val="dotted" w:sz="4" w:space="0" w:color="auto"/>
              <w:left w:val="single" w:sz="4" w:space="0" w:color="000000"/>
              <w:bottom w:val="dotted" w:sz="4" w:space="0" w:color="auto"/>
            </w:tcBorders>
            <w:shd w:val="clear" w:color="auto" w:fill="auto"/>
          </w:tcPr>
          <w:p w14:paraId="508E45AE"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40</w:t>
            </w:r>
          </w:p>
        </w:tc>
        <w:tc>
          <w:tcPr>
            <w:tcW w:w="708" w:type="dxa"/>
            <w:tcBorders>
              <w:top w:val="dotted" w:sz="4" w:space="0" w:color="auto"/>
              <w:left w:val="single" w:sz="4" w:space="0" w:color="000000"/>
              <w:bottom w:val="dotted" w:sz="4" w:space="0" w:color="auto"/>
              <w:right w:val="single" w:sz="4" w:space="0" w:color="000000"/>
            </w:tcBorders>
          </w:tcPr>
          <w:p w14:paraId="7D140487"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- 34</w:t>
            </w:r>
          </w:p>
        </w:tc>
        <w:tc>
          <w:tcPr>
            <w:tcW w:w="1276" w:type="dxa"/>
            <w:tcBorders>
              <w:top w:val="dotted" w:sz="4" w:space="0" w:color="auto"/>
              <w:left w:val="single" w:sz="4" w:space="0" w:color="000000"/>
              <w:bottom w:val="dotted" w:sz="4" w:space="0" w:color="auto"/>
            </w:tcBorders>
            <w:shd w:val="clear" w:color="auto" w:fill="auto"/>
          </w:tcPr>
          <w:p w14:paraId="03FEAF2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0</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5C92F5D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0</w:t>
            </w:r>
          </w:p>
        </w:tc>
        <w:tc>
          <w:tcPr>
            <w:tcW w:w="1417" w:type="dxa"/>
            <w:tcBorders>
              <w:left w:val="single" w:sz="4" w:space="0" w:color="000000"/>
              <w:right w:val="single" w:sz="4" w:space="0" w:color="000000"/>
            </w:tcBorders>
          </w:tcPr>
          <w:p w14:paraId="0CEDFE31"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+15</w:t>
            </w:r>
          </w:p>
        </w:tc>
        <w:tc>
          <w:tcPr>
            <w:tcW w:w="1985" w:type="dxa"/>
            <w:tcBorders>
              <w:left w:val="single" w:sz="4" w:space="0" w:color="000000"/>
              <w:right w:val="single" w:sz="4" w:space="0" w:color="000000"/>
            </w:tcBorders>
          </w:tcPr>
          <w:p w14:paraId="213D6369"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+15</w:t>
            </w:r>
          </w:p>
        </w:tc>
      </w:tr>
      <w:tr w:rsidR="00827F24" w:rsidRPr="005C7CCC" w14:paraId="01F0B3E5" w14:textId="77777777" w:rsidTr="00C21D10">
        <w:tc>
          <w:tcPr>
            <w:tcW w:w="993" w:type="dxa"/>
            <w:tcBorders>
              <w:top w:val="dotted" w:sz="4" w:space="0" w:color="auto"/>
              <w:left w:val="single" w:sz="4" w:space="0" w:color="000000"/>
              <w:bottom w:val="dotted" w:sz="4" w:space="0" w:color="auto"/>
            </w:tcBorders>
            <w:shd w:val="clear" w:color="auto" w:fill="auto"/>
          </w:tcPr>
          <w:p w14:paraId="7983E228"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45</w:t>
            </w:r>
          </w:p>
        </w:tc>
        <w:tc>
          <w:tcPr>
            <w:tcW w:w="708" w:type="dxa"/>
            <w:tcBorders>
              <w:top w:val="dotted" w:sz="4" w:space="0" w:color="auto"/>
              <w:left w:val="single" w:sz="4" w:space="0" w:color="000000"/>
              <w:bottom w:val="dotted" w:sz="4" w:space="0" w:color="auto"/>
              <w:right w:val="single" w:sz="4" w:space="0" w:color="000000"/>
            </w:tcBorders>
          </w:tcPr>
          <w:p w14:paraId="53881B0E"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- 35</w:t>
            </w:r>
          </w:p>
        </w:tc>
        <w:tc>
          <w:tcPr>
            <w:tcW w:w="1276" w:type="dxa"/>
            <w:tcBorders>
              <w:top w:val="dotted" w:sz="4" w:space="0" w:color="auto"/>
              <w:left w:val="single" w:sz="4" w:space="0" w:color="000000"/>
              <w:bottom w:val="dotted" w:sz="4" w:space="0" w:color="auto"/>
            </w:tcBorders>
            <w:shd w:val="clear" w:color="auto" w:fill="auto"/>
          </w:tcPr>
          <w:p w14:paraId="2782D21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4</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60C356D5"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4</w:t>
            </w:r>
          </w:p>
        </w:tc>
        <w:tc>
          <w:tcPr>
            <w:tcW w:w="1417" w:type="dxa"/>
            <w:tcBorders>
              <w:left w:val="single" w:sz="4" w:space="0" w:color="000000"/>
              <w:right w:val="single" w:sz="4" w:space="0" w:color="000000"/>
            </w:tcBorders>
          </w:tcPr>
          <w:p w14:paraId="40E72157"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+12</w:t>
            </w:r>
          </w:p>
        </w:tc>
        <w:tc>
          <w:tcPr>
            <w:tcW w:w="1985" w:type="dxa"/>
            <w:tcBorders>
              <w:left w:val="single" w:sz="4" w:space="0" w:color="000000"/>
              <w:right w:val="single" w:sz="4" w:space="0" w:color="000000"/>
            </w:tcBorders>
          </w:tcPr>
          <w:p w14:paraId="7DF6D90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+12</w:t>
            </w:r>
          </w:p>
        </w:tc>
      </w:tr>
      <w:tr w:rsidR="00827F24" w:rsidRPr="005C7CCC" w14:paraId="79498B92" w14:textId="77777777" w:rsidTr="00C21D10">
        <w:tc>
          <w:tcPr>
            <w:tcW w:w="993" w:type="dxa"/>
            <w:tcBorders>
              <w:top w:val="dotted" w:sz="4" w:space="0" w:color="auto"/>
              <w:left w:val="single" w:sz="4" w:space="0" w:color="000000"/>
              <w:bottom w:val="dotted" w:sz="4" w:space="0" w:color="auto"/>
              <w:right w:val="single" w:sz="4" w:space="0" w:color="auto"/>
            </w:tcBorders>
            <w:shd w:val="clear" w:color="auto" w:fill="auto"/>
          </w:tcPr>
          <w:p w14:paraId="0A31FD49"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5C7CCC">
              <w:rPr>
                <w:bCs/>
                <w:sz w:val="18"/>
                <w:szCs w:val="18"/>
                <w:lang w:eastAsia="ar-SA"/>
              </w:rPr>
              <w:t>50</w:t>
            </w:r>
          </w:p>
        </w:tc>
        <w:tc>
          <w:tcPr>
            <w:tcW w:w="708" w:type="dxa"/>
            <w:tcBorders>
              <w:top w:val="dotted" w:sz="4" w:space="0" w:color="auto"/>
              <w:left w:val="single" w:sz="4" w:space="0" w:color="auto"/>
              <w:bottom w:val="dotted" w:sz="4" w:space="0" w:color="auto"/>
              <w:right w:val="single" w:sz="4" w:space="0" w:color="auto"/>
            </w:tcBorders>
          </w:tcPr>
          <w:p w14:paraId="3ACE89A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- 37</w:t>
            </w:r>
          </w:p>
        </w:tc>
        <w:tc>
          <w:tcPr>
            <w:tcW w:w="1276" w:type="dxa"/>
            <w:tcBorders>
              <w:top w:val="dotted" w:sz="4" w:space="0" w:color="auto"/>
              <w:left w:val="single" w:sz="4" w:space="0" w:color="auto"/>
              <w:bottom w:val="dotted" w:sz="4" w:space="0" w:color="auto"/>
            </w:tcBorders>
            <w:shd w:val="clear" w:color="auto" w:fill="auto"/>
          </w:tcPr>
          <w:p w14:paraId="2082A12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CCC">
              <w:rPr>
                <w:bCs/>
                <w:sz w:val="18"/>
                <w:szCs w:val="18"/>
                <w:lang w:eastAsia="ar-SA"/>
              </w:rPr>
              <w:t>-  9</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4E6C034B"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sz w:val="18"/>
                <w:szCs w:val="18"/>
                <w:lang w:eastAsia="ar-SA"/>
              </w:rPr>
            </w:pPr>
            <w:r w:rsidRPr="005C7CCC">
              <w:rPr>
                <w:bCs/>
                <w:sz w:val="18"/>
                <w:szCs w:val="18"/>
                <w:lang w:eastAsia="ar-SA"/>
              </w:rPr>
              <w:t>-  9</w:t>
            </w:r>
          </w:p>
        </w:tc>
        <w:tc>
          <w:tcPr>
            <w:tcW w:w="1417" w:type="dxa"/>
            <w:tcBorders>
              <w:left w:val="single" w:sz="4" w:space="0" w:color="000000"/>
              <w:right w:val="single" w:sz="4" w:space="0" w:color="000000"/>
            </w:tcBorders>
          </w:tcPr>
          <w:p w14:paraId="20C736B4"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+8</w:t>
            </w:r>
          </w:p>
        </w:tc>
        <w:tc>
          <w:tcPr>
            <w:tcW w:w="1985" w:type="dxa"/>
            <w:tcBorders>
              <w:left w:val="single" w:sz="4" w:space="0" w:color="000000"/>
              <w:right w:val="single" w:sz="4" w:space="0" w:color="000000"/>
            </w:tcBorders>
          </w:tcPr>
          <w:p w14:paraId="158A64CB"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+8</w:t>
            </w:r>
          </w:p>
        </w:tc>
      </w:tr>
      <w:tr w:rsidR="00827F24" w:rsidRPr="005C7CCC" w14:paraId="485202FF" w14:textId="77777777" w:rsidTr="00C21D10">
        <w:tc>
          <w:tcPr>
            <w:tcW w:w="993" w:type="dxa"/>
            <w:tcBorders>
              <w:top w:val="dotted" w:sz="4" w:space="0" w:color="auto"/>
              <w:left w:val="single" w:sz="4" w:space="0" w:color="000000"/>
              <w:bottom w:val="dotted" w:sz="4" w:space="0" w:color="auto"/>
              <w:right w:val="single" w:sz="4" w:space="0" w:color="auto"/>
            </w:tcBorders>
            <w:shd w:val="clear" w:color="auto" w:fill="auto"/>
          </w:tcPr>
          <w:p w14:paraId="157C595A"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
                <w:bCs/>
                <w:sz w:val="18"/>
                <w:szCs w:val="18"/>
                <w:lang w:eastAsia="ar-SA"/>
              </w:rPr>
            </w:pPr>
            <w:r w:rsidRPr="005C7CCC">
              <w:rPr>
                <w:b/>
                <w:bCs/>
                <w:sz w:val="18"/>
                <w:szCs w:val="18"/>
                <w:lang w:eastAsia="ar-SA"/>
              </w:rPr>
              <w:t>55</w:t>
            </w:r>
          </w:p>
        </w:tc>
        <w:tc>
          <w:tcPr>
            <w:tcW w:w="708" w:type="dxa"/>
            <w:tcBorders>
              <w:top w:val="dotted" w:sz="4" w:space="0" w:color="auto"/>
              <w:left w:val="single" w:sz="4" w:space="0" w:color="auto"/>
              <w:bottom w:val="dotted" w:sz="4" w:space="0" w:color="auto"/>
              <w:right w:val="single" w:sz="4" w:space="0" w:color="auto"/>
            </w:tcBorders>
          </w:tcPr>
          <w:p w14:paraId="5E7C882B"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276" w:type="dxa"/>
            <w:tcBorders>
              <w:top w:val="dotted" w:sz="4" w:space="0" w:color="auto"/>
              <w:left w:val="single" w:sz="4" w:space="0" w:color="auto"/>
              <w:bottom w:val="dotted" w:sz="4" w:space="0" w:color="auto"/>
            </w:tcBorders>
            <w:shd w:val="clear" w:color="auto" w:fill="auto"/>
          </w:tcPr>
          <w:p w14:paraId="6A80B57B"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66BF240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417" w:type="dxa"/>
            <w:tcBorders>
              <w:left w:val="single" w:sz="4" w:space="0" w:color="000000"/>
              <w:right w:val="single" w:sz="4" w:space="0" w:color="000000"/>
            </w:tcBorders>
          </w:tcPr>
          <w:p w14:paraId="4DD6BD92"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+5</w:t>
            </w:r>
          </w:p>
        </w:tc>
        <w:tc>
          <w:tcPr>
            <w:tcW w:w="1985" w:type="dxa"/>
            <w:tcBorders>
              <w:left w:val="single" w:sz="4" w:space="0" w:color="000000"/>
              <w:right w:val="single" w:sz="4" w:space="0" w:color="000000"/>
            </w:tcBorders>
          </w:tcPr>
          <w:p w14:paraId="42336261"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+5</w:t>
            </w:r>
          </w:p>
        </w:tc>
      </w:tr>
      <w:tr w:rsidR="00827F24" w:rsidRPr="005C7CCC" w14:paraId="7D9978F8" w14:textId="77777777" w:rsidTr="00C21D10">
        <w:tc>
          <w:tcPr>
            <w:tcW w:w="993" w:type="dxa"/>
            <w:tcBorders>
              <w:top w:val="dotted" w:sz="4" w:space="0" w:color="auto"/>
              <w:left w:val="single" w:sz="4" w:space="0" w:color="000000"/>
              <w:bottom w:val="dotted" w:sz="4" w:space="0" w:color="auto"/>
              <w:right w:val="single" w:sz="4" w:space="0" w:color="auto"/>
            </w:tcBorders>
            <w:shd w:val="clear" w:color="auto" w:fill="auto"/>
          </w:tcPr>
          <w:p w14:paraId="0D49CFB9"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
                <w:bCs/>
                <w:sz w:val="18"/>
                <w:szCs w:val="18"/>
                <w:lang w:eastAsia="ar-SA"/>
              </w:rPr>
            </w:pPr>
            <w:r w:rsidRPr="005C7CCC">
              <w:rPr>
                <w:b/>
                <w:bCs/>
                <w:sz w:val="18"/>
                <w:szCs w:val="18"/>
                <w:lang w:eastAsia="ar-SA"/>
              </w:rPr>
              <w:t>60</w:t>
            </w:r>
          </w:p>
        </w:tc>
        <w:tc>
          <w:tcPr>
            <w:tcW w:w="708" w:type="dxa"/>
            <w:tcBorders>
              <w:top w:val="dotted" w:sz="4" w:space="0" w:color="auto"/>
              <w:left w:val="single" w:sz="4" w:space="0" w:color="auto"/>
              <w:bottom w:val="dotted" w:sz="4" w:space="0" w:color="auto"/>
              <w:right w:val="single" w:sz="4" w:space="0" w:color="auto"/>
            </w:tcBorders>
          </w:tcPr>
          <w:p w14:paraId="63B2B2F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276" w:type="dxa"/>
            <w:tcBorders>
              <w:top w:val="dotted" w:sz="4" w:space="0" w:color="auto"/>
              <w:left w:val="single" w:sz="4" w:space="0" w:color="auto"/>
              <w:bottom w:val="dotted" w:sz="4" w:space="0" w:color="auto"/>
            </w:tcBorders>
            <w:shd w:val="clear" w:color="auto" w:fill="auto"/>
          </w:tcPr>
          <w:p w14:paraId="59878D02"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40396E2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417" w:type="dxa"/>
            <w:tcBorders>
              <w:left w:val="single" w:sz="4" w:space="0" w:color="000000"/>
              <w:right w:val="single" w:sz="4" w:space="0" w:color="000000"/>
            </w:tcBorders>
          </w:tcPr>
          <w:p w14:paraId="76449620"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+3</w:t>
            </w:r>
          </w:p>
        </w:tc>
        <w:tc>
          <w:tcPr>
            <w:tcW w:w="1985" w:type="dxa"/>
            <w:tcBorders>
              <w:left w:val="single" w:sz="4" w:space="0" w:color="000000"/>
              <w:right w:val="single" w:sz="4" w:space="0" w:color="000000"/>
            </w:tcBorders>
          </w:tcPr>
          <w:p w14:paraId="40404B67"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+3</w:t>
            </w:r>
          </w:p>
        </w:tc>
      </w:tr>
      <w:tr w:rsidR="00827F24" w:rsidRPr="005C7CCC" w14:paraId="7F55EA9D" w14:textId="77777777" w:rsidTr="00C21D10">
        <w:tc>
          <w:tcPr>
            <w:tcW w:w="993" w:type="dxa"/>
            <w:tcBorders>
              <w:top w:val="dotted" w:sz="4" w:space="0" w:color="auto"/>
              <w:left w:val="single" w:sz="4" w:space="0" w:color="000000"/>
              <w:bottom w:val="dotted" w:sz="4" w:space="0" w:color="auto"/>
              <w:right w:val="single" w:sz="4" w:space="0" w:color="auto"/>
            </w:tcBorders>
            <w:shd w:val="clear" w:color="auto" w:fill="auto"/>
          </w:tcPr>
          <w:p w14:paraId="03C2B809"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
                <w:bCs/>
                <w:sz w:val="18"/>
                <w:szCs w:val="18"/>
                <w:lang w:eastAsia="ar-SA"/>
              </w:rPr>
            </w:pPr>
            <w:r w:rsidRPr="005C7CCC">
              <w:rPr>
                <w:b/>
                <w:bCs/>
                <w:sz w:val="18"/>
                <w:szCs w:val="18"/>
                <w:lang w:eastAsia="ar-SA"/>
              </w:rPr>
              <w:t>65</w:t>
            </w:r>
          </w:p>
        </w:tc>
        <w:tc>
          <w:tcPr>
            <w:tcW w:w="708" w:type="dxa"/>
            <w:tcBorders>
              <w:top w:val="dotted" w:sz="4" w:space="0" w:color="auto"/>
              <w:left w:val="single" w:sz="4" w:space="0" w:color="auto"/>
              <w:bottom w:val="dotted" w:sz="4" w:space="0" w:color="auto"/>
              <w:right w:val="single" w:sz="4" w:space="0" w:color="auto"/>
            </w:tcBorders>
          </w:tcPr>
          <w:p w14:paraId="601AE12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276" w:type="dxa"/>
            <w:tcBorders>
              <w:top w:val="dotted" w:sz="4" w:space="0" w:color="auto"/>
              <w:left w:val="single" w:sz="4" w:space="0" w:color="auto"/>
              <w:bottom w:val="dotted" w:sz="4" w:space="0" w:color="auto"/>
            </w:tcBorders>
            <w:shd w:val="clear" w:color="auto" w:fill="auto"/>
          </w:tcPr>
          <w:p w14:paraId="023C4B45"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843" w:type="dxa"/>
            <w:tcBorders>
              <w:top w:val="dotted" w:sz="4" w:space="0" w:color="auto"/>
              <w:left w:val="single" w:sz="4" w:space="0" w:color="000000"/>
              <w:bottom w:val="dotted" w:sz="4" w:space="0" w:color="auto"/>
              <w:right w:val="single" w:sz="4" w:space="0" w:color="000000"/>
            </w:tcBorders>
            <w:shd w:val="clear" w:color="auto" w:fill="auto"/>
          </w:tcPr>
          <w:p w14:paraId="5E204F1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417" w:type="dxa"/>
            <w:tcBorders>
              <w:left w:val="single" w:sz="4" w:space="0" w:color="000000"/>
              <w:right w:val="single" w:sz="4" w:space="0" w:color="000000"/>
            </w:tcBorders>
          </w:tcPr>
          <w:p w14:paraId="1886E19A"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0</w:t>
            </w:r>
          </w:p>
        </w:tc>
        <w:tc>
          <w:tcPr>
            <w:tcW w:w="1985" w:type="dxa"/>
            <w:tcBorders>
              <w:left w:val="single" w:sz="4" w:space="0" w:color="000000"/>
              <w:right w:val="single" w:sz="4" w:space="0" w:color="000000"/>
            </w:tcBorders>
          </w:tcPr>
          <w:p w14:paraId="09899CED"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0</w:t>
            </w:r>
          </w:p>
        </w:tc>
      </w:tr>
      <w:tr w:rsidR="00827F24" w:rsidRPr="005C7CCC" w14:paraId="3177B43D" w14:textId="77777777" w:rsidTr="00C21D10">
        <w:tc>
          <w:tcPr>
            <w:tcW w:w="993" w:type="dxa"/>
            <w:tcBorders>
              <w:top w:val="dotted" w:sz="4" w:space="0" w:color="auto"/>
              <w:left w:val="single" w:sz="4" w:space="0" w:color="000000"/>
              <w:bottom w:val="single" w:sz="12" w:space="0" w:color="auto"/>
              <w:right w:val="single" w:sz="4" w:space="0" w:color="auto"/>
            </w:tcBorders>
            <w:shd w:val="clear" w:color="auto" w:fill="auto"/>
          </w:tcPr>
          <w:p w14:paraId="1E1683E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
                <w:bCs/>
                <w:sz w:val="18"/>
                <w:szCs w:val="18"/>
                <w:lang w:eastAsia="ar-SA"/>
              </w:rPr>
            </w:pPr>
            <w:r w:rsidRPr="005C7CCC">
              <w:rPr>
                <w:b/>
                <w:bCs/>
                <w:sz w:val="18"/>
                <w:szCs w:val="18"/>
                <w:lang w:eastAsia="ar-SA"/>
              </w:rPr>
              <w:t>70</w:t>
            </w:r>
          </w:p>
        </w:tc>
        <w:tc>
          <w:tcPr>
            <w:tcW w:w="708" w:type="dxa"/>
            <w:tcBorders>
              <w:top w:val="dotted" w:sz="4" w:space="0" w:color="auto"/>
              <w:left w:val="single" w:sz="4" w:space="0" w:color="auto"/>
              <w:bottom w:val="single" w:sz="12" w:space="0" w:color="auto"/>
              <w:right w:val="single" w:sz="4" w:space="0" w:color="auto"/>
            </w:tcBorders>
          </w:tcPr>
          <w:p w14:paraId="60CFA403"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276" w:type="dxa"/>
            <w:tcBorders>
              <w:top w:val="dotted" w:sz="4" w:space="0" w:color="auto"/>
              <w:left w:val="single" w:sz="4" w:space="0" w:color="auto"/>
              <w:bottom w:val="single" w:sz="12" w:space="0" w:color="auto"/>
            </w:tcBorders>
            <w:shd w:val="clear" w:color="auto" w:fill="auto"/>
          </w:tcPr>
          <w:p w14:paraId="18D3F889"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843" w:type="dxa"/>
            <w:tcBorders>
              <w:top w:val="dotted" w:sz="4" w:space="0" w:color="auto"/>
              <w:left w:val="single" w:sz="4" w:space="0" w:color="000000"/>
              <w:bottom w:val="single" w:sz="12" w:space="0" w:color="auto"/>
              <w:right w:val="single" w:sz="4" w:space="0" w:color="000000"/>
            </w:tcBorders>
            <w:shd w:val="clear" w:color="auto" w:fill="auto"/>
          </w:tcPr>
          <w:p w14:paraId="16F25366"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w:t>
            </w:r>
          </w:p>
        </w:tc>
        <w:tc>
          <w:tcPr>
            <w:tcW w:w="1417" w:type="dxa"/>
            <w:tcBorders>
              <w:left w:val="single" w:sz="4" w:space="0" w:color="000000"/>
              <w:bottom w:val="single" w:sz="12" w:space="0" w:color="auto"/>
              <w:right w:val="single" w:sz="4" w:space="0" w:color="000000"/>
            </w:tcBorders>
          </w:tcPr>
          <w:p w14:paraId="6976294C"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-9</w:t>
            </w:r>
          </w:p>
        </w:tc>
        <w:tc>
          <w:tcPr>
            <w:tcW w:w="1985" w:type="dxa"/>
            <w:tcBorders>
              <w:left w:val="single" w:sz="4" w:space="0" w:color="000000"/>
              <w:bottom w:val="single" w:sz="12" w:space="0" w:color="auto"/>
              <w:right w:val="single" w:sz="4" w:space="0" w:color="000000"/>
            </w:tcBorders>
          </w:tcPr>
          <w:p w14:paraId="751B401E" w14:textId="77777777" w:rsidR="00827F24" w:rsidRPr="005C7CCC" w:rsidRDefault="00827F24" w:rsidP="00C21D1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
                <w:bCs/>
                <w:sz w:val="18"/>
                <w:szCs w:val="18"/>
                <w:lang w:eastAsia="ar-SA"/>
              </w:rPr>
            </w:pPr>
            <w:r w:rsidRPr="005C7CCC">
              <w:rPr>
                <w:b/>
                <w:bCs/>
                <w:sz w:val="18"/>
                <w:szCs w:val="18"/>
                <w:lang w:eastAsia="ar-SA"/>
              </w:rPr>
              <w:t>-9</w:t>
            </w:r>
          </w:p>
        </w:tc>
      </w:tr>
    </w:tbl>
    <w:p w14:paraId="584A4D05" w14:textId="77777777" w:rsidR="00827F24" w:rsidRPr="00827F24" w:rsidRDefault="002C009E" w:rsidP="002C009E">
      <w:pPr>
        <w:suppressAutoHyphens w:val="0"/>
        <w:autoSpaceDE w:val="0"/>
        <w:autoSpaceDN w:val="0"/>
        <w:adjustRightInd w:val="0"/>
        <w:spacing w:before="120" w:after="120" w:line="240" w:lineRule="auto"/>
        <w:ind w:left="2268" w:right="1134" w:hanging="1134"/>
        <w:jc w:val="right"/>
        <w:rPr>
          <w:rFonts w:eastAsiaTheme="minorHAnsi"/>
          <w:bCs/>
        </w:rPr>
      </w:pPr>
      <w:r>
        <w:rPr>
          <w:rFonts w:eastAsiaTheme="minorHAnsi"/>
          <w:bCs/>
        </w:rPr>
        <w:t>"</w:t>
      </w:r>
    </w:p>
    <w:p w14:paraId="35798FE2" w14:textId="77777777" w:rsidR="004413E7" w:rsidRDefault="004413E7" w:rsidP="004413E7">
      <w:pPr>
        <w:pStyle w:val="HChG"/>
      </w:pPr>
      <w:r w:rsidRPr="004C4906">
        <w:tab/>
        <w:t>II.</w:t>
      </w:r>
      <w:r w:rsidRPr="004C4906">
        <w:tab/>
      </w:r>
      <w:r w:rsidR="009F1A57">
        <w:t>Justification</w:t>
      </w:r>
    </w:p>
    <w:p w14:paraId="1391AD7E" w14:textId="77777777" w:rsidR="00FF4BFF" w:rsidRDefault="0048343F" w:rsidP="00FF4BF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r>
      <w:r w:rsidR="002C009E" w:rsidRPr="005C7CCC">
        <w:t xml:space="preserve">The </w:t>
      </w:r>
      <w:r w:rsidR="002C009E">
        <w:t>modification</w:t>
      </w:r>
      <w:r w:rsidR="002C009E" w:rsidRPr="005C7CCC">
        <w:t xml:space="preserve"> of the scope </w:t>
      </w:r>
      <w:r w:rsidR="002C009E">
        <w:t xml:space="preserve">structure </w:t>
      </w:r>
      <w:r w:rsidR="002C009E" w:rsidRPr="005C7CCC">
        <w:t xml:space="preserve">is </w:t>
      </w:r>
      <w:r w:rsidR="002C009E">
        <w:t xml:space="preserve">drafted in line with the example provided in Annex 2 in informal document </w:t>
      </w:r>
      <w:r w:rsidR="002C009E" w:rsidRPr="005C7CCC">
        <w:t xml:space="preserve">WP29-175-03. In addition </w:t>
      </w:r>
      <w:r w:rsidR="002C009E">
        <w:t xml:space="preserve">to this modification, the proposed amended scope refers to the </w:t>
      </w:r>
      <w:r w:rsidR="002C009E" w:rsidRPr="005C7CCC">
        <w:t>vehicle categories S and R</w:t>
      </w:r>
      <w:r w:rsidR="002C009E">
        <w:t xml:space="preserve"> defined in</w:t>
      </w:r>
      <w:r w:rsidR="002C009E" w:rsidRPr="005C7CCC">
        <w:t xml:space="preserve"> the "Consolidated Resolution on the Construction of Vehicles (R.E.3)</w:t>
      </w:r>
      <w:r w:rsidR="002C009E">
        <w:t>, as follow:"</w:t>
      </w:r>
      <w:r w:rsidR="002C009E" w:rsidRPr="005C7CCC">
        <w:t> </w:t>
      </w:r>
    </w:p>
    <w:p w14:paraId="56B96CD3" w14:textId="77777777" w:rsidR="002C009E" w:rsidRPr="005C7CCC" w:rsidRDefault="002C009E" w:rsidP="002C009E">
      <w:pPr>
        <w:spacing w:after="120"/>
        <w:ind w:left="2268" w:right="1134" w:hanging="1134"/>
        <w:jc w:val="both"/>
        <w:rPr>
          <w:lang w:val="en-US"/>
        </w:rPr>
      </w:pPr>
      <w:r>
        <w:rPr>
          <w:lang w:val="en-US"/>
        </w:rPr>
        <w:t>"</w:t>
      </w:r>
      <w:r w:rsidRPr="005C7CCC">
        <w:rPr>
          <w:lang w:val="en-US"/>
        </w:rPr>
        <w:t>2.6.</w:t>
      </w:r>
      <w:r w:rsidRPr="005C7CCC">
        <w:rPr>
          <w:lang w:val="en-US"/>
        </w:rPr>
        <w:tab/>
        <w:t>Agricultural vehicles (Categories T, R and S)</w:t>
      </w:r>
    </w:p>
    <w:p w14:paraId="2290C162" w14:textId="77777777" w:rsidR="002C009E" w:rsidRPr="005C7CCC" w:rsidRDefault="002C009E" w:rsidP="002C009E">
      <w:pPr>
        <w:pStyle w:val="CM3"/>
        <w:spacing w:after="120"/>
        <w:ind w:left="2268" w:right="1134" w:hanging="1134"/>
        <w:jc w:val="both"/>
        <w:rPr>
          <w:rFonts w:ascii="Times New Roman" w:hAnsi="Times New Roman"/>
          <w:sz w:val="20"/>
          <w:szCs w:val="20"/>
          <w:lang w:val="en-GB"/>
        </w:rPr>
      </w:pPr>
      <w:r w:rsidRPr="005C7CCC">
        <w:rPr>
          <w:rFonts w:ascii="Times New Roman" w:hAnsi="Times New Roman"/>
          <w:sz w:val="20"/>
          <w:szCs w:val="20"/>
          <w:lang w:val="en-GB"/>
        </w:rPr>
        <w:t>2.6.1.</w:t>
      </w:r>
      <w:r w:rsidRPr="005C7CCC">
        <w:rPr>
          <w:rFonts w:ascii="Times New Roman" w:hAnsi="Times New Roman"/>
          <w:sz w:val="20"/>
          <w:szCs w:val="20"/>
          <w:lang w:val="en-GB"/>
        </w:rPr>
        <w:tab/>
      </w:r>
      <w:r w:rsidRPr="005C7CCC">
        <w:rPr>
          <w:rFonts w:ascii="Times New Roman" w:hAnsi="Times New Roman"/>
          <w:bCs/>
          <w:sz w:val="20"/>
          <w:szCs w:val="20"/>
          <w:lang w:val="en-GB"/>
        </w:rPr>
        <w:t>"</w:t>
      </w:r>
      <w:r w:rsidRPr="005C7CCC">
        <w:rPr>
          <w:rFonts w:ascii="Times New Roman" w:hAnsi="Times New Roman"/>
          <w:bCs/>
          <w:i/>
          <w:sz w:val="20"/>
          <w:szCs w:val="20"/>
          <w:lang w:val="en-GB"/>
        </w:rPr>
        <w:t>Category T</w:t>
      </w:r>
      <w:r w:rsidRPr="005C7CCC">
        <w:rPr>
          <w:rFonts w:ascii="Times New Roman" w:hAnsi="Times New Roman"/>
          <w:bCs/>
          <w:sz w:val="20"/>
          <w:szCs w:val="20"/>
          <w:lang w:val="en-GB"/>
        </w:rPr>
        <w:t>" - means any motorised, wheeled or tracked agricultural or forestry vehicle having at least two axles and a maximum design speed of not less than 6 km/h, the main function of which lies in its tractive power and which has been especially designed to pull, push, carry and actuate certain interchangeable equipment designed to perform agricultural or forestry work, or to tow agricultural or forestry trailers or equipment; it may be adapted to carry a load in the context of agricultural or forestry work and/or may be equipped with one or more passenger seats.</w:t>
      </w:r>
    </w:p>
    <w:p w14:paraId="26578134" w14:textId="77777777" w:rsidR="002C009E" w:rsidRPr="005C7CCC" w:rsidRDefault="002C009E" w:rsidP="002C009E">
      <w:pPr>
        <w:autoSpaceDE w:val="0"/>
        <w:autoSpaceDN w:val="0"/>
        <w:adjustRightInd w:val="0"/>
        <w:spacing w:after="120"/>
        <w:ind w:left="2268" w:right="1134" w:hanging="1134"/>
        <w:jc w:val="both"/>
        <w:rPr>
          <w:bCs/>
          <w:lang w:val="en-US"/>
        </w:rPr>
      </w:pPr>
      <w:r w:rsidRPr="005C7CCC">
        <w:rPr>
          <w:lang w:val="en-US"/>
        </w:rPr>
        <w:t>2.6.2.</w:t>
      </w:r>
      <w:r w:rsidRPr="005C7CCC">
        <w:rPr>
          <w:lang w:val="en-US"/>
        </w:rPr>
        <w:tab/>
      </w:r>
      <w:r w:rsidRPr="005C7CCC">
        <w:rPr>
          <w:bCs/>
          <w:lang w:val="en-US"/>
        </w:rPr>
        <w:t>"</w:t>
      </w:r>
      <w:r w:rsidRPr="005C7CCC">
        <w:rPr>
          <w:bCs/>
          <w:i/>
          <w:iCs/>
          <w:lang w:val="en-US"/>
        </w:rPr>
        <w:t>Category R - Agricultural trailer</w:t>
      </w:r>
      <w:r w:rsidRPr="005C7CCC">
        <w:rPr>
          <w:bCs/>
          <w:lang w:val="en-US"/>
        </w:rPr>
        <w:t>": means any agricultural or forestry vehicle intended mainly to be towed by a tractor and intended mainly to carry loads or to process materials and where the ratio of the technically permissible maximum laden mass to the unladen mass of that vehicle is equal to or greater than 3.0.</w:t>
      </w:r>
    </w:p>
    <w:p w14:paraId="06046F00" w14:textId="77777777" w:rsidR="00B21341" w:rsidRDefault="002C009E" w:rsidP="002C009E">
      <w:pPr>
        <w:pStyle w:val="SingleTxtG"/>
        <w:ind w:left="2268" w:hanging="1134"/>
        <w:rPr>
          <w:bCs/>
          <w:lang w:val="en-US"/>
        </w:rPr>
      </w:pPr>
      <w:r w:rsidRPr="005C7CCC">
        <w:rPr>
          <w:lang w:val="en-US"/>
        </w:rPr>
        <w:t>2.6.3.</w:t>
      </w:r>
      <w:r w:rsidRPr="005C7CCC">
        <w:rPr>
          <w:lang w:val="en-US"/>
        </w:rPr>
        <w:tab/>
      </w:r>
      <w:r w:rsidRPr="005C7CCC">
        <w:rPr>
          <w:bCs/>
          <w:lang w:val="en-US"/>
        </w:rPr>
        <w:t>"</w:t>
      </w:r>
      <w:r w:rsidRPr="005C7CCC">
        <w:rPr>
          <w:bCs/>
          <w:i/>
          <w:iCs/>
          <w:lang w:val="en-US"/>
        </w:rPr>
        <w:t>Category S - Interchangeable towed equipment</w:t>
      </w:r>
      <w:r w:rsidRPr="005C7CCC">
        <w:rPr>
          <w:bCs/>
          <w:lang w:val="en-US"/>
        </w:rPr>
        <w:t xml:space="preserve">": means any vehicle used in agriculture or forestry which is designed to be towed by a tractor, changes or adds to its functions, permanently incorporates an implement or is designed to process materials, which may include a load platform designed and </w:t>
      </w:r>
      <w:r w:rsidRPr="005C7CCC">
        <w:rPr>
          <w:bCs/>
          <w:lang w:val="en-US"/>
        </w:rPr>
        <w:lastRenderedPageBreak/>
        <w:t>constructed to receive any tools and appliances needed for those purposes and to store temporarily any materials produced or needed during work and where the ratio of the technically permissible maximum laden mass to the unladen mass of</w:t>
      </w:r>
      <w:r>
        <w:rPr>
          <w:bCs/>
          <w:lang w:val="en-US"/>
        </w:rPr>
        <w:t xml:space="preserve"> that vehicle is less than 3.0."</w:t>
      </w:r>
    </w:p>
    <w:p w14:paraId="732314EF" w14:textId="6F0FAFF1" w:rsidR="002C009E" w:rsidRDefault="002C009E" w:rsidP="006C71FF">
      <w:pPr>
        <w:pStyle w:val="SingleTxtG"/>
      </w:pPr>
      <w:r>
        <w:rPr>
          <w:bCs/>
          <w:lang w:val="en-US"/>
        </w:rPr>
        <w:t>2.</w:t>
      </w:r>
      <w:r>
        <w:rPr>
          <w:bCs/>
          <w:lang w:val="en-US"/>
        </w:rPr>
        <w:tab/>
      </w:r>
      <w:r w:rsidRPr="005C7CCC">
        <w:t xml:space="preserve">The change of the numbering </w:t>
      </w:r>
      <w:r w:rsidR="00613FB1" w:rsidRPr="005C7CCC">
        <w:t xml:space="preserve">is </w:t>
      </w:r>
      <w:r w:rsidR="00613FB1">
        <w:t>necessary</w:t>
      </w:r>
      <w:r w:rsidR="00613FB1" w:rsidRPr="005C7CCC">
        <w:t xml:space="preserve"> </w:t>
      </w:r>
      <w:r w:rsidR="00613FB1">
        <w:t>for</w:t>
      </w:r>
      <w:r w:rsidR="00613FB1" w:rsidRPr="005C7CCC">
        <w:t xml:space="preserve"> </w:t>
      </w:r>
      <w:r w:rsidRPr="005C7CCC">
        <w:t xml:space="preserve">Paragraph 3.1.9.2. into 3.1.10.1. because </w:t>
      </w:r>
      <w:r>
        <w:t>para.</w:t>
      </w:r>
      <w:r w:rsidRPr="005C7CCC">
        <w:t xml:space="preserve"> 3.1.9.2. refers to implement tyres while </w:t>
      </w:r>
      <w:r>
        <w:t>para.</w:t>
      </w:r>
      <w:r w:rsidRPr="005C7CCC">
        <w:t xml:space="preserve"> 3.1.9. refers to </w:t>
      </w:r>
      <w:r>
        <w:t>f</w:t>
      </w:r>
      <w:r w:rsidRPr="005C7CCC">
        <w:t xml:space="preserve">orestry tyres. In </w:t>
      </w:r>
      <w:r>
        <w:t>Paragraph</w:t>
      </w:r>
      <w:r w:rsidRPr="005C7CCC">
        <w:t xml:space="preserve"> 3.1.10. </w:t>
      </w:r>
      <w:r>
        <w:t>refers to i</w:t>
      </w:r>
      <w:r w:rsidRPr="005C7CCC">
        <w:t xml:space="preserve">mplement tyres hence it </w:t>
      </w:r>
      <w:r>
        <w:t>is deemed</w:t>
      </w:r>
      <w:r w:rsidRPr="005C7CCC">
        <w:t xml:space="preserve"> more appropriate to modify the </w:t>
      </w:r>
      <w:r>
        <w:t>paragraph</w:t>
      </w:r>
      <w:r w:rsidRPr="005C7CCC">
        <w:t xml:space="preserve"> number </w:t>
      </w:r>
      <w:r>
        <w:t>"</w:t>
      </w:r>
      <w:r w:rsidRPr="005C7CCC">
        <w:t>3.1.9.2</w:t>
      </w:r>
      <w:r>
        <w:t>"</w:t>
      </w:r>
      <w:r w:rsidRPr="005C7CCC">
        <w:t xml:space="preserve">. to </w:t>
      </w:r>
      <w:r>
        <w:t>"</w:t>
      </w:r>
      <w:r w:rsidRPr="005C7CCC">
        <w:t>3.1.10.1.</w:t>
      </w:r>
      <w:r>
        <w:t>"</w:t>
      </w:r>
      <w:r w:rsidR="006C71FF">
        <w:t>.</w:t>
      </w:r>
      <w:r w:rsidRPr="005C7CCC">
        <w:t xml:space="preserve"> </w:t>
      </w:r>
      <w:r w:rsidR="006C71FF">
        <w:t>Following this modification,</w:t>
      </w:r>
      <w:r w:rsidRPr="005C7CCC">
        <w:t xml:space="preserve"> </w:t>
      </w:r>
      <w:r w:rsidR="006C71FF">
        <w:t>N</w:t>
      </w:r>
      <w:r w:rsidRPr="005C7CCC">
        <w:t>otes 3 in Annex 5</w:t>
      </w:r>
      <w:r w:rsidR="006C71FF">
        <w:t>,</w:t>
      </w:r>
      <w:r w:rsidRPr="005C7CCC">
        <w:t xml:space="preserve"> </w:t>
      </w:r>
      <w:r w:rsidR="006C71FF">
        <w:t>Table 5 and T</w:t>
      </w:r>
      <w:r w:rsidRPr="005C7CCC">
        <w:t xml:space="preserve">able 6 </w:t>
      </w:r>
      <w:r w:rsidR="006C71FF">
        <w:t>shall be amended.</w:t>
      </w:r>
    </w:p>
    <w:p w14:paraId="23E70F09" w14:textId="77777777" w:rsidR="006C71FF" w:rsidRDefault="006C71FF" w:rsidP="006C71FF">
      <w:pPr>
        <w:pStyle w:val="SingleTxtG"/>
      </w:pPr>
      <w:r>
        <w:rPr>
          <w:lang w:val="en-US"/>
        </w:rPr>
        <w:t>3.</w:t>
      </w:r>
      <w:r>
        <w:rPr>
          <w:lang w:val="en-US"/>
        </w:rPr>
        <w:tab/>
      </w:r>
      <w:r w:rsidRPr="005C7CCC">
        <w:t xml:space="preserve">The </w:t>
      </w:r>
      <w:r>
        <w:t>line</w:t>
      </w:r>
      <w:r w:rsidRPr="005C7CCC">
        <w:t xml:space="preserve"> in Annex 5</w:t>
      </w:r>
      <w:r>
        <w:t>,</w:t>
      </w:r>
      <w:r w:rsidRPr="005C7CCC">
        <w:t xml:space="preserve"> Table 7 (3 of 4) has been mistakenly </w:t>
      </w:r>
      <w:r>
        <w:t>introduced</w:t>
      </w:r>
      <w:r w:rsidRPr="005C7CCC">
        <w:t xml:space="preserve"> in Supplement 16 as 35x16 – 17.5 in place of 36x16 – 17.5 and this proposal is intended to fix the error.</w:t>
      </w:r>
    </w:p>
    <w:p w14:paraId="723889A2" w14:textId="78956710" w:rsidR="006C71FF" w:rsidRPr="00772B02" w:rsidRDefault="006C71FF" w:rsidP="006C71FF">
      <w:pPr>
        <w:pStyle w:val="SingleTxtG"/>
        <w:rPr>
          <w:lang w:val="en-US"/>
        </w:rPr>
      </w:pPr>
      <w:r>
        <w:rPr>
          <w:lang w:val="en-US"/>
        </w:rPr>
        <w:t>4.</w:t>
      </w:r>
      <w:r>
        <w:rPr>
          <w:lang w:val="en-US"/>
        </w:rPr>
        <w:tab/>
      </w:r>
      <w:r w:rsidRPr="005C7CCC">
        <w:t>The amendment (extension) of the table in Annex 7</w:t>
      </w:r>
      <w:r>
        <w:t>,</w:t>
      </w:r>
      <w:r w:rsidRPr="005C7CCC">
        <w:t xml:space="preserve"> Part E</w:t>
      </w:r>
      <w:r>
        <w:t>,</w:t>
      </w:r>
      <w:r w:rsidRPr="005C7CCC">
        <w:t xml:space="preserve"> is needed to </w:t>
      </w:r>
      <w:r w:rsidR="00613FB1">
        <w:t>account for</w:t>
      </w:r>
      <w:r w:rsidRPr="005C7CCC">
        <w:t xml:space="preserve"> the variation of load carrying capacity for tyres for construction applications (industrial tractors or skid-steers / mini-loaders) with speed category symbol “D”</w:t>
      </w:r>
      <w:r w:rsidR="00FF6B09">
        <w:t>.</w:t>
      </w:r>
    </w:p>
    <w:p w14:paraId="7E0502FC" w14:textId="4ED8E0EF"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FF4BFF">
        <w:rPr>
          <w:color w:val="000000"/>
          <w:u w:val="single"/>
        </w:rPr>
        <w:tab/>
      </w:r>
    </w:p>
    <w:sectPr w:rsidR="00B15F7C" w:rsidRPr="003F09D3" w:rsidSect="005D3B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D605" w14:textId="77777777" w:rsidR="003E4B49" w:rsidRDefault="003E4B49"/>
  </w:endnote>
  <w:endnote w:type="continuationSeparator" w:id="0">
    <w:p w14:paraId="417D07CE" w14:textId="77777777" w:rsidR="003E4B49" w:rsidRDefault="003E4B49"/>
  </w:endnote>
  <w:endnote w:type="continuationNotice" w:id="1">
    <w:p w14:paraId="68694422" w14:textId="77777777" w:rsidR="003E4B49" w:rsidRDefault="003E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B24F" w14:textId="767B1E82"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0E1FD8">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E1F9" w14:textId="0773ABE1"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0E1FD8">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3F90" w14:textId="257704B9" w:rsidR="00C1341A" w:rsidRDefault="00C1341A" w:rsidP="00C1341A">
    <w:pPr>
      <w:pStyle w:val="Footer"/>
    </w:pPr>
    <w:r>
      <w:rPr>
        <w:rFonts w:ascii="C39T30Lfz" w:hAnsi="C39T30Lfz"/>
        <w:noProof/>
        <w:sz w:val="56"/>
        <w:lang w:eastAsia="zh-CN"/>
      </w:rPr>
      <w:drawing>
        <wp:anchor distT="0" distB="0" distL="114300" distR="114300" simplePos="0" relativeHeight="251660288" behindDoc="0" locked="0" layoutInCell="1" allowOverlap="1" wp14:anchorId="30EC6004" wp14:editId="02E4DFF8">
          <wp:simplePos x="0" y="0"/>
          <wp:positionH relativeFrom="margin">
            <wp:posOffset>5469255</wp:posOffset>
          </wp:positionH>
          <wp:positionV relativeFrom="margin">
            <wp:posOffset>7918450</wp:posOffset>
          </wp:positionV>
          <wp:extent cx="638175" cy="638175"/>
          <wp:effectExtent l="0" t="0" r="9525" b="9525"/>
          <wp:wrapNone/>
          <wp:docPr id="1" name="Picture 1" descr="https://undocs.org/m2/QRCode.ashx?DS=ECE/TRANS/WP.29/GRVA/2018/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5FDE6AFF" wp14:editId="6DEE676E">
          <wp:simplePos x="0" y="0"/>
          <wp:positionH relativeFrom="margin">
            <wp:posOffset>4377690</wp:posOffset>
          </wp:positionH>
          <wp:positionV relativeFrom="margin">
            <wp:posOffset>8249920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968A678" w14:textId="500C282D" w:rsidR="00C1341A" w:rsidRDefault="00C1341A" w:rsidP="00C1341A">
    <w:pPr>
      <w:pStyle w:val="Footer"/>
      <w:ind w:right="1134"/>
      <w:rPr>
        <w:sz w:val="20"/>
      </w:rPr>
    </w:pPr>
    <w:r>
      <w:rPr>
        <w:sz w:val="20"/>
      </w:rPr>
      <w:t>GE.18-11813(E)</w:t>
    </w:r>
  </w:p>
  <w:p w14:paraId="7D6E1C23" w14:textId="5488F6F5" w:rsidR="00C1341A" w:rsidRPr="00C1341A" w:rsidRDefault="00C1341A" w:rsidP="00C134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2E16" w14:textId="77777777" w:rsidR="003E4B49" w:rsidRPr="000B175B" w:rsidRDefault="003E4B49" w:rsidP="000B175B">
      <w:pPr>
        <w:tabs>
          <w:tab w:val="right" w:pos="2155"/>
        </w:tabs>
        <w:spacing w:after="80"/>
        <w:ind w:left="680"/>
        <w:rPr>
          <w:u w:val="single"/>
        </w:rPr>
      </w:pPr>
      <w:r>
        <w:rPr>
          <w:u w:val="single"/>
        </w:rPr>
        <w:tab/>
      </w:r>
    </w:p>
  </w:footnote>
  <w:footnote w:type="continuationSeparator" w:id="0">
    <w:p w14:paraId="32708D67" w14:textId="77777777" w:rsidR="003E4B49" w:rsidRPr="00FC68B7" w:rsidRDefault="003E4B49" w:rsidP="00FC68B7">
      <w:pPr>
        <w:tabs>
          <w:tab w:val="left" w:pos="2155"/>
        </w:tabs>
        <w:spacing w:after="80"/>
        <w:ind w:left="680"/>
        <w:rPr>
          <w:u w:val="single"/>
        </w:rPr>
      </w:pPr>
      <w:r>
        <w:rPr>
          <w:u w:val="single"/>
        </w:rPr>
        <w:tab/>
      </w:r>
    </w:p>
  </w:footnote>
  <w:footnote w:type="continuationNotice" w:id="1">
    <w:p w14:paraId="09F62ED2" w14:textId="77777777" w:rsidR="003E4B49" w:rsidRDefault="003E4B49"/>
  </w:footnote>
  <w:footnote w:id="2">
    <w:p w14:paraId="07F8FD9D" w14:textId="2BE67084" w:rsidR="00557010" w:rsidRPr="00557010" w:rsidRDefault="00557010" w:rsidP="00557010">
      <w:pPr>
        <w:pStyle w:val="FootnoteText"/>
      </w:pPr>
      <w:r>
        <w:rPr>
          <w:rStyle w:val="FootnoteReference"/>
        </w:rPr>
        <w:tab/>
      </w:r>
      <w:r w:rsidRPr="00557010">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24FBBD63" w14:textId="70341055" w:rsidR="00557010" w:rsidRPr="00557010" w:rsidRDefault="00557010">
      <w:pPr>
        <w:pStyle w:val="FootnoteText"/>
      </w:pPr>
      <w:r w:rsidRPr="00557010">
        <w:rPr>
          <w:rStyle w:val="FootnoteReference"/>
          <w:sz w:val="20"/>
          <w:vertAlign w:val="baseline"/>
        </w:rPr>
        <w:tab/>
        <w:t>**</w:t>
      </w:r>
      <w:r>
        <w:rPr>
          <w:rStyle w:val="FootnoteReference"/>
        </w:rPr>
        <w:tab/>
      </w:r>
      <w:bookmarkStart w:id="3" w:name="_Hlk518911396"/>
      <w:r>
        <w:t>In accordance with ECE/TRANS/274, para 52,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bookmarkEnd w:id="3"/>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DF70" w14:textId="77777777" w:rsidR="00C14B9E" w:rsidRPr="00844BB6" w:rsidRDefault="00C14B9E" w:rsidP="0076402E">
    <w:pPr>
      <w:pStyle w:val="Header"/>
      <w:tabs>
        <w:tab w:val="left" w:pos="5381"/>
      </w:tabs>
    </w:pPr>
    <w:r>
      <w:t>ECE/TRANS/WP.29/GR</w:t>
    </w:r>
    <w:r w:rsidR="00D306B7">
      <w:t>VA</w:t>
    </w:r>
    <w:r>
      <w:t>/201</w:t>
    </w:r>
    <w:r w:rsidR="00B21341">
      <w:t>8</w:t>
    </w:r>
    <w:r>
      <w:t>/</w:t>
    </w:r>
    <w:r w:rsidR="00FF4BF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9951" w14:textId="77777777" w:rsidR="00C14B9E" w:rsidRPr="00844BB6" w:rsidRDefault="00C14B9E" w:rsidP="00844BB6">
    <w:pPr>
      <w:pStyle w:val="Header"/>
      <w:jc w:val="right"/>
    </w:pPr>
    <w:r>
      <w:t>ECE/TRANS/WP.29/GR</w:t>
    </w:r>
    <w:r w:rsidR="00D306B7">
      <w:t>VA</w:t>
    </w:r>
    <w:r>
      <w:t>/20</w:t>
    </w:r>
    <w:r w:rsidR="00704490">
      <w:t>1</w:t>
    </w:r>
    <w:r w:rsidR="00B21341">
      <w:t>8</w:t>
    </w:r>
    <w:r>
      <w:t>/</w:t>
    </w:r>
    <w:r w:rsidR="00FF4BF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2"/>
  </w:num>
  <w:num w:numId="14">
    <w:abstractNumId w:val="18"/>
  </w:num>
  <w:num w:numId="15">
    <w:abstractNumId w:val="19"/>
  </w:num>
  <w:num w:numId="16">
    <w:abstractNumId w:val="10"/>
  </w:num>
  <w:num w:numId="17">
    <w:abstractNumId w:val="15"/>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96C"/>
    <w:rsid w:val="000E0415"/>
    <w:rsid w:val="000E1FD8"/>
    <w:rsid w:val="000E3614"/>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4B04"/>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009E"/>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B49"/>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D55DF"/>
    <w:rsid w:val="004E1F36"/>
    <w:rsid w:val="004E71CD"/>
    <w:rsid w:val="004E77B2"/>
    <w:rsid w:val="004F331E"/>
    <w:rsid w:val="004F511F"/>
    <w:rsid w:val="0050325F"/>
    <w:rsid w:val="005036DB"/>
    <w:rsid w:val="00504B2D"/>
    <w:rsid w:val="00511CB9"/>
    <w:rsid w:val="00515C2C"/>
    <w:rsid w:val="0052136D"/>
    <w:rsid w:val="0052565E"/>
    <w:rsid w:val="00526F73"/>
    <w:rsid w:val="0052775E"/>
    <w:rsid w:val="00530CE1"/>
    <w:rsid w:val="0053571D"/>
    <w:rsid w:val="005420F2"/>
    <w:rsid w:val="005463C5"/>
    <w:rsid w:val="00553A49"/>
    <w:rsid w:val="00557010"/>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22DB"/>
    <w:rsid w:val="005D3B96"/>
    <w:rsid w:val="005D66A8"/>
    <w:rsid w:val="005E0753"/>
    <w:rsid w:val="005E4898"/>
    <w:rsid w:val="005E7168"/>
    <w:rsid w:val="005E757D"/>
    <w:rsid w:val="005F7B75"/>
    <w:rsid w:val="006001EE"/>
    <w:rsid w:val="00605042"/>
    <w:rsid w:val="0060530A"/>
    <w:rsid w:val="00606950"/>
    <w:rsid w:val="0061033F"/>
    <w:rsid w:val="00610872"/>
    <w:rsid w:val="00611FC4"/>
    <w:rsid w:val="00613FB1"/>
    <w:rsid w:val="006176FB"/>
    <w:rsid w:val="00625969"/>
    <w:rsid w:val="006401E2"/>
    <w:rsid w:val="00640B26"/>
    <w:rsid w:val="006412EB"/>
    <w:rsid w:val="00652D0A"/>
    <w:rsid w:val="0065770E"/>
    <w:rsid w:val="00662BB6"/>
    <w:rsid w:val="00666436"/>
    <w:rsid w:val="00671B51"/>
    <w:rsid w:val="0067362F"/>
    <w:rsid w:val="006764C6"/>
    <w:rsid w:val="00676606"/>
    <w:rsid w:val="006823C3"/>
    <w:rsid w:val="00684C21"/>
    <w:rsid w:val="0068617D"/>
    <w:rsid w:val="006A2530"/>
    <w:rsid w:val="006B54FC"/>
    <w:rsid w:val="006C3589"/>
    <w:rsid w:val="006C5959"/>
    <w:rsid w:val="006C71FF"/>
    <w:rsid w:val="006D015D"/>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1906"/>
    <w:rsid w:val="0072632A"/>
    <w:rsid w:val="007327D5"/>
    <w:rsid w:val="00733FB7"/>
    <w:rsid w:val="00737B66"/>
    <w:rsid w:val="00740A9A"/>
    <w:rsid w:val="007436BD"/>
    <w:rsid w:val="00752E99"/>
    <w:rsid w:val="0075321C"/>
    <w:rsid w:val="007625AE"/>
    <w:rsid w:val="007629C8"/>
    <w:rsid w:val="0076402E"/>
    <w:rsid w:val="0077047D"/>
    <w:rsid w:val="00772B02"/>
    <w:rsid w:val="00773190"/>
    <w:rsid w:val="007763E4"/>
    <w:rsid w:val="007773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27F24"/>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4241"/>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3C46"/>
    <w:rsid w:val="00BF476F"/>
    <w:rsid w:val="00BF68A8"/>
    <w:rsid w:val="00C01D9D"/>
    <w:rsid w:val="00C11A03"/>
    <w:rsid w:val="00C1341A"/>
    <w:rsid w:val="00C139C5"/>
    <w:rsid w:val="00C14B9E"/>
    <w:rsid w:val="00C2071E"/>
    <w:rsid w:val="00C22C0C"/>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03C8"/>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6E1"/>
    <w:rsid w:val="00D26E07"/>
    <w:rsid w:val="00D306B7"/>
    <w:rsid w:val="00D315B7"/>
    <w:rsid w:val="00D35773"/>
    <w:rsid w:val="00D43252"/>
    <w:rsid w:val="00D47EEA"/>
    <w:rsid w:val="00D602CC"/>
    <w:rsid w:val="00D70976"/>
    <w:rsid w:val="00D73D28"/>
    <w:rsid w:val="00D773DF"/>
    <w:rsid w:val="00D8005A"/>
    <w:rsid w:val="00D86655"/>
    <w:rsid w:val="00D87977"/>
    <w:rsid w:val="00D92739"/>
    <w:rsid w:val="00D95303"/>
    <w:rsid w:val="00D978C6"/>
    <w:rsid w:val="00D979F4"/>
    <w:rsid w:val="00D97AF8"/>
    <w:rsid w:val="00DA0C87"/>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D7A2A"/>
    <w:rsid w:val="00ED7DD3"/>
    <w:rsid w:val="00EE7C3E"/>
    <w:rsid w:val="00EF1D7F"/>
    <w:rsid w:val="00EF77F1"/>
    <w:rsid w:val="00F02D17"/>
    <w:rsid w:val="00F12D2F"/>
    <w:rsid w:val="00F159A8"/>
    <w:rsid w:val="00F21D14"/>
    <w:rsid w:val="00F23ABD"/>
    <w:rsid w:val="00F25177"/>
    <w:rsid w:val="00F30509"/>
    <w:rsid w:val="00F31E5F"/>
    <w:rsid w:val="00F6100A"/>
    <w:rsid w:val="00F70CDF"/>
    <w:rsid w:val="00F80BC8"/>
    <w:rsid w:val="00F93781"/>
    <w:rsid w:val="00F94B1C"/>
    <w:rsid w:val="00F94E82"/>
    <w:rsid w:val="00F9635E"/>
    <w:rsid w:val="00FA1145"/>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4BFF"/>
    <w:rsid w:val="00FF6B0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4E500"/>
  <w15:docId w15:val="{93D54BE1-A578-449B-8794-E3CD09AA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a">
    <w:name w:val="(a)"/>
    <w:basedOn w:val="para"/>
    <w:qFormat/>
    <w:rsid w:val="00827F24"/>
    <w:pPr>
      <w:ind w:left="2835" w:hanging="567"/>
    </w:pPr>
  </w:style>
  <w:style w:type="character" w:customStyle="1" w:styleId="HeaderChar">
    <w:name w:val="Header Char"/>
    <w:aliases w:val="6_G Char"/>
    <w:basedOn w:val="DefaultParagraphFont"/>
    <w:link w:val="Header"/>
    <w:uiPriority w:val="99"/>
    <w:rsid w:val="002C009E"/>
    <w:rPr>
      <w:b/>
      <w:sz w:val="18"/>
      <w:lang w:eastAsia="en-US"/>
    </w:rPr>
  </w:style>
  <w:style w:type="paragraph" w:customStyle="1" w:styleId="CM3">
    <w:name w:val="CM3"/>
    <w:basedOn w:val="Normal"/>
    <w:next w:val="Normal"/>
    <w:uiPriority w:val="99"/>
    <w:rsid w:val="002C009E"/>
    <w:pPr>
      <w:suppressAutoHyphens w:val="0"/>
      <w:autoSpaceDE w:val="0"/>
      <w:autoSpaceDN w:val="0"/>
      <w:adjustRightInd w:val="0"/>
      <w:spacing w:line="240" w:lineRule="auto"/>
    </w:pPr>
    <w:rPr>
      <w:rFonts w:ascii="EUAlbertina" w:hAnsi="EUAlberti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020E-1AFB-4D65-9564-8DC9E70F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ECE/TRANS/WP.29/GRVA/2018/8</vt:lpstr>
      <vt:lpstr>United Nations</vt:lpstr>
    </vt:vector>
  </TitlesOfParts>
  <Company>CSD</Company>
  <LinksUpToDate>false</LinksUpToDate>
  <CharactersWithSpaces>6073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ECE/TRANS/WP.29/GRVA/2018/8</dc:title>
  <dc:subject>1811813</dc:subject>
  <dc:creator>Francois Guichard</dc:creator>
  <cp:keywords/>
  <dc:description/>
  <cp:lastModifiedBy>Benedicte Boudol</cp:lastModifiedBy>
  <cp:revision>2</cp:revision>
  <cp:lastPrinted>2018-07-17T08:19:00Z</cp:lastPrinted>
  <dcterms:created xsi:type="dcterms:W3CDTF">2018-08-10T08:49:00Z</dcterms:created>
  <dcterms:modified xsi:type="dcterms:W3CDTF">2018-08-10T08:49:00Z</dcterms:modified>
</cp:coreProperties>
</file>