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2578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25785" w:rsidP="00025785">
            <w:pPr>
              <w:jc w:val="right"/>
            </w:pPr>
            <w:r w:rsidRPr="00025785">
              <w:rPr>
                <w:sz w:val="40"/>
              </w:rPr>
              <w:t>ECE</w:t>
            </w:r>
            <w:r>
              <w:t>/TRANS/WP.29/GRVA/2018/5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25785" w:rsidP="00C97039">
            <w:pPr>
              <w:spacing w:before="240"/>
            </w:pPr>
            <w:r>
              <w:t>Distr. générale</w:t>
            </w:r>
          </w:p>
          <w:p w:rsidR="00025785" w:rsidRDefault="00025785" w:rsidP="00025785">
            <w:pPr>
              <w:spacing w:line="240" w:lineRule="exact"/>
            </w:pPr>
            <w:r>
              <w:t>16 juillet 2018</w:t>
            </w:r>
          </w:p>
          <w:p w:rsidR="00025785" w:rsidRDefault="00025785" w:rsidP="00025785">
            <w:pPr>
              <w:spacing w:line="240" w:lineRule="exact"/>
            </w:pPr>
            <w:r>
              <w:t>Français</w:t>
            </w:r>
          </w:p>
          <w:p w:rsidR="00025785" w:rsidRPr="00DB58B5" w:rsidRDefault="00025785" w:rsidP="0002578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25785" w:rsidRPr="00025785" w:rsidRDefault="00025785" w:rsidP="00025785">
      <w:pPr>
        <w:spacing w:before="120"/>
        <w:rPr>
          <w:b/>
          <w:bCs/>
          <w:sz w:val="24"/>
          <w:szCs w:val="24"/>
        </w:rPr>
      </w:pPr>
      <w:r w:rsidRPr="00025785">
        <w:rPr>
          <w:b/>
          <w:bCs/>
          <w:sz w:val="24"/>
          <w:szCs w:val="24"/>
        </w:rPr>
        <w:t>Forum mondial de l’</w:t>
      </w:r>
      <w:r>
        <w:rPr>
          <w:b/>
          <w:bCs/>
          <w:sz w:val="24"/>
          <w:szCs w:val="24"/>
        </w:rPr>
        <w:t>harmonisation</w:t>
      </w:r>
      <w:r w:rsidR="009C6495">
        <w:rPr>
          <w:b/>
          <w:bCs/>
          <w:sz w:val="24"/>
          <w:szCs w:val="24"/>
        </w:rPr>
        <w:t xml:space="preserve"> des Règlements</w:t>
      </w:r>
      <w:r w:rsidR="009C6495">
        <w:rPr>
          <w:b/>
          <w:bCs/>
          <w:sz w:val="24"/>
          <w:szCs w:val="24"/>
        </w:rPr>
        <w:br/>
      </w:r>
      <w:r w:rsidRPr="00025785">
        <w:rPr>
          <w:b/>
          <w:bCs/>
          <w:sz w:val="24"/>
          <w:szCs w:val="24"/>
        </w:rPr>
        <w:t>concernant les véhicules</w:t>
      </w:r>
    </w:p>
    <w:p w:rsidR="00025785" w:rsidRPr="00025785" w:rsidRDefault="00025785" w:rsidP="00025785">
      <w:pPr>
        <w:spacing w:before="120" w:after="120"/>
        <w:rPr>
          <w:b/>
        </w:rPr>
      </w:pPr>
      <w:r w:rsidRPr="00025785">
        <w:rPr>
          <w:b/>
          <w:bCs/>
        </w:rPr>
        <w:t>Groupe de travail des véhicules automatisés/autonomes et connectés</w:t>
      </w:r>
      <w:r w:rsidRPr="00025785">
        <w:rPr>
          <w:rStyle w:val="FootnoteReference"/>
          <w:bCs/>
          <w:sz w:val="20"/>
          <w:vertAlign w:val="baseline"/>
        </w:rPr>
        <w:footnoteReference w:customMarkFollows="1" w:id="2"/>
        <w:t>*</w:t>
      </w:r>
    </w:p>
    <w:p w:rsidR="00025785" w:rsidRPr="00025785" w:rsidRDefault="00025785" w:rsidP="00025785">
      <w:pPr>
        <w:rPr>
          <w:b/>
        </w:rPr>
      </w:pPr>
      <w:r w:rsidRPr="00025785">
        <w:rPr>
          <w:b/>
        </w:rPr>
        <w:t>Première session</w:t>
      </w:r>
    </w:p>
    <w:p w:rsidR="00025785" w:rsidRPr="00025785" w:rsidRDefault="00025785" w:rsidP="00025785">
      <w:r w:rsidRPr="00025785">
        <w:t>Genève, 25-28 septembre 2018</w:t>
      </w:r>
    </w:p>
    <w:p w:rsidR="00025785" w:rsidRPr="00025785" w:rsidRDefault="00025785" w:rsidP="00025785">
      <w:bookmarkStart w:id="1" w:name="_Hlk518910264"/>
      <w:r w:rsidRPr="00025785">
        <w:t>Point 14 a) de l’ordre du jour provisoire</w:t>
      </w:r>
    </w:p>
    <w:p w:rsidR="00025785" w:rsidRPr="00025785" w:rsidRDefault="00025785" w:rsidP="00025785">
      <w:pPr>
        <w:rPr>
          <w:b/>
          <w:bCs/>
        </w:rPr>
      </w:pPr>
      <w:bookmarkStart w:id="2" w:name="_Hlk518910246"/>
      <w:bookmarkEnd w:id="1"/>
      <w:r w:rsidRPr="00025785">
        <w:rPr>
          <w:b/>
          <w:bCs/>
        </w:rPr>
        <w:t xml:space="preserve">Activités restantes de l’ancien Groupe de travail </w:t>
      </w:r>
      <w:r>
        <w:rPr>
          <w:b/>
          <w:bCs/>
        </w:rPr>
        <w:t>en matière</w:t>
      </w:r>
      <w:r>
        <w:rPr>
          <w:b/>
          <w:bCs/>
        </w:rPr>
        <w:br/>
      </w:r>
      <w:r w:rsidRPr="00025785">
        <w:rPr>
          <w:b/>
          <w:bCs/>
        </w:rPr>
        <w:t xml:space="preserve">de roulement et de freinage (période de </w:t>
      </w:r>
      <w:r w:rsidR="000B7E78">
        <w:rPr>
          <w:b/>
          <w:bCs/>
        </w:rPr>
        <w:t>transfert</w:t>
      </w:r>
      <w:r w:rsidR="000B7E78">
        <w:rPr>
          <w:b/>
          <w:bCs/>
        </w:rPr>
        <w:br/>
      </w:r>
      <w:r w:rsidRPr="00025785">
        <w:rPr>
          <w:b/>
          <w:bCs/>
        </w:rPr>
        <w:t>de responsabilités) :</w:t>
      </w:r>
      <w:r w:rsidR="000B7E78">
        <w:rPr>
          <w:b/>
          <w:bCs/>
        </w:rPr>
        <w:t xml:space="preserve"> </w:t>
      </w:r>
      <w:r w:rsidRPr="00025785">
        <w:rPr>
          <w:b/>
          <w:bCs/>
          <w:lang w:val="fr-FR"/>
        </w:rPr>
        <w:t>Pneumatiques</w:t>
      </w:r>
    </w:p>
    <w:bookmarkEnd w:id="2"/>
    <w:p w:rsidR="00025785" w:rsidRPr="00025785" w:rsidRDefault="00025785" w:rsidP="00025785">
      <w:pPr>
        <w:pStyle w:val="HChG"/>
      </w:pPr>
      <w:r>
        <w:tab/>
      </w:r>
      <w:r>
        <w:tab/>
      </w:r>
      <w:r w:rsidRPr="00025785">
        <w:t xml:space="preserve">Proposition de complément au Règlement </w:t>
      </w:r>
      <w:r w:rsidRPr="00025785">
        <w:rPr>
          <w:rFonts w:eastAsia="Times New Roman"/>
          <w:lang w:val="fr-FR"/>
        </w:rPr>
        <w:t xml:space="preserve">ONU </w:t>
      </w:r>
      <w:r w:rsidRPr="00025785">
        <w:t>n</w:t>
      </w:r>
      <w:r w:rsidRPr="00025785">
        <w:rPr>
          <w:vertAlign w:val="superscript"/>
        </w:rPr>
        <w:t>o</w:t>
      </w:r>
      <w:r w:rsidRPr="00025785">
        <w:t> </w:t>
      </w:r>
      <w:r>
        <w:t>117</w:t>
      </w:r>
      <w:r>
        <w:br/>
      </w:r>
      <w:r w:rsidRPr="00025785">
        <w:t>(</w:t>
      </w:r>
      <w:r>
        <w:t>Pneumatiques − </w:t>
      </w:r>
      <w:r w:rsidRPr="00025785">
        <w:t xml:space="preserve">Résistance au </w:t>
      </w:r>
      <w:r>
        <w:t>roulement, bruit</w:t>
      </w:r>
      <w:r>
        <w:br/>
      </w:r>
      <w:r w:rsidRPr="00025785">
        <w:t>de roulement et adhérence sur sol mouillé)</w:t>
      </w:r>
    </w:p>
    <w:p w:rsidR="00025785" w:rsidRPr="00025785" w:rsidRDefault="00025785" w:rsidP="00025785">
      <w:pPr>
        <w:pStyle w:val="H1G"/>
        <w:rPr>
          <w:bCs/>
        </w:rPr>
      </w:pPr>
      <w:r>
        <w:tab/>
      </w:r>
      <w:r>
        <w:tab/>
      </w:r>
      <w:r w:rsidRPr="00025785">
        <w:t>Communication des experts de l’Or</w:t>
      </w:r>
      <w:r>
        <w:t>ganisation technique européenne</w:t>
      </w:r>
      <w:r>
        <w:br/>
      </w:r>
      <w:r w:rsidRPr="00025785">
        <w:t>du pneumatique et de la jante</w:t>
      </w:r>
      <w:r w:rsidRPr="00025785">
        <w:rPr>
          <w:rStyle w:val="FootnoteReference"/>
          <w:b w:val="0"/>
          <w:sz w:val="20"/>
          <w:vertAlign w:val="baseline"/>
        </w:rPr>
        <w:footnoteReference w:customMarkFollows="1" w:id="3"/>
        <w:t>**</w:t>
      </w:r>
    </w:p>
    <w:p w:rsidR="00025785" w:rsidRPr="00025785" w:rsidRDefault="00025785" w:rsidP="00025785">
      <w:pPr>
        <w:pStyle w:val="SingleTxtG"/>
        <w:ind w:firstLine="567"/>
      </w:pPr>
      <w:r w:rsidRPr="00025785">
        <w:t>Le texte reproduit ci-après, établi par les experts de l’Organisation technique européenne du pneumatique et de la jante (ETRTO), a pour objet d’apporter des modifications au Règlement ONU n</w:t>
      </w:r>
      <w:r w:rsidRPr="00025785">
        <w:rPr>
          <w:vertAlign w:val="superscript"/>
        </w:rPr>
        <w:t>o</w:t>
      </w:r>
      <w:r w:rsidRPr="0001481A">
        <w:t> </w:t>
      </w:r>
      <w:r w:rsidRPr="00025785">
        <w:t xml:space="preserve">117. Les modifications qu’il est proposé d’apporter au texte actuel du Règlement figurent en caractères gras pour les ajouts et biffés pour les suppressions. </w:t>
      </w:r>
    </w:p>
    <w:p w:rsidR="00025785" w:rsidRPr="00025785" w:rsidRDefault="00025785" w:rsidP="00025785">
      <w:pPr>
        <w:pStyle w:val="HChG"/>
      </w:pPr>
      <w:r>
        <w:tab/>
      </w:r>
      <w:r w:rsidRPr="00025785">
        <w:t>I.</w:t>
      </w:r>
      <w:r w:rsidRPr="00025785">
        <w:tab/>
        <w:t>Proposition</w:t>
      </w:r>
    </w:p>
    <w:p w:rsidR="00025785" w:rsidRPr="00025785" w:rsidRDefault="00025785" w:rsidP="00025785">
      <w:pPr>
        <w:pStyle w:val="SingleTxtG"/>
        <w:rPr>
          <w:i/>
          <w:iCs/>
          <w:lang w:val="fr-FR"/>
        </w:rPr>
      </w:pPr>
      <w:r w:rsidRPr="00025785">
        <w:rPr>
          <w:i/>
          <w:iCs/>
          <w:lang w:val="fr-FR"/>
        </w:rPr>
        <w:t>Paragraphe 2.18,</w:t>
      </w:r>
      <w:r w:rsidRPr="00025785">
        <w:rPr>
          <w:lang w:val="fr-FR"/>
        </w:rPr>
        <w:t xml:space="preserve"> modifier comme suit :</w:t>
      </w:r>
    </w:p>
    <w:p w:rsidR="00025785" w:rsidRPr="00025785" w:rsidRDefault="00025785" w:rsidP="00973084">
      <w:pPr>
        <w:pStyle w:val="SingleTxtG"/>
        <w:ind w:left="2268" w:hanging="1134"/>
      </w:pPr>
      <w:r w:rsidRPr="00025785">
        <w:rPr>
          <w:i/>
          <w:iCs/>
          <w:lang w:val="fr-FR"/>
        </w:rPr>
        <w:t>« </w:t>
      </w:r>
      <w:r w:rsidRPr="00025785">
        <w:t>2.18</w:t>
      </w:r>
      <w:r w:rsidRPr="00025785">
        <w:tab/>
      </w:r>
      <w:r w:rsidR="00170115">
        <w:t>“</w:t>
      </w:r>
      <w:r w:rsidRPr="00025785">
        <w:rPr>
          <w:i/>
        </w:rPr>
        <w:t>Pneumatique d’essai de référence normalisé (SRTT)</w:t>
      </w:r>
      <w:r w:rsidR="00170115">
        <w:t>”</w:t>
      </w:r>
      <w:r w:rsidRPr="00025785">
        <w:t xml:space="preserve">, un pneumatique qui est fabriqué, vérifié et stocké conformément aux normes suivantes de l’American Society for Testing and Materials (ASTM) : </w:t>
      </w:r>
    </w:p>
    <w:p w:rsidR="00025785" w:rsidRPr="00025785" w:rsidRDefault="00025785" w:rsidP="00025785">
      <w:pPr>
        <w:kinsoku/>
        <w:overflowPunct/>
        <w:autoSpaceDE/>
        <w:autoSpaceDN/>
        <w:adjustRightInd/>
        <w:snapToGrid/>
        <w:spacing w:after="120"/>
        <w:ind w:left="2268" w:right="1134" w:hanging="1134"/>
        <w:jc w:val="both"/>
      </w:pPr>
      <w:r w:rsidRPr="00025785">
        <w:lastRenderedPageBreak/>
        <w:tab/>
      </w:r>
      <w:r w:rsidRPr="00025785">
        <w:rPr>
          <w:bCs/>
        </w:rPr>
        <w:t>a)</w:t>
      </w:r>
      <w:r w:rsidRPr="00025785">
        <w:tab/>
      </w:r>
      <w:r w:rsidRPr="00025785">
        <w:rPr>
          <w:strike/>
        </w:rPr>
        <w:t>E1136-93 (2003)</w:t>
      </w:r>
      <w:r w:rsidRPr="00025785">
        <w:t xml:space="preserve"> </w:t>
      </w:r>
      <w:r w:rsidRPr="00025785">
        <w:rPr>
          <w:b/>
        </w:rPr>
        <w:t>E1136 – 17</w:t>
      </w:r>
      <w:r w:rsidRPr="00025785">
        <w:t xml:space="preserve"> pour la dimension P195/75R14 ;</w:t>
      </w:r>
    </w:p>
    <w:p w:rsidR="00025785" w:rsidRPr="00025785" w:rsidRDefault="000B7E78" w:rsidP="00025785">
      <w:pPr>
        <w:kinsoku/>
        <w:overflowPunct/>
        <w:autoSpaceDE/>
        <w:autoSpaceDN/>
        <w:adjustRightInd/>
        <w:snapToGrid/>
        <w:spacing w:after="120"/>
        <w:ind w:left="2268" w:right="1134" w:hanging="1134"/>
        <w:jc w:val="both"/>
      </w:pPr>
      <w:r>
        <w:rPr>
          <w:bCs/>
        </w:rPr>
        <w:tab/>
      </w:r>
      <w:r w:rsidR="00025785" w:rsidRPr="00025785">
        <w:rPr>
          <w:bCs/>
        </w:rPr>
        <w:t>b)</w:t>
      </w:r>
      <w:r w:rsidR="00025785" w:rsidRPr="00025785">
        <w:rPr>
          <w:bCs/>
        </w:rPr>
        <w:tab/>
      </w:r>
      <w:r w:rsidR="00025785" w:rsidRPr="00025785">
        <w:rPr>
          <w:bCs/>
          <w:strike/>
        </w:rPr>
        <w:t>F2872 (2011)</w:t>
      </w:r>
      <w:r w:rsidR="00025785" w:rsidRPr="00025785">
        <w:rPr>
          <w:bCs/>
        </w:rPr>
        <w:t xml:space="preserve"> </w:t>
      </w:r>
      <w:r w:rsidR="00025785" w:rsidRPr="00025785">
        <w:rPr>
          <w:b/>
          <w:bCs/>
        </w:rPr>
        <w:t xml:space="preserve">F2872 – 16 </w:t>
      </w:r>
      <w:r w:rsidR="00025785" w:rsidRPr="00025785">
        <w:t xml:space="preserve">pour la dimension </w:t>
      </w:r>
      <w:r w:rsidR="00025785" w:rsidRPr="00025785">
        <w:rPr>
          <w:bCs/>
        </w:rPr>
        <w:t>225/75 R 16 C ;</w:t>
      </w:r>
    </w:p>
    <w:p w:rsidR="00025785" w:rsidRPr="00025785" w:rsidRDefault="000B7E78" w:rsidP="00025785">
      <w:pPr>
        <w:kinsoku/>
        <w:overflowPunct/>
        <w:autoSpaceDE/>
        <w:autoSpaceDN/>
        <w:adjustRightInd/>
        <w:snapToGrid/>
        <w:spacing w:after="120"/>
        <w:ind w:left="2268" w:right="1134" w:hanging="1134"/>
        <w:jc w:val="both"/>
      </w:pPr>
      <w:r>
        <w:rPr>
          <w:bCs/>
        </w:rPr>
        <w:tab/>
      </w:r>
      <w:r w:rsidR="00025785" w:rsidRPr="00025785">
        <w:rPr>
          <w:bCs/>
        </w:rPr>
        <w:t>c)</w:t>
      </w:r>
      <w:r w:rsidR="00025785" w:rsidRPr="00025785">
        <w:rPr>
          <w:bCs/>
        </w:rPr>
        <w:tab/>
      </w:r>
      <w:r w:rsidR="00025785" w:rsidRPr="00025785">
        <w:rPr>
          <w:strike/>
        </w:rPr>
        <w:t>F2871 (2011)</w:t>
      </w:r>
      <w:r w:rsidR="00025785" w:rsidRPr="00025785">
        <w:t xml:space="preserve"> </w:t>
      </w:r>
      <w:r w:rsidR="00025785" w:rsidRPr="00025785">
        <w:rPr>
          <w:b/>
        </w:rPr>
        <w:t xml:space="preserve">F2871 – 16 </w:t>
      </w:r>
      <w:r w:rsidR="00025785" w:rsidRPr="00025785">
        <w:t>pour la dimension 245/70R19.5 ;</w:t>
      </w:r>
    </w:p>
    <w:p w:rsidR="00025785" w:rsidRPr="00025785" w:rsidRDefault="00025785" w:rsidP="00025785">
      <w:pPr>
        <w:kinsoku/>
        <w:overflowPunct/>
        <w:autoSpaceDE/>
        <w:autoSpaceDN/>
        <w:adjustRightInd/>
        <w:snapToGrid/>
        <w:spacing w:after="120"/>
        <w:ind w:left="2268" w:right="1134" w:hanging="1134"/>
        <w:jc w:val="both"/>
      </w:pPr>
      <w:r w:rsidRPr="00025785">
        <w:tab/>
        <w:t>d)</w:t>
      </w:r>
      <w:r w:rsidRPr="00025785">
        <w:tab/>
      </w:r>
      <w:r w:rsidRPr="00025785">
        <w:rPr>
          <w:strike/>
        </w:rPr>
        <w:t>F2870 (2011)</w:t>
      </w:r>
      <w:r w:rsidRPr="00025785">
        <w:t xml:space="preserve"> </w:t>
      </w:r>
      <w:r w:rsidRPr="00025785">
        <w:rPr>
          <w:b/>
        </w:rPr>
        <w:t xml:space="preserve">F2870 – 16 </w:t>
      </w:r>
      <w:r w:rsidRPr="00025785">
        <w:t>pour la dimension 315/70R22.5. ».</w:t>
      </w:r>
    </w:p>
    <w:p w:rsidR="00025785" w:rsidRPr="00025785" w:rsidRDefault="00025785" w:rsidP="00973084">
      <w:pPr>
        <w:pStyle w:val="SingleTxtG"/>
      </w:pPr>
      <w:r w:rsidRPr="00025785">
        <w:rPr>
          <w:i/>
          <w:iCs/>
        </w:rPr>
        <w:t>Paragraphe 6.4.1.1,</w:t>
      </w:r>
      <w:r w:rsidRPr="00025785">
        <w:t xml:space="preserve"> modifier le tableau comme suit :</w:t>
      </w:r>
    </w:p>
    <w:p w:rsidR="00025785" w:rsidRPr="00025785" w:rsidRDefault="00025785" w:rsidP="00025785">
      <w:pPr>
        <w:kinsoku/>
        <w:overflowPunct/>
        <w:autoSpaceDE/>
        <w:autoSpaceDN/>
        <w:adjustRightInd/>
        <w:snapToGrid/>
        <w:spacing w:after="120"/>
        <w:ind w:left="2268" w:right="1134" w:hanging="1134"/>
        <w:jc w:val="both"/>
        <w:rPr>
          <w:iCs/>
        </w:rPr>
      </w:pPr>
      <w:r w:rsidRPr="00025785">
        <w:rPr>
          <w:iCs/>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8"/>
        <w:gridCol w:w="1417"/>
        <w:gridCol w:w="1538"/>
        <w:gridCol w:w="1724"/>
        <w:gridCol w:w="1693"/>
      </w:tblGrid>
      <w:tr w:rsidR="00025785" w:rsidRPr="00025785" w:rsidTr="000B7E78">
        <w:tc>
          <w:tcPr>
            <w:tcW w:w="998" w:type="dxa"/>
            <w:vMerge w:val="restart"/>
            <w:tcMar>
              <w:left w:w="0" w:type="dxa"/>
              <w:right w:w="0" w:type="dxa"/>
            </w:tcMar>
            <w:vAlign w:val="center"/>
          </w:tcPr>
          <w:p w:rsidR="00025785" w:rsidRPr="00025785" w:rsidRDefault="000B7E78" w:rsidP="00CB32BF">
            <w:pPr>
              <w:spacing w:before="80" w:after="80" w:line="200" w:lineRule="exact"/>
              <w:jc w:val="center"/>
              <w:rPr>
                <w:rFonts w:asciiTheme="majorBidi" w:hAnsiTheme="majorBidi" w:cstheme="majorBidi"/>
                <w:bCs/>
                <w:i/>
                <w:spacing w:val="-2"/>
                <w:sz w:val="16"/>
                <w:szCs w:val="16"/>
              </w:rPr>
            </w:pPr>
            <w:r>
              <w:rPr>
                <w:rFonts w:asciiTheme="majorBidi" w:hAnsiTheme="majorBidi" w:cstheme="majorBidi"/>
                <w:i/>
                <w:spacing w:val="-2"/>
                <w:sz w:val="16"/>
                <w:szCs w:val="16"/>
              </w:rPr>
              <w:t>Classe</w:t>
            </w:r>
            <w:r>
              <w:rPr>
                <w:rFonts w:asciiTheme="majorBidi" w:hAnsiTheme="majorBidi" w:cstheme="majorBidi"/>
                <w:i/>
                <w:spacing w:val="-2"/>
                <w:sz w:val="16"/>
                <w:szCs w:val="16"/>
              </w:rPr>
              <w:br/>
            </w:r>
            <w:r w:rsidR="00025785" w:rsidRPr="00025785">
              <w:rPr>
                <w:rFonts w:asciiTheme="majorBidi" w:hAnsiTheme="majorBidi" w:cstheme="majorBidi"/>
                <w:i/>
                <w:spacing w:val="-2"/>
                <w:sz w:val="16"/>
                <w:szCs w:val="16"/>
              </w:rPr>
              <w:t>de pneumatique</w:t>
            </w:r>
          </w:p>
        </w:tc>
        <w:tc>
          <w:tcPr>
            <w:tcW w:w="2955" w:type="dxa"/>
            <w:gridSpan w:val="2"/>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 xml:space="preserve">Indice d’adhérence sur neige </w:t>
            </w:r>
            <w:r w:rsidRPr="00025785">
              <w:rPr>
                <w:rFonts w:asciiTheme="majorBidi" w:hAnsiTheme="majorBidi" w:cstheme="majorBidi"/>
                <w:i/>
                <w:spacing w:val="-2"/>
                <w:sz w:val="16"/>
                <w:szCs w:val="16"/>
              </w:rPr>
              <w:br/>
              <w:t>(essai de freinage sur neige</w:t>
            </w:r>
            <w:r w:rsidRPr="00025785">
              <w:rPr>
                <w:rFonts w:asciiTheme="majorBidi" w:hAnsiTheme="majorBidi" w:cstheme="majorBidi"/>
                <w:bCs/>
                <w:i/>
                <w:spacing w:val="-2"/>
                <w:sz w:val="16"/>
                <w:szCs w:val="16"/>
              </w:rPr>
              <w:t>)</w:t>
            </w:r>
            <w:r w:rsidRPr="00025785">
              <w:rPr>
                <w:rFonts w:asciiTheme="majorBidi" w:hAnsiTheme="majorBidi" w:cstheme="majorBidi"/>
                <w:bCs/>
                <w:spacing w:val="-2"/>
                <w:sz w:val="16"/>
                <w:szCs w:val="16"/>
                <w:vertAlign w:val="superscript"/>
              </w:rPr>
              <w:t>a</w:t>
            </w:r>
          </w:p>
        </w:tc>
        <w:tc>
          <w:tcPr>
            <w:tcW w:w="1724" w:type="dxa"/>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bCs/>
                <w:i/>
                <w:spacing w:val="-2"/>
                <w:sz w:val="16"/>
                <w:szCs w:val="16"/>
              </w:rPr>
            </w:pPr>
            <w:r w:rsidRPr="00025785">
              <w:rPr>
                <w:rFonts w:asciiTheme="majorBidi" w:hAnsiTheme="majorBidi" w:cstheme="majorBidi"/>
                <w:i/>
                <w:spacing w:val="-2"/>
                <w:sz w:val="16"/>
                <w:szCs w:val="16"/>
              </w:rPr>
              <w:t>Indice d’</w:t>
            </w:r>
            <w:r w:rsidR="000B7E78">
              <w:rPr>
                <w:rFonts w:asciiTheme="majorBidi" w:hAnsiTheme="majorBidi" w:cstheme="majorBidi"/>
                <w:i/>
                <w:spacing w:val="-2"/>
                <w:sz w:val="16"/>
                <w:szCs w:val="16"/>
              </w:rPr>
              <w:t>adhérence</w:t>
            </w:r>
            <w:r w:rsidR="000B7E78">
              <w:rPr>
                <w:rFonts w:asciiTheme="majorBidi" w:hAnsiTheme="majorBidi" w:cstheme="majorBidi"/>
                <w:i/>
                <w:spacing w:val="-2"/>
                <w:sz w:val="16"/>
                <w:szCs w:val="16"/>
              </w:rPr>
              <w:br/>
              <w:t xml:space="preserve">sur </w:t>
            </w:r>
            <w:r w:rsidRPr="00025785">
              <w:rPr>
                <w:rFonts w:asciiTheme="majorBidi" w:hAnsiTheme="majorBidi" w:cstheme="majorBidi"/>
                <w:i/>
                <w:spacing w:val="-2"/>
                <w:sz w:val="16"/>
                <w:szCs w:val="16"/>
              </w:rPr>
              <w:t>neige (essai de traction sur neige</w:t>
            </w:r>
            <w:r w:rsidRPr="00025785">
              <w:rPr>
                <w:rFonts w:asciiTheme="majorBidi" w:hAnsiTheme="majorBidi" w:cstheme="majorBidi"/>
                <w:bCs/>
                <w:i/>
                <w:spacing w:val="-2"/>
                <w:sz w:val="16"/>
                <w:szCs w:val="16"/>
              </w:rPr>
              <w:t>)</w:t>
            </w:r>
            <w:r w:rsidRPr="00025785">
              <w:rPr>
                <w:rFonts w:asciiTheme="majorBidi" w:hAnsiTheme="majorBidi" w:cstheme="majorBidi"/>
                <w:bCs/>
                <w:spacing w:val="-2"/>
                <w:sz w:val="16"/>
                <w:szCs w:val="16"/>
                <w:vertAlign w:val="superscript"/>
              </w:rPr>
              <w:t>b</w:t>
            </w:r>
          </w:p>
        </w:tc>
        <w:tc>
          <w:tcPr>
            <w:tcW w:w="1693" w:type="dxa"/>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Indice d’</w:t>
            </w:r>
            <w:r w:rsidR="000B7E78">
              <w:rPr>
                <w:rFonts w:asciiTheme="majorBidi" w:hAnsiTheme="majorBidi" w:cstheme="majorBidi"/>
                <w:i/>
                <w:spacing w:val="-2"/>
                <w:sz w:val="16"/>
                <w:szCs w:val="16"/>
              </w:rPr>
              <w:t>adhérence</w:t>
            </w:r>
            <w:r w:rsidR="000B7E78">
              <w:rPr>
                <w:rFonts w:asciiTheme="majorBidi" w:hAnsiTheme="majorBidi" w:cstheme="majorBidi"/>
                <w:i/>
                <w:spacing w:val="-2"/>
                <w:sz w:val="16"/>
                <w:szCs w:val="16"/>
              </w:rPr>
              <w:br/>
            </w:r>
            <w:r w:rsidRPr="00025785">
              <w:rPr>
                <w:rFonts w:asciiTheme="majorBidi" w:hAnsiTheme="majorBidi" w:cstheme="majorBidi"/>
                <w:i/>
                <w:spacing w:val="-2"/>
                <w:sz w:val="16"/>
                <w:szCs w:val="16"/>
              </w:rPr>
              <w:t>sur</w:t>
            </w:r>
            <w:r w:rsidR="000B7E78">
              <w:rPr>
                <w:rFonts w:asciiTheme="majorBidi" w:hAnsiTheme="majorBidi" w:cstheme="majorBidi"/>
                <w:i/>
                <w:spacing w:val="-2"/>
                <w:sz w:val="16"/>
                <w:szCs w:val="16"/>
              </w:rPr>
              <w:t xml:space="preserve"> </w:t>
            </w:r>
            <w:r w:rsidRPr="00025785">
              <w:rPr>
                <w:rFonts w:asciiTheme="majorBidi" w:hAnsiTheme="majorBidi" w:cstheme="majorBidi"/>
                <w:i/>
                <w:spacing w:val="-2"/>
                <w:sz w:val="16"/>
                <w:szCs w:val="16"/>
              </w:rPr>
              <w:t>neige (essai d’accélération)</w:t>
            </w:r>
            <w:r w:rsidRPr="00025785">
              <w:rPr>
                <w:rFonts w:asciiTheme="majorBidi" w:hAnsiTheme="majorBidi" w:cstheme="majorBidi"/>
                <w:spacing w:val="-2"/>
                <w:sz w:val="16"/>
                <w:szCs w:val="16"/>
                <w:vertAlign w:val="superscript"/>
              </w:rPr>
              <w:t>c</w:t>
            </w:r>
          </w:p>
        </w:tc>
      </w:tr>
      <w:tr w:rsidR="00025785" w:rsidRPr="00025785" w:rsidTr="000B7E78">
        <w:tc>
          <w:tcPr>
            <w:tcW w:w="998" w:type="dxa"/>
            <w:vMerge/>
            <w:tcBorders>
              <w:bottom w:val="single" w:sz="12" w:space="0" w:color="auto"/>
            </w:tcBorders>
            <w:tcMar>
              <w:left w:w="0" w:type="dxa"/>
              <w:right w:w="0" w:type="dxa"/>
            </w:tcMar>
          </w:tcPr>
          <w:p w:rsidR="00025785" w:rsidRPr="00025785" w:rsidRDefault="00025785" w:rsidP="000B7E78">
            <w:pPr>
              <w:jc w:val="center"/>
              <w:rPr>
                <w:rFonts w:asciiTheme="majorBidi" w:hAnsiTheme="majorBidi" w:cstheme="majorBidi"/>
                <w:i/>
                <w:spacing w:val="-2"/>
                <w:sz w:val="16"/>
                <w:szCs w:val="16"/>
              </w:rPr>
            </w:pPr>
          </w:p>
        </w:tc>
        <w:tc>
          <w:tcPr>
            <w:tcW w:w="1417" w:type="dxa"/>
            <w:tcBorders>
              <w:bottom w:val="single" w:sz="12" w:space="0" w:color="auto"/>
            </w:tcBorders>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Réf. =</w:t>
            </w:r>
            <w:r w:rsidRPr="00025785">
              <w:rPr>
                <w:rFonts w:asciiTheme="majorBidi" w:hAnsiTheme="majorBidi" w:cstheme="majorBidi"/>
                <w:i/>
                <w:strike/>
                <w:spacing w:val="-2"/>
                <w:sz w:val="16"/>
                <w:szCs w:val="16"/>
              </w:rPr>
              <w:t xml:space="preserve"> C1 -</w:t>
            </w:r>
            <w:r w:rsidRPr="00025785">
              <w:rPr>
                <w:rFonts w:asciiTheme="majorBidi" w:hAnsiTheme="majorBidi" w:cstheme="majorBidi"/>
                <w:i/>
                <w:spacing w:val="-2"/>
                <w:sz w:val="16"/>
                <w:szCs w:val="16"/>
              </w:rPr>
              <w:t xml:space="preserve"> SRTT 14</w:t>
            </w:r>
          </w:p>
        </w:tc>
        <w:tc>
          <w:tcPr>
            <w:tcW w:w="1538" w:type="dxa"/>
            <w:tcBorders>
              <w:bottom w:val="single" w:sz="12" w:space="0" w:color="auto"/>
            </w:tcBorders>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 xml:space="preserve">Réf. = </w:t>
            </w:r>
            <w:r w:rsidRPr="00025785">
              <w:rPr>
                <w:rFonts w:asciiTheme="majorBidi" w:hAnsiTheme="majorBidi" w:cstheme="majorBidi"/>
                <w:i/>
                <w:strike/>
                <w:spacing w:val="-2"/>
                <w:sz w:val="16"/>
                <w:szCs w:val="16"/>
              </w:rPr>
              <w:t>C2 -</w:t>
            </w:r>
            <w:r w:rsidRPr="00025785">
              <w:rPr>
                <w:rFonts w:asciiTheme="majorBidi" w:hAnsiTheme="majorBidi" w:cstheme="majorBidi"/>
                <w:i/>
                <w:spacing w:val="-2"/>
                <w:sz w:val="16"/>
                <w:szCs w:val="16"/>
              </w:rPr>
              <w:t xml:space="preserve"> SRTT 16C</w:t>
            </w:r>
          </w:p>
        </w:tc>
        <w:tc>
          <w:tcPr>
            <w:tcW w:w="1724" w:type="dxa"/>
            <w:tcBorders>
              <w:bottom w:val="single" w:sz="12" w:space="0" w:color="auto"/>
            </w:tcBorders>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 xml:space="preserve">Réf. = </w:t>
            </w:r>
            <w:r w:rsidRPr="00025785">
              <w:rPr>
                <w:rFonts w:asciiTheme="majorBidi" w:hAnsiTheme="majorBidi" w:cstheme="majorBidi"/>
                <w:i/>
                <w:strike/>
                <w:spacing w:val="-2"/>
                <w:sz w:val="16"/>
                <w:szCs w:val="16"/>
              </w:rPr>
              <w:t>C1 -</w:t>
            </w:r>
            <w:r w:rsidRPr="00025785">
              <w:rPr>
                <w:rFonts w:asciiTheme="majorBidi" w:hAnsiTheme="majorBidi" w:cstheme="majorBidi"/>
                <w:i/>
                <w:spacing w:val="-2"/>
                <w:sz w:val="16"/>
                <w:szCs w:val="16"/>
              </w:rPr>
              <w:t xml:space="preserve"> SRTT 14</w:t>
            </w:r>
          </w:p>
        </w:tc>
        <w:tc>
          <w:tcPr>
            <w:tcW w:w="1693" w:type="dxa"/>
            <w:tcBorders>
              <w:bottom w:val="single" w:sz="12" w:space="0" w:color="auto"/>
            </w:tcBorders>
            <w:tcMar>
              <w:left w:w="0" w:type="dxa"/>
              <w:right w:w="0" w:type="dxa"/>
            </w:tcMar>
            <w:vAlign w:val="bottom"/>
          </w:tcPr>
          <w:p w:rsidR="00025785" w:rsidRPr="00025785" w:rsidRDefault="00025785" w:rsidP="00CB32BF">
            <w:pPr>
              <w:spacing w:before="80" w:after="80" w:line="200" w:lineRule="exact"/>
              <w:jc w:val="center"/>
              <w:rPr>
                <w:rFonts w:asciiTheme="majorBidi" w:hAnsiTheme="majorBidi" w:cstheme="majorBidi"/>
                <w:i/>
                <w:spacing w:val="-2"/>
                <w:sz w:val="16"/>
                <w:szCs w:val="16"/>
              </w:rPr>
            </w:pPr>
            <w:r w:rsidRPr="00025785">
              <w:rPr>
                <w:rFonts w:asciiTheme="majorBidi" w:hAnsiTheme="majorBidi" w:cstheme="majorBidi"/>
                <w:i/>
                <w:spacing w:val="-2"/>
                <w:sz w:val="16"/>
                <w:szCs w:val="16"/>
              </w:rPr>
              <w:t xml:space="preserve">Réf. = </w:t>
            </w:r>
            <w:r w:rsidRPr="00025785">
              <w:rPr>
                <w:rFonts w:asciiTheme="majorBidi" w:hAnsiTheme="majorBidi" w:cstheme="majorBidi"/>
                <w:i/>
                <w:strike/>
                <w:spacing w:val="-2"/>
                <w:sz w:val="16"/>
                <w:szCs w:val="16"/>
              </w:rPr>
              <w:t>C3N -</w:t>
            </w:r>
            <w:r w:rsidRPr="00025785">
              <w:rPr>
                <w:rFonts w:asciiTheme="majorBidi" w:hAnsiTheme="majorBidi" w:cstheme="majorBidi"/>
                <w:i/>
                <w:spacing w:val="-2"/>
                <w:sz w:val="16"/>
                <w:szCs w:val="16"/>
              </w:rPr>
              <w:t xml:space="preserve"> SRTT 19.5</w:t>
            </w:r>
            <w:r w:rsidRPr="00025785">
              <w:rPr>
                <w:rFonts w:asciiTheme="majorBidi" w:hAnsiTheme="majorBidi" w:cstheme="majorBidi"/>
                <w:i/>
                <w:spacing w:val="-2"/>
                <w:sz w:val="16"/>
                <w:szCs w:val="16"/>
              </w:rPr>
              <w:br/>
              <w:t xml:space="preserve">Réf. = </w:t>
            </w:r>
            <w:r w:rsidRPr="00025785">
              <w:rPr>
                <w:rFonts w:asciiTheme="majorBidi" w:hAnsiTheme="majorBidi" w:cstheme="majorBidi"/>
                <w:i/>
                <w:strike/>
                <w:spacing w:val="-2"/>
                <w:sz w:val="16"/>
                <w:szCs w:val="16"/>
              </w:rPr>
              <w:t xml:space="preserve">C3W - </w:t>
            </w:r>
            <w:r w:rsidRPr="00025785">
              <w:rPr>
                <w:rFonts w:asciiTheme="majorBidi" w:hAnsiTheme="majorBidi" w:cstheme="majorBidi"/>
                <w:i/>
                <w:spacing w:val="-2"/>
                <w:sz w:val="16"/>
                <w:szCs w:val="16"/>
              </w:rPr>
              <w:t>SRTT 22.5</w:t>
            </w:r>
          </w:p>
        </w:tc>
      </w:tr>
      <w:tr w:rsidR="00025785" w:rsidRPr="00025785" w:rsidTr="000B7E78">
        <w:tc>
          <w:tcPr>
            <w:tcW w:w="998" w:type="dxa"/>
            <w:tcBorders>
              <w:top w:val="single" w:sz="12" w:space="0" w:color="auto"/>
            </w:tcBorders>
            <w:tcMar>
              <w:left w:w="0" w:type="dxa"/>
              <w:right w:w="0" w:type="dxa"/>
            </w:tcMar>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C1</w:t>
            </w:r>
          </w:p>
        </w:tc>
        <w:tc>
          <w:tcPr>
            <w:tcW w:w="1417" w:type="dxa"/>
            <w:tcBorders>
              <w:top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1,07</w:t>
            </w:r>
          </w:p>
        </w:tc>
        <w:tc>
          <w:tcPr>
            <w:tcW w:w="1538" w:type="dxa"/>
            <w:tcBorders>
              <w:top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Néant</w:t>
            </w:r>
          </w:p>
        </w:tc>
        <w:tc>
          <w:tcPr>
            <w:tcW w:w="1724" w:type="dxa"/>
            <w:tcBorders>
              <w:top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vertAlign w:val="superscript"/>
              </w:rPr>
            </w:pPr>
            <w:r w:rsidRPr="00025785">
              <w:rPr>
                <w:rFonts w:asciiTheme="majorBidi" w:hAnsiTheme="majorBidi" w:cstheme="majorBidi"/>
                <w:sz w:val="16"/>
                <w:szCs w:val="16"/>
              </w:rPr>
              <w:t>1,10</w:t>
            </w:r>
          </w:p>
        </w:tc>
        <w:tc>
          <w:tcPr>
            <w:tcW w:w="1693" w:type="dxa"/>
            <w:tcBorders>
              <w:top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rPr>
            </w:pPr>
            <w:r w:rsidRPr="00025785">
              <w:rPr>
                <w:rFonts w:asciiTheme="majorBidi" w:hAnsiTheme="majorBidi" w:cstheme="majorBidi"/>
                <w:sz w:val="16"/>
                <w:szCs w:val="16"/>
              </w:rPr>
              <w:t>Néant</w:t>
            </w:r>
          </w:p>
        </w:tc>
      </w:tr>
      <w:tr w:rsidR="00025785" w:rsidRPr="00025785" w:rsidTr="000B7E78">
        <w:tc>
          <w:tcPr>
            <w:tcW w:w="998" w:type="dxa"/>
            <w:tcBorders>
              <w:bottom w:val="single" w:sz="4" w:space="0" w:color="auto"/>
            </w:tcBorders>
            <w:tcMar>
              <w:left w:w="0" w:type="dxa"/>
              <w:right w:w="0" w:type="dxa"/>
            </w:tcMar>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C2</w:t>
            </w:r>
          </w:p>
        </w:tc>
        <w:tc>
          <w:tcPr>
            <w:tcW w:w="1417" w:type="dxa"/>
            <w:tcBorders>
              <w:bottom w:val="single" w:sz="4"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Néant</w:t>
            </w:r>
          </w:p>
        </w:tc>
        <w:tc>
          <w:tcPr>
            <w:tcW w:w="1538" w:type="dxa"/>
            <w:tcBorders>
              <w:bottom w:val="single" w:sz="4"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1,02</w:t>
            </w:r>
          </w:p>
        </w:tc>
        <w:tc>
          <w:tcPr>
            <w:tcW w:w="1724" w:type="dxa"/>
            <w:tcBorders>
              <w:bottom w:val="single" w:sz="4"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vertAlign w:val="superscript"/>
              </w:rPr>
            </w:pPr>
            <w:r w:rsidRPr="00025785">
              <w:rPr>
                <w:rFonts w:asciiTheme="majorBidi" w:hAnsiTheme="majorBidi" w:cstheme="majorBidi"/>
                <w:sz w:val="16"/>
                <w:szCs w:val="16"/>
              </w:rPr>
              <w:t>1,10</w:t>
            </w:r>
          </w:p>
        </w:tc>
        <w:tc>
          <w:tcPr>
            <w:tcW w:w="1693" w:type="dxa"/>
            <w:tcBorders>
              <w:bottom w:val="single" w:sz="4"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rPr>
            </w:pPr>
            <w:r w:rsidRPr="00025785">
              <w:rPr>
                <w:rFonts w:asciiTheme="majorBidi" w:hAnsiTheme="majorBidi" w:cstheme="majorBidi"/>
                <w:sz w:val="16"/>
                <w:szCs w:val="16"/>
              </w:rPr>
              <w:t>Néant</w:t>
            </w:r>
          </w:p>
        </w:tc>
      </w:tr>
      <w:tr w:rsidR="00025785" w:rsidRPr="00025785" w:rsidTr="000B7E78">
        <w:tc>
          <w:tcPr>
            <w:tcW w:w="998" w:type="dxa"/>
            <w:tcBorders>
              <w:bottom w:val="single" w:sz="12" w:space="0" w:color="auto"/>
            </w:tcBorders>
            <w:tcMar>
              <w:left w:w="0" w:type="dxa"/>
              <w:right w:w="0" w:type="dxa"/>
            </w:tcMar>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C3</w:t>
            </w:r>
          </w:p>
        </w:tc>
        <w:tc>
          <w:tcPr>
            <w:tcW w:w="1417" w:type="dxa"/>
            <w:tcBorders>
              <w:bottom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Néant</w:t>
            </w:r>
          </w:p>
        </w:tc>
        <w:tc>
          <w:tcPr>
            <w:tcW w:w="1538" w:type="dxa"/>
            <w:tcBorders>
              <w:bottom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8"/>
                <w:szCs w:val="18"/>
              </w:rPr>
            </w:pPr>
            <w:r w:rsidRPr="00025785">
              <w:rPr>
                <w:rFonts w:asciiTheme="majorBidi" w:hAnsiTheme="majorBidi" w:cstheme="majorBidi"/>
                <w:sz w:val="18"/>
                <w:szCs w:val="18"/>
              </w:rPr>
              <w:t>Néant</w:t>
            </w:r>
          </w:p>
        </w:tc>
        <w:tc>
          <w:tcPr>
            <w:tcW w:w="1724" w:type="dxa"/>
            <w:tcBorders>
              <w:bottom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rPr>
            </w:pPr>
            <w:r w:rsidRPr="00025785">
              <w:rPr>
                <w:rFonts w:asciiTheme="majorBidi" w:hAnsiTheme="majorBidi" w:cstheme="majorBidi"/>
                <w:sz w:val="16"/>
                <w:szCs w:val="16"/>
              </w:rPr>
              <w:t>Néant</w:t>
            </w:r>
          </w:p>
        </w:tc>
        <w:tc>
          <w:tcPr>
            <w:tcW w:w="1693" w:type="dxa"/>
            <w:tcBorders>
              <w:bottom w:val="single" w:sz="12" w:space="0" w:color="auto"/>
            </w:tcBorders>
            <w:tcMar>
              <w:left w:w="0" w:type="dxa"/>
              <w:right w:w="0" w:type="dxa"/>
            </w:tcMar>
            <w:vAlign w:val="bottom"/>
          </w:tcPr>
          <w:p w:rsidR="00025785" w:rsidRPr="00025785" w:rsidRDefault="00025785" w:rsidP="000B7E78">
            <w:pPr>
              <w:spacing w:before="40" w:after="120" w:line="220" w:lineRule="exact"/>
              <w:jc w:val="center"/>
              <w:rPr>
                <w:rFonts w:asciiTheme="majorBidi" w:hAnsiTheme="majorBidi" w:cstheme="majorBidi"/>
                <w:sz w:val="16"/>
                <w:szCs w:val="16"/>
              </w:rPr>
            </w:pPr>
            <w:r w:rsidRPr="00025785">
              <w:rPr>
                <w:rFonts w:asciiTheme="majorBidi" w:hAnsiTheme="majorBidi" w:cstheme="majorBidi"/>
                <w:sz w:val="16"/>
                <w:szCs w:val="16"/>
              </w:rPr>
              <w:t>1,25</w:t>
            </w:r>
          </w:p>
        </w:tc>
      </w:tr>
    </w:tbl>
    <w:p w:rsidR="00025785" w:rsidRPr="00025785" w:rsidRDefault="00025785" w:rsidP="00025785">
      <w:pPr>
        <w:kinsoku/>
        <w:overflowPunct/>
        <w:autoSpaceDE/>
        <w:autoSpaceDN/>
        <w:adjustRightInd/>
        <w:snapToGrid/>
        <w:spacing w:after="120"/>
        <w:ind w:left="2268" w:right="1134" w:hanging="1134"/>
        <w:jc w:val="right"/>
        <w:rPr>
          <w:iCs/>
        </w:rPr>
      </w:pPr>
      <w:r w:rsidRPr="00025785">
        <w:rPr>
          <w:iCs/>
        </w:rPr>
        <w:t> ».</w:t>
      </w:r>
    </w:p>
    <w:p w:rsidR="00025785" w:rsidRPr="00025785" w:rsidRDefault="00025785" w:rsidP="00025785">
      <w:pPr>
        <w:pStyle w:val="SingleTxtG"/>
      </w:pPr>
      <w:r w:rsidRPr="00025785">
        <w:rPr>
          <w:i/>
          <w:iCs/>
        </w:rPr>
        <w:t>Annexe 5, paragraphe 2.12,</w:t>
      </w:r>
      <w:r w:rsidRPr="00025785">
        <w:t xml:space="preserve"> modifier comme suit :</w:t>
      </w:r>
    </w:p>
    <w:p w:rsidR="00025785" w:rsidRPr="00025785" w:rsidRDefault="00025785" w:rsidP="00973084">
      <w:pPr>
        <w:pStyle w:val="SingleTxtG"/>
        <w:ind w:left="2268" w:hanging="1134"/>
        <w:rPr>
          <w:rFonts w:asciiTheme="majorBidi" w:hAnsiTheme="majorBidi" w:cstheme="majorBidi"/>
          <w:szCs w:val="24"/>
          <w:lang w:val="fr-FR"/>
        </w:rPr>
      </w:pPr>
      <w:r w:rsidRPr="00025785">
        <w:rPr>
          <w:iCs/>
          <w:lang w:val="fr-FR"/>
        </w:rPr>
        <w:t>« </w:t>
      </w:r>
      <w:r w:rsidRPr="00025785">
        <w:rPr>
          <w:lang w:val="fr-FR"/>
        </w:rPr>
        <w:t>2.12</w:t>
      </w:r>
      <w:r w:rsidRPr="00025785">
        <w:rPr>
          <w:lang w:val="fr-FR"/>
        </w:rPr>
        <w:tab/>
      </w:r>
      <w:r w:rsidR="00170115">
        <w:t>“</w:t>
      </w:r>
      <w:r w:rsidR="00170115">
        <w:rPr>
          <w:rFonts w:asciiTheme="majorBidi" w:hAnsiTheme="majorBidi" w:cstheme="majorBidi"/>
          <w:szCs w:val="24"/>
          <w:lang w:val="fr-FR"/>
        </w:rPr>
        <w:t>SRTT14</w:t>
      </w:r>
      <w:r w:rsidR="00170115">
        <w:t>”</w:t>
      </w:r>
      <w:r w:rsidRPr="00025785">
        <w:rPr>
          <w:rFonts w:asciiTheme="majorBidi" w:hAnsiTheme="majorBidi" w:cstheme="majorBidi"/>
          <w:szCs w:val="24"/>
          <w:lang w:val="fr-FR"/>
        </w:rPr>
        <w:t>, la spécification normalisée ASTM</w:t>
      </w:r>
      <w:r w:rsidRPr="00025785">
        <w:rPr>
          <w:lang w:val="fr-FR"/>
        </w:rPr>
        <w:t> </w:t>
      </w:r>
      <w:r w:rsidRPr="00025785">
        <w:rPr>
          <w:strike/>
          <w:lang w:val="fr-FR"/>
        </w:rPr>
        <w:t>E 1136-93 (réapprouvée en 2003)</w:t>
      </w:r>
      <w:r w:rsidRPr="00025785">
        <w:rPr>
          <w:b/>
          <w:lang w:val="fr-FR"/>
        </w:rPr>
        <w:t>E1136 – 17</w:t>
      </w:r>
      <w:r w:rsidRPr="00025785">
        <w:rPr>
          <w:lang w:val="fr-FR"/>
        </w:rPr>
        <w:t>,</w:t>
      </w:r>
      <w:r w:rsidRPr="00025785">
        <w:rPr>
          <w:rFonts w:asciiTheme="majorBidi" w:hAnsiTheme="majorBidi" w:cstheme="majorBidi"/>
          <w:szCs w:val="24"/>
          <w:lang w:val="fr-FR"/>
        </w:rPr>
        <w:t xml:space="preserve"> concernant un pneumatique radial de référence pour les essais P195/75R14 ; ».</w:t>
      </w:r>
    </w:p>
    <w:p w:rsidR="00025785" w:rsidRPr="00025785" w:rsidRDefault="00025785" w:rsidP="00973084">
      <w:pPr>
        <w:pStyle w:val="SingleTxtG"/>
      </w:pPr>
      <w:r w:rsidRPr="00973084">
        <w:rPr>
          <w:i/>
        </w:rPr>
        <w:t>Annexe 5, paragraphe 2.13</w:t>
      </w:r>
      <w:r w:rsidRPr="00025785">
        <w:t>, modifier comme suit :</w:t>
      </w:r>
    </w:p>
    <w:p w:rsidR="00025785" w:rsidRPr="00025785" w:rsidRDefault="00025785" w:rsidP="00973084">
      <w:pPr>
        <w:pStyle w:val="SingleTxtG"/>
        <w:ind w:left="2268" w:hanging="1134"/>
        <w:rPr>
          <w:rFonts w:asciiTheme="majorBidi" w:hAnsiTheme="majorBidi" w:cstheme="majorBidi"/>
          <w:szCs w:val="24"/>
        </w:rPr>
      </w:pPr>
      <w:r w:rsidRPr="00025785">
        <w:rPr>
          <w:rFonts w:asciiTheme="majorBidi" w:hAnsiTheme="majorBidi" w:cstheme="majorBidi"/>
          <w:szCs w:val="24"/>
        </w:rPr>
        <w:t>« 2.13</w:t>
      </w:r>
      <w:r w:rsidRPr="00025785">
        <w:rPr>
          <w:rFonts w:asciiTheme="majorBidi" w:hAnsiTheme="majorBidi" w:cstheme="majorBidi"/>
          <w:szCs w:val="24"/>
        </w:rPr>
        <w:tab/>
      </w:r>
      <w:r w:rsidR="00170115">
        <w:t>“</w:t>
      </w:r>
      <w:r w:rsidR="00170115">
        <w:rPr>
          <w:rFonts w:asciiTheme="majorBidi" w:hAnsiTheme="majorBidi" w:cstheme="majorBidi"/>
          <w:szCs w:val="24"/>
        </w:rPr>
        <w:t>SRTT16</w:t>
      </w:r>
      <w:r w:rsidR="00170115">
        <w:t>”</w:t>
      </w:r>
      <w:r w:rsidRPr="00025785">
        <w:rPr>
          <w:rFonts w:asciiTheme="majorBidi" w:hAnsiTheme="majorBidi" w:cstheme="majorBidi"/>
          <w:szCs w:val="24"/>
        </w:rPr>
        <w:t>, la spécification normalisée ASTM </w:t>
      </w:r>
      <w:r w:rsidRPr="00025785">
        <w:rPr>
          <w:strike/>
        </w:rPr>
        <w:t>F 2493-08</w:t>
      </w:r>
      <w:r w:rsidRPr="00025785">
        <w:rPr>
          <w:b/>
        </w:rPr>
        <w:t>F2493 - 18</w:t>
      </w:r>
      <w:r w:rsidRPr="00025785">
        <w:rPr>
          <w:rFonts w:asciiTheme="majorBidi" w:hAnsiTheme="majorBidi" w:cstheme="majorBidi"/>
          <w:szCs w:val="24"/>
        </w:rPr>
        <w:t>, concernant un pneumatique radial de référence pour les essais P225/60R16. ».</w:t>
      </w:r>
    </w:p>
    <w:p w:rsidR="00025785" w:rsidRPr="00025785" w:rsidRDefault="00025785" w:rsidP="00973084">
      <w:pPr>
        <w:pStyle w:val="SingleTxtG"/>
      </w:pPr>
      <w:r w:rsidRPr="00025785">
        <w:rPr>
          <w:i/>
          <w:iCs/>
        </w:rPr>
        <w:t>Annexe 6, tableau 1,</w:t>
      </w:r>
      <w:r w:rsidRPr="00025785">
        <w:t xml:space="preserve"> modifier comme suit : </w:t>
      </w:r>
    </w:p>
    <w:p w:rsidR="00025785" w:rsidRPr="00025785" w:rsidRDefault="00025785" w:rsidP="000B7E78">
      <w:pPr>
        <w:pStyle w:val="Heading1"/>
        <w:spacing w:after="120" w:line="240" w:lineRule="atLeast"/>
        <w:rPr>
          <w:sz w:val="16"/>
          <w:szCs w:val="16"/>
        </w:rPr>
      </w:pPr>
      <w:bookmarkStart w:id="4" w:name="_Toc367177775"/>
      <w:bookmarkStart w:id="5" w:name="_Toc432594589"/>
      <w:bookmarkStart w:id="6" w:name="_Toc440609142"/>
      <w:r w:rsidRPr="00025785">
        <w:t>« Tableau 1</w:t>
      </w:r>
      <w:r w:rsidRPr="00025785">
        <w:br/>
      </w:r>
      <w:r w:rsidRPr="00025785">
        <w:rPr>
          <w:b/>
        </w:rPr>
        <w:t xml:space="preserve">Vitesses d’essai </w:t>
      </w:r>
      <w:r w:rsidRPr="00025785">
        <w:rPr>
          <w:b/>
        </w:rPr>
        <w:br/>
      </w:r>
      <w:r w:rsidRPr="00025785">
        <w:rPr>
          <w:sz w:val="16"/>
          <w:szCs w:val="16"/>
        </w:rPr>
        <w:t>(En km/h)</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63"/>
        <w:gridCol w:w="1230"/>
        <w:gridCol w:w="1231"/>
        <w:gridCol w:w="1581"/>
        <w:gridCol w:w="1366"/>
      </w:tblGrid>
      <w:tr w:rsidR="00025785" w:rsidRPr="00025785" w:rsidTr="00CB32BF">
        <w:trPr>
          <w:tblHeader/>
        </w:trPr>
        <w:tc>
          <w:tcPr>
            <w:tcW w:w="1660" w:type="dxa"/>
            <w:tcBorders>
              <w:bottom w:val="single" w:sz="12" w:space="0" w:color="auto"/>
            </w:tcBorders>
            <w:shd w:val="clear" w:color="auto" w:fill="auto"/>
            <w:vAlign w:val="bottom"/>
          </w:tcPr>
          <w:p w:rsidR="00025785" w:rsidRPr="00025785" w:rsidRDefault="00025785" w:rsidP="00CB32BF">
            <w:pPr>
              <w:spacing w:before="80" w:after="80" w:line="200" w:lineRule="exact"/>
              <w:rPr>
                <w:rFonts w:asciiTheme="majorBidi" w:hAnsiTheme="majorBidi" w:cstheme="majorBidi"/>
                <w:i/>
                <w:sz w:val="16"/>
              </w:rPr>
            </w:pPr>
            <w:r w:rsidRPr="00025785">
              <w:rPr>
                <w:rFonts w:asciiTheme="majorBidi" w:hAnsiTheme="majorBidi" w:cstheme="majorBidi"/>
                <w:i/>
                <w:sz w:val="16"/>
              </w:rPr>
              <w:t>Classe de pneumatique</w:t>
            </w:r>
          </w:p>
        </w:tc>
        <w:tc>
          <w:tcPr>
            <w:tcW w:w="1041" w:type="dxa"/>
            <w:tcBorders>
              <w:bottom w:val="single" w:sz="12" w:space="0" w:color="auto"/>
            </w:tcBorders>
            <w:shd w:val="clear" w:color="auto" w:fill="auto"/>
            <w:vAlign w:val="bottom"/>
          </w:tcPr>
          <w:p w:rsidR="00025785" w:rsidRPr="00025785" w:rsidRDefault="00025785" w:rsidP="00CB32BF">
            <w:pPr>
              <w:spacing w:before="80" w:after="80" w:line="200" w:lineRule="exact"/>
              <w:rPr>
                <w:rFonts w:asciiTheme="majorBidi" w:hAnsiTheme="majorBidi" w:cstheme="majorBidi"/>
                <w:i/>
                <w:sz w:val="16"/>
              </w:rPr>
            </w:pPr>
            <w:r w:rsidRPr="00025785">
              <w:rPr>
                <w:rFonts w:asciiTheme="majorBidi" w:hAnsiTheme="majorBidi" w:cstheme="majorBidi"/>
                <w:i/>
                <w:sz w:val="16"/>
              </w:rPr>
              <w:t>C1</w:t>
            </w:r>
          </w:p>
        </w:tc>
        <w:tc>
          <w:tcPr>
            <w:tcW w:w="1042" w:type="dxa"/>
            <w:tcBorders>
              <w:bottom w:val="single" w:sz="12" w:space="0" w:color="auto"/>
            </w:tcBorders>
            <w:shd w:val="clear" w:color="auto" w:fill="auto"/>
            <w:vAlign w:val="bottom"/>
          </w:tcPr>
          <w:p w:rsidR="00025785" w:rsidRPr="00025785" w:rsidRDefault="00025785" w:rsidP="00CB32BF">
            <w:pPr>
              <w:spacing w:before="80" w:after="80" w:line="200" w:lineRule="exact"/>
              <w:rPr>
                <w:rFonts w:asciiTheme="majorBidi" w:hAnsiTheme="majorBidi" w:cstheme="majorBidi"/>
                <w:i/>
                <w:sz w:val="16"/>
              </w:rPr>
            </w:pPr>
            <w:r w:rsidRPr="00025785">
              <w:rPr>
                <w:rFonts w:asciiTheme="majorBidi" w:hAnsiTheme="majorBidi" w:cstheme="majorBidi"/>
                <w:i/>
                <w:sz w:val="16"/>
              </w:rPr>
              <w:t>C2 et C3</w:t>
            </w:r>
          </w:p>
        </w:tc>
        <w:tc>
          <w:tcPr>
            <w:tcW w:w="2494" w:type="dxa"/>
            <w:gridSpan w:val="2"/>
            <w:tcBorders>
              <w:bottom w:val="single" w:sz="12" w:space="0" w:color="auto"/>
            </w:tcBorders>
            <w:shd w:val="clear" w:color="auto" w:fill="auto"/>
            <w:vAlign w:val="bottom"/>
          </w:tcPr>
          <w:p w:rsidR="00025785" w:rsidRPr="00025785" w:rsidRDefault="00025785" w:rsidP="00CB32BF">
            <w:pPr>
              <w:spacing w:before="80" w:after="80" w:line="200" w:lineRule="exact"/>
              <w:rPr>
                <w:rFonts w:asciiTheme="majorBidi" w:hAnsiTheme="majorBidi" w:cstheme="majorBidi"/>
                <w:i/>
                <w:sz w:val="16"/>
              </w:rPr>
            </w:pPr>
            <w:r w:rsidRPr="00025785">
              <w:rPr>
                <w:rFonts w:asciiTheme="majorBidi" w:hAnsiTheme="majorBidi" w:cstheme="majorBidi"/>
                <w:i/>
                <w:sz w:val="16"/>
              </w:rPr>
              <w:t>C3</w:t>
            </w:r>
          </w:p>
        </w:tc>
      </w:tr>
      <w:tr w:rsidR="00025785" w:rsidRPr="00025785" w:rsidTr="00CB32BF">
        <w:tc>
          <w:tcPr>
            <w:tcW w:w="1660" w:type="dxa"/>
            <w:tcBorders>
              <w:top w:val="single" w:sz="12"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Indice de charge LI</w:t>
            </w:r>
          </w:p>
        </w:tc>
        <w:tc>
          <w:tcPr>
            <w:tcW w:w="1041" w:type="dxa"/>
            <w:tcBorders>
              <w:top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Tous</w:t>
            </w:r>
          </w:p>
        </w:tc>
        <w:tc>
          <w:tcPr>
            <w:tcW w:w="1042" w:type="dxa"/>
            <w:tcBorders>
              <w:top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LI ≤ 121</w:t>
            </w:r>
          </w:p>
        </w:tc>
        <w:tc>
          <w:tcPr>
            <w:tcW w:w="2494" w:type="dxa"/>
            <w:gridSpan w:val="2"/>
            <w:tcBorders>
              <w:top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LI &gt; 121</w:t>
            </w:r>
          </w:p>
        </w:tc>
      </w:tr>
      <w:tr w:rsidR="00025785" w:rsidRPr="00025785" w:rsidTr="00CB32BF">
        <w:tc>
          <w:tcPr>
            <w:tcW w:w="1660" w:type="dxa"/>
            <w:tcBorders>
              <w:bottom w:val="single" w:sz="4"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Code de vitesse</w:t>
            </w:r>
          </w:p>
        </w:tc>
        <w:tc>
          <w:tcPr>
            <w:tcW w:w="1041" w:type="dxa"/>
            <w:tcBorders>
              <w:bottom w:val="single" w:sz="4"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Tous</w:t>
            </w:r>
          </w:p>
        </w:tc>
        <w:tc>
          <w:tcPr>
            <w:tcW w:w="1042" w:type="dxa"/>
            <w:tcBorders>
              <w:bottom w:val="single" w:sz="4"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Tous</w:t>
            </w:r>
          </w:p>
        </w:tc>
        <w:tc>
          <w:tcPr>
            <w:tcW w:w="1338" w:type="dxa"/>
            <w:tcBorders>
              <w:bottom w:val="single" w:sz="4"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 xml:space="preserve">J 100 km/h et inférieurs </w:t>
            </w:r>
            <w:r w:rsidRPr="00025785">
              <w:rPr>
                <w:rFonts w:asciiTheme="majorBidi" w:hAnsiTheme="majorBidi" w:cstheme="majorBidi"/>
                <w:strike/>
                <w:sz w:val="18"/>
                <w:szCs w:val="18"/>
              </w:rPr>
              <w:t>ou pneuma</w:t>
            </w:r>
            <w:r w:rsidR="00BE133E">
              <w:rPr>
                <w:rFonts w:asciiTheme="majorBidi" w:hAnsiTheme="majorBidi" w:cstheme="majorBidi"/>
                <w:strike/>
                <w:sz w:val="18"/>
                <w:szCs w:val="18"/>
              </w:rPr>
              <w:t>tiques sans marquage du code</w:t>
            </w:r>
            <w:r w:rsidR="00BE133E">
              <w:rPr>
                <w:rFonts w:asciiTheme="majorBidi" w:hAnsiTheme="majorBidi" w:cstheme="majorBidi"/>
                <w:strike/>
                <w:sz w:val="18"/>
                <w:szCs w:val="18"/>
              </w:rPr>
              <w:br/>
              <w:t xml:space="preserve">de </w:t>
            </w:r>
            <w:r w:rsidRPr="00025785">
              <w:rPr>
                <w:rFonts w:asciiTheme="majorBidi" w:hAnsiTheme="majorBidi" w:cstheme="majorBidi"/>
                <w:strike/>
                <w:sz w:val="18"/>
                <w:szCs w:val="18"/>
              </w:rPr>
              <w:t>vitesse</w:t>
            </w:r>
          </w:p>
        </w:tc>
        <w:tc>
          <w:tcPr>
            <w:tcW w:w="1156" w:type="dxa"/>
            <w:tcBorders>
              <w:bottom w:val="single" w:sz="4"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K 110 km/h</w:t>
            </w:r>
            <w:r w:rsidRPr="00025785">
              <w:rPr>
                <w:rFonts w:asciiTheme="majorBidi" w:hAnsiTheme="majorBidi" w:cstheme="majorBidi"/>
                <w:sz w:val="18"/>
                <w:szCs w:val="18"/>
              </w:rPr>
              <w:br/>
              <w:t>et supérieurs</w:t>
            </w:r>
          </w:p>
        </w:tc>
      </w:tr>
      <w:tr w:rsidR="00025785" w:rsidRPr="00025785" w:rsidTr="00CB32BF">
        <w:tc>
          <w:tcPr>
            <w:tcW w:w="1660" w:type="dxa"/>
            <w:tcBorders>
              <w:bottom w:val="single" w:sz="12" w:space="0" w:color="auto"/>
            </w:tcBorders>
            <w:shd w:val="clear" w:color="auto" w:fill="auto"/>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Vitesse d’essai</w:t>
            </w:r>
          </w:p>
        </w:tc>
        <w:tc>
          <w:tcPr>
            <w:tcW w:w="1041" w:type="dxa"/>
            <w:tcBorders>
              <w:bottom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80</w:t>
            </w:r>
          </w:p>
        </w:tc>
        <w:tc>
          <w:tcPr>
            <w:tcW w:w="1042" w:type="dxa"/>
            <w:tcBorders>
              <w:bottom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80</w:t>
            </w:r>
          </w:p>
        </w:tc>
        <w:tc>
          <w:tcPr>
            <w:tcW w:w="1338" w:type="dxa"/>
            <w:tcBorders>
              <w:bottom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60</w:t>
            </w:r>
          </w:p>
        </w:tc>
        <w:tc>
          <w:tcPr>
            <w:tcW w:w="1156" w:type="dxa"/>
            <w:tcBorders>
              <w:bottom w:val="single" w:sz="12" w:space="0" w:color="auto"/>
            </w:tcBorders>
            <w:shd w:val="clear" w:color="auto" w:fill="auto"/>
            <w:vAlign w:val="bottom"/>
          </w:tcPr>
          <w:p w:rsidR="00025785" w:rsidRPr="00025785" w:rsidRDefault="00025785" w:rsidP="000B7E78">
            <w:pPr>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80</w:t>
            </w:r>
          </w:p>
        </w:tc>
      </w:tr>
    </w:tbl>
    <w:p w:rsidR="00025785" w:rsidRPr="00025785" w:rsidRDefault="00025785" w:rsidP="00CB32BF">
      <w:pPr>
        <w:pStyle w:val="SingleTxtG"/>
        <w:jc w:val="right"/>
      </w:pPr>
      <w:r w:rsidRPr="00025785">
        <w:t> ».</w:t>
      </w:r>
    </w:p>
    <w:bookmarkEnd w:id="4"/>
    <w:bookmarkEnd w:id="5"/>
    <w:bookmarkEnd w:id="6"/>
    <w:p w:rsidR="00025785" w:rsidRPr="00025785" w:rsidRDefault="00025785" w:rsidP="000B7E78">
      <w:pPr>
        <w:pStyle w:val="SingleTxtG"/>
        <w:keepNext/>
        <w:keepLines/>
      </w:pPr>
      <w:r w:rsidRPr="00025785">
        <w:rPr>
          <w:i/>
          <w:iCs/>
        </w:rPr>
        <w:lastRenderedPageBreak/>
        <w:t>Annexe 6, tableau 2,</w:t>
      </w:r>
      <w:r w:rsidRPr="00025785">
        <w:t xml:space="preserve"> modifier comme suit :</w:t>
      </w:r>
    </w:p>
    <w:p w:rsidR="00025785" w:rsidRPr="00025785" w:rsidRDefault="00025785" w:rsidP="000B7E78">
      <w:pPr>
        <w:pStyle w:val="Heading1"/>
        <w:spacing w:after="120" w:line="240" w:lineRule="atLeast"/>
        <w:rPr>
          <w:rFonts w:asciiTheme="majorBidi" w:hAnsiTheme="majorBidi" w:cstheme="majorBidi"/>
          <w:b/>
        </w:rPr>
      </w:pPr>
      <w:r w:rsidRPr="00025785">
        <w:rPr>
          <w:rFonts w:asciiTheme="majorBidi" w:hAnsiTheme="majorBidi" w:cstheme="majorBidi"/>
          <w:bCs/>
        </w:rPr>
        <w:t>« Tableau 2</w:t>
      </w:r>
      <w:r w:rsidRPr="00025785">
        <w:rPr>
          <w:rFonts w:asciiTheme="majorBidi" w:hAnsiTheme="majorBidi" w:cstheme="majorBidi"/>
          <w:bCs/>
        </w:rPr>
        <w:br/>
      </w:r>
      <w:r w:rsidRPr="00025785">
        <w:rPr>
          <w:rFonts w:asciiTheme="majorBidi" w:hAnsiTheme="majorBidi" w:cstheme="majorBidi"/>
          <w:b/>
        </w:rPr>
        <w:t>Charges d’essai et pressions de gonflage</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56"/>
        <w:gridCol w:w="1403"/>
        <w:gridCol w:w="1376"/>
        <w:gridCol w:w="2236"/>
      </w:tblGrid>
      <w:tr w:rsidR="00025785" w:rsidRPr="00025785" w:rsidTr="00CB32BF">
        <w:trPr>
          <w:tblHeader/>
        </w:trPr>
        <w:tc>
          <w:tcPr>
            <w:tcW w:w="1994" w:type="dxa"/>
            <w:vMerge w:val="restart"/>
            <w:shd w:val="clear" w:color="auto" w:fill="auto"/>
            <w:vAlign w:val="bottom"/>
          </w:tcPr>
          <w:p w:rsidR="00025785" w:rsidRPr="00025785" w:rsidRDefault="00025785" w:rsidP="00CB32BF">
            <w:pPr>
              <w:keepNext/>
              <w:keepLines/>
              <w:spacing w:before="80" w:after="80" w:line="200" w:lineRule="exact"/>
              <w:rPr>
                <w:rFonts w:asciiTheme="majorBidi" w:hAnsiTheme="majorBidi" w:cstheme="majorBidi"/>
                <w:i/>
                <w:sz w:val="16"/>
              </w:rPr>
            </w:pPr>
            <w:r w:rsidRPr="00025785">
              <w:rPr>
                <w:rFonts w:asciiTheme="majorBidi" w:hAnsiTheme="majorBidi" w:cstheme="majorBidi"/>
                <w:i/>
                <w:sz w:val="16"/>
              </w:rPr>
              <w:t>Classe de pneumatique</w:t>
            </w:r>
          </w:p>
        </w:tc>
        <w:tc>
          <w:tcPr>
            <w:tcW w:w="2351" w:type="dxa"/>
            <w:gridSpan w:val="2"/>
            <w:shd w:val="clear" w:color="auto" w:fill="auto"/>
            <w:vAlign w:val="bottom"/>
          </w:tcPr>
          <w:p w:rsidR="00025785" w:rsidRPr="00025785" w:rsidRDefault="00025785" w:rsidP="00CB32BF">
            <w:pPr>
              <w:keepNext/>
              <w:keepLines/>
              <w:spacing w:before="80" w:after="80" w:line="200" w:lineRule="exact"/>
              <w:jc w:val="center"/>
              <w:rPr>
                <w:rFonts w:asciiTheme="majorBidi" w:hAnsiTheme="majorBidi" w:cstheme="majorBidi"/>
                <w:i/>
                <w:sz w:val="16"/>
              </w:rPr>
            </w:pPr>
            <w:r w:rsidRPr="00025785">
              <w:rPr>
                <w:rFonts w:asciiTheme="majorBidi" w:hAnsiTheme="majorBidi" w:cstheme="majorBidi"/>
                <w:i/>
                <w:sz w:val="16"/>
              </w:rPr>
              <w:t>C1</w:t>
            </w:r>
            <w:r w:rsidRPr="00025785">
              <w:rPr>
                <w:rFonts w:asciiTheme="majorBidi" w:hAnsiTheme="majorBidi" w:cstheme="majorBidi"/>
                <w:i/>
                <w:sz w:val="16"/>
                <w:vertAlign w:val="superscript"/>
              </w:rPr>
              <w:t>a</w:t>
            </w:r>
          </w:p>
        </w:tc>
        <w:tc>
          <w:tcPr>
            <w:tcW w:w="1892" w:type="dxa"/>
            <w:vMerge w:val="restart"/>
            <w:shd w:val="clear" w:color="auto" w:fill="auto"/>
            <w:vAlign w:val="bottom"/>
          </w:tcPr>
          <w:p w:rsidR="00025785" w:rsidRPr="00025785" w:rsidRDefault="00025785" w:rsidP="00CB32BF">
            <w:pPr>
              <w:keepNext/>
              <w:keepLines/>
              <w:spacing w:before="80" w:after="80" w:line="200" w:lineRule="exact"/>
              <w:rPr>
                <w:rFonts w:asciiTheme="majorBidi" w:hAnsiTheme="majorBidi" w:cstheme="majorBidi"/>
                <w:i/>
                <w:sz w:val="16"/>
              </w:rPr>
            </w:pPr>
            <w:r w:rsidRPr="00025785">
              <w:rPr>
                <w:rFonts w:asciiTheme="majorBidi" w:hAnsiTheme="majorBidi" w:cstheme="majorBidi"/>
                <w:i/>
                <w:sz w:val="16"/>
              </w:rPr>
              <w:t>C2, C3</w:t>
            </w:r>
          </w:p>
        </w:tc>
      </w:tr>
      <w:tr w:rsidR="00025785" w:rsidRPr="00025785" w:rsidTr="00CB32BF">
        <w:tc>
          <w:tcPr>
            <w:tcW w:w="1994" w:type="dxa"/>
            <w:vMerge/>
            <w:tcBorders>
              <w:bottom w:val="single" w:sz="12" w:space="0" w:color="auto"/>
            </w:tcBorders>
            <w:shd w:val="clear" w:color="auto" w:fill="auto"/>
          </w:tcPr>
          <w:p w:rsidR="00025785" w:rsidRPr="00025785" w:rsidRDefault="00025785" w:rsidP="00CB32BF">
            <w:pPr>
              <w:keepNext/>
              <w:keepLines/>
              <w:spacing w:before="80" w:after="80" w:line="200" w:lineRule="exact"/>
              <w:rPr>
                <w:rFonts w:asciiTheme="majorBidi" w:hAnsiTheme="majorBidi" w:cstheme="majorBidi"/>
                <w:i/>
                <w:sz w:val="16"/>
                <w:szCs w:val="16"/>
              </w:rPr>
            </w:pPr>
          </w:p>
        </w:tc>
        <w:tc>
          <w:tcPr>
            <w:tcW w:w="1187" w:type="dxa"/>
            <w:tcBorders>
              <w:bottom w:val="single" w:sz="12" w:space="0" w:color="auto"/>
            </w:tcBorders>
            <w:shd w:val="clear" w:color="auto" w:fill="auto"/>
            <w:vAlign w:val="bottom"/>
          </w:tcPr>
          <w:p w:rsidR="00025785" w:rsidRPr="00025785" w:rsidRDefault="00025785" w:rsidP="00655A9E">
            <w:pPr>
              <w:keepNext/>
              <w:keepLines/>
              <w:spacing w:before="80" w:after="80" w:line="200" w:lineRule="exact"/>
              <w:jc w:val="center"/>
              <w:rPr>
                <w:rFonts w:asciiTheme="majorBidi" w:hAnsiTheme="majorBidi" w:cstheme="majorBidi"/>
                <w:i/>
                <w:sz w:val="16"/>
                <w:szCs w:val="16"/>
              </w:rPr>
            </w:pPr>
            <w:r w:rsidRPr="00025785">
              <w:rPr>
                <w:rFonts w:asciiTheme="majorBidi" w:hAnsiTheme="majorBidi" w:cstheme="majorBidi"/>
                <w:i/>
                <w:sz w:val="16"/>
                <w:szCs w:val="16"/>
              </w:rPr>
              <w:t xml:space="preserve">Charge </w:t>
            </w:r>
            <w:r w:rsidRPr="00025785">
              <w:rPr>
                <w:rFonts w:asciiTheme="majorBidi" w:hAnsiTheme="majorBidi" w:cstheme="majorBidi"/>
                <w:i/>
                <w:sz w:val="16"/>
                <w:szCs w:val="16"/>
              </w:rPr>
              <w:br/>
              <w:t>normale</w:t>
            </w:r>
          </w:p>
        </w:tc>
        <w:tc>
          <w:tcPr>
            <w:tcW w:w="1164" w:type="dxa"/>
            <w:tcBorders>
              <w:bottom w:val="single" w:sz="12" w:space="0" w:color="auto"/>
            </w:tcBorders>
            <w:shd w:val="clear" w:color="auto" w:fill="auto"/>
            <w:vAlign w:val="bottom"/>
          </w:tcPr>
          <w:p w:rsidR="00025785" w:rsidRPr="00025785" w:rsidRDefault="00655A9E" w:rsidP="00655A9E">
            <w:pPr>
              <w:keepNext/>
              <w:keepLines/>
              <w:spacing w:before="80" w:after="80" w:line="200" w:lineRule="exact"/>
              <w:jc w:val="center"/>
              <w:rPr>
                <w:rFonts w:asciiTheme="majorBidi" w:hAnsiTheme="majorBidi" w:cstheme="majorBidi"/>
                <w:i/>
                <w:spacing w:val="-3"/>
                <w:sz w:val="16"/>
                <w:szCs w:val="16"/>
              </w:rPr>
            </w:pPr>
            <w:r>
              <w:rPr>
                <w:rFonts w:asciiTheme="majorBidi" w:hAnsiTheme="majorBidi" w:cstheme="majorBidi"/>
                <w:i/>
                <w:spacing w:val="-3"/>
                <w:sz w:val="16"/>
                <w:szCs w:val="16"/>
              </w:rPr>
              <w:t>Renforcé</w:t>
            </w:r>
            <w:r>
              <w:rPr>
                <w:rFonts w:asciiTheme="majorBidi" w:hAnsiTheme="majorBidi" w:cstheme="majorBidi"/>
                <w:i/>
                <w:spacing w:val="-3"/>
                <w:sz w:val="16"/>
                <w:szCs w:val="16"/>
              </w:rPr>
              <w:br/>
            </w:r>
            <w:r w:rsidR="00025785" w:rsidRPr="00025785">
              <w:rPr>
                <w:rFonts w:asciiTheme="majorBidi" w:hAnsiTheme="majorBidi" w:cstheme="majorBidi"/>
                <w:i/>
                <w:spacing w:val="-3"/>
                <w:sz w:val="16"/>
                <w:szCs w:val="16"/>
              </w:rPr>
              <w:t>ou extra</w:t>
            </w:r>
            <w:r>
              <w:rPr>
                <w:rFonts w:asciiTheme="majorBidi" w:hAnsiTheme="majorBidi" w:cstheme="majorBidi"/>
                <w:i/>
                <w:spacing w:val="-3"/>
                <w:sz w:val="16"/>
                <w:szCs w:val="16"/>
              </w:rPr>
              <w:noBreakHyphen/>
            </w:r>
            <w:r w:rsidR="00025785" w:rsidRPr="00025785">
              <w:rPr>
                <w:rFonts w:asciiTheme="majorBidi" w:hAnsiTheme="majorBidi" w:cstheme="majorBidi"/>
                <w:i/>
                <w:spacing w:val="-3"/>
                <w:sz w:val="16"/>
                <w:szCs w:val="16"/>
              </w:rPr>
              <w:t>load</w:t>
            </w:r>
          </w:p>
        </w:tc>
        <w:tc>
          <w:tcPr>
            <w:tcW w:w="1892" w:type="dxa"/>
            <w:vMerge/>
            <w:tcBorders>
              <w:bottom w:val="single" w:sz="12" w:space="0" w:color="auto"/>
            </w:tcBorders>
            <w:shd w:val="clear" w:color="auto" w:fill="auto"/>
            <w:vAlign w:val="bottom"/>
          </w:tcPr>
          <w:p w:rsidR="00025785" w:rsidRPr="00025785" w:rsidRDefault="00025785" w:rsidP="00CB32BF">
            <w:pPr>
              <w:keepNext/>
              <w:keepLines/>
              <w:spacing w:before="80" w:after="80" w:line="200" w:lineRule="exact"/>
              <w:rPr>
                <w:rFonts w:asciiTheme="majorBidi" w:hAnsiTheme="majorBidi" w:cstheme="majorBidi"/>
                <w:i/>
                <w:sz w:val="16"/>
                <w:szCs w:val="16"/>
              </w:rPr>
            </w:pPr>
          </w:p>
        </w:tc>
      </w:tr>
      <w:tr w:rsidR="00025785" w:rsidRPr="00025785" w:rsidTr="00CB32BF">
        <w:tc>
          <w:tcPr>
            <w:tcW w:w="1994" w:type="dxa"/>
            <w:tcBorders>
              <w:top w:val="single" w:sz="12" w:space="0" w:color="auto"/>
              <w:bottom w:val="single" w:sz="4" w:space="0" w:color="auto"/>
            </w:tcBorders>
            <w:shd w:val="clear" w:color="auto" w:fill="auto"/>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 xml:space="preserve">Pourcentage de la capacité </w:t>
            </w:r>
            <w:r w:rsidRPr="00025785">
              <w:rPr>
                <w:rFonts w:asciiTheme="majorBidi" w:hAnsiTheme="majorBidi" w:cstheme="majorBidi"/>
                <w:sz w:val="18"/>
                <w:szCs w:val="18"/>
              </w:rPr>
              <w:br/>
              <w:t>de charge maximale</w:t>
            </w:r>
          </w:p>
        </w:tc>
        <w:tc>
          <w:tcPr>
            <w:tcW w:w="1187" w:type="dxa"/>
            <w:tcBorders>
              <w:top w:val="single" w:sz="12" w:space="0" w:color="auto"/>
              <w:bottom w:val="single" w:sz="4"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80</w:t>
            </w:r>
          </w:p>
        </w:tc>
        <w:tc>
          <w:tcPr>
            <w:tcW w:w="1164" w:type="dxa"/>
            <w:tcBorders>
              <w:top w:val="single" w:sz="12" w:space="0" w:color="auto"/>
              <w:bottom w:val="single" w:sz="4"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80</w:t>
            </w:r>
          </w:p>
        </w:tc>
        <w:tc>
          <w:tcPr>
            <w:tcW w:w="1892" w:type="dxa"/>
            <w:tcBorders>
              <w:top w:val="single" w:sz="12" w:space="0" w:color="auto"/>
              <w:bottom w:val="single" w:sz="4"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85</w:t>
            </w:r>
            <w:r w:rsidRPr="00025785">
              <w:rPr>
                <w:rFonts w:asciiTheme="majorBidi" w:hAnsiTheme="majorBidi" w:cstheme="majorBidi"/>
                <w:i/>
                <w:sz w:val="18"/>
                <w:szCs w:val="18"/>
                <w:vertAlign w:val="superscript"/>
              </w:rPr>
              <w:t>b</w:t>
            </w:r>
            <w:r w:rsidR="00CB32BF">
              <w:rPr>
                <w:rFonts w:asciiTheme="majorBidi" w:hAnsiTheme="majorBidi" w:cstheme="majorBidi"/>
                <w:b/>
                <w:sz w:val="18"/>
                <w:szCs w:val="18"/>
                <w:vertAlign w:val="superscript"/>
              </w:rPr>
              <w:t>a</w:t>
            </w:r>
            <w:r w:rsidRPr="00025785">
              <w:rPr>
                <w:rFonts w:asciiTheme="majorBidi" w:hAnsiTheme="majorBidi" w:cstheme="majorBidi"/>
                <w:i/>
                <w:sz w:val="18"/>
                <w:szCs w:val="18"/>
                <w:vertAlign w:val="superscript"/>
              </w:rPr>
              <w:br/>
            </w:r>
            <w:r w:rsidRPr="00025785">
              <w:rPr>
                <w:rFonts w:asciiTheme="majorBidi" w:hAnsiTheme="majorBidi" w:cstheme="majorBidi"/>
                <w:sz w:val="18"/>
                <w:szCs w:val="18"/>
              </w:rPr>
              <w:t>(% de charge simple)</w:t>
            </w:r>
          </w:p>
        </w:tc>
      </w:tr>
      <w:tr w:rsidR="00025785" w:rsidRPr="00025785" w:rsidTr="00CB32BF">
        <w:tc>
          <w:tcPr>
            <w:tcW w:w="1994" w:type="dxa"/>
            <w:tcBorders>
              <w:bottom w:val="single" w:sz="12" w:space="0" w:color="auto"/>
            </w:tcBorders>
            <w:shd w:val="clear" w:color="auto" w:fill="auto"/>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Pression de gonflage kPa</w:t>
            </w:r>
          </w:p>
        </w:tc>
        <w:tc>
          <w:tcPr>
            <w:tcW w:w="1187" w:type="dxa"/>
            <w:tcBorders>
              <w:bottom w:val="single" w:sz="12"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210</w:t>
            </w:r>
          </w:p>
        </w:tc>
        <w:tc>
          <w:tcPr>
            <w:tcW w:w="1164" w:type="dxa"/>
            <w:tcBorders>
              <w:bottom w:val="single" w:sz="12"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sz w:val="18"/>
                <w:szCs w:val="18"/>
              </w:rPr>
            </w:pPr>
            <w:r w:rsidRPr="00025785">
              <w:rPr>
                <w:rFonts w:asciiTheme="majorBidi" w:hAnsiTheme="majorBidi" w:cstheme="majorBidi"/>
                <w:sz w:val="18"/>
                <w:szCs w:val="18"/>
              </w:rPr>
              <w:t>250</w:t>
            </w:r>
          </w:p>
        </w:tc>
        <w:tc>
          <w:tcPr>
            <w:tcW w:w="1892" w:type="dxa"/>
            <w:tcBorders>
              <w:bottom w:val="single" w:sz="12" w:space="0" w:color="auto"/>
            </w:tcBorders>
            <w:shd w:val="clear" w:color="auto" w:fill="auto"/>
            <w:vAlign w:val="bottom"/>
          </w:tcPr>
          <w:p w:rsidR="00025785" w:rsidRPr="00025785" w:rsidRDefault="00025785" w:rsidP="00CB32BF">
            <w:pPr>
              <w:keepNext/>
              <w:keepLines/>
              <w:spacing w:before="40" w:after="120" w:line="220" w:lineRule="exact"/>
              <w:rPr>
                <w:rFonts w:asciiTheme="majorBidi" w:hAnsiTheme="majorBidi" w:cstheme="majorBidi"/>
                <w:b/>
                <w:sz w:val="18"/>
                <w:szCs w:val="18"/>
              </w:rPr>
            </w:pPr>
            <w:r w:rsidRPr="00025785">
              <w:rPr>
                <w:rFonts w:asciiTheme="majorBidi" w:hAnsiTheme="majorBidi" w:cstheme="majorBidi"/>
                <w:b/>
                <w:sz w:val="18"/>
                <w:szCs w:val="18"/>
              </w:rPr>
              <w:t>Pression de gonflage pour les essais inscrite sur le flanc comme prescrit dans le Règlement n</w:t>
            </w:r>
            <w:r w:rsidRPr="00025785">
              <w:rPr>
                <w:rFonts w:asciiTheme="majorBidi" w:hAnsiTheme="majorBidi" w:cstheme="majorBidi"/>
                <w:b/>
                <w:sz w:val="18"/>
                <w:szCs w:val="18"/>
                <w:vertAlign w:val="superscript"/>
              </w:rPr>
              <w:t>o</w:t>
            </w:r>
            <w:r w:rsidR="00BE133E" w:rsidRPr="00BE133E">
              <w:rPr>
                <w:rFonts w:asciiTheme="majorBidi" w:hAnsiTheme="majorBidi" w:cstheme="majorBidi"/>
                <w:b/>
                <w:sz w:val="18"/>
                <w:szCs w:val="18"/>
              </w:rPr>
              <w:t> </w:t>
            </w:r>
            <w:r w:rsidRPr="00025785">
              <w:rPr>
                <w:rFonts w:asciiTheme="majorBidi" w:hAnsiTheme="majorBidi" w:cstheme="majorBidi"/>
                <w:b/>
                <w:sz w:val="18"/>
                <w:szCs w:val="18"/>
              </w:rPr>
              <w:t xml:space="preserve">54. </w:t>
            </w:r>
          </w:p>
          <w:p w:rsidR="00025785" w:rsidRPr="00025785" w:rsidRDefault="00025785" w:rsidP="00CB32BF">
            <w:pPr>
              <w:keepNext/>
              <w:keepLines/>
              <w:spacing w:before="40" w:after="120" w:line="220" w:lineRule="exact"/>
              <w:rPr>
                <w:rFonts w:asciiTheme="majorBidi" w:hAnsiTheme="majorBidi" w:cstheme="majorBidi"/>
                <w:strike/>
                <w:sz w:val="18"/>
                <w:szCs w:val="18"/>
              </w:rPr>
            </w:pPr>
            <w:r w:rsidRPr="00025785">
              <w:rPr>
                <w:rFonts w:asciiTheme="majorBidi" w:hAnsiTheme="majorBidi" w:cstheme="majorBidi"/>
                <w:strike/>
                <w:sz w:val="18"/>
                <w:szCs w:val="18"/>
              </w:rPr>
              <w:t>Correspondant à la capacité de charge maximale</w:t>
            </w:r>
            <w:r w:rsidR="00BE133E">
              <w:rPr>
                <w:rFonts w:asciiTheme="majorBidi" w:hAnsiTheme="majorBidi" w:cstheme="majorBidi"/>
                <w:strike/>
                <w:sz w:val="18"/>
                <w:szCs w:val="18"/>
              </w:rPr>
              <w:t xml:space="preserve"> </w:t>
            </w:r>
            <w:r w:rsidRPr="00025785">
              <w:rPr>
                <w:rFonts w:asciiTheme="majorBidi" w:hAnsiTheme="majorBidi" w:cstheme="majorBidi"/>
                <w:strike/>
                <w:sz w:val="18"/>
                <w:szCs w:val="18"/>
              </w:rPr>
              <w:t>pour une monte en simple</w:t>
            </w:r>
            <w:r w:rsidRPr="00025785">
              <w:rPr>
                <w:rFonts w:asciiTheme="majorBidi" w:hAnsiTheme="majorBidi" w:cstheme="majorBidi"/>
                <w:i/>
                <w:strike/>
                <w:sz w:val="18"/>
                <w:szCs w:val="18"/>
                <w:vertAlign w:val="superscript"/>
              </w:rPr>
              <w:t>c</w:t>
            </w:r>
          </w:p>
        </w:tc>
      </w:tr>
    </w:tbl>
    <w:p w:rsidR="00025785" w:rsidRPr="00025785" w:rsidRDefault="00025785" w:rsidP="0083541D">
      <w:pPr>
        <w:pStyle w:val="SingleTxtGR"/>
        <w:spacing w:before="120" w:after="0" w:line="220" w:lineRule="exact"/>
        <w:ind w:left="1304" w:hanging="170"/>
        <w:jc w:val="left"/>
        <w:rPr>
          <w:rFonts w:asciiTheme="majorBidi" w:hAnsiTheme="majorBidi" w:cstheme="majorBidi"/>
          <w:sz w:val="18"/>
          <w:szCs w:val="18"/>
        </w:rPr>
      </w:pPr>
      <w:r w:rsidRPr="00025785">
        <w:rPr>
          <w:rFonts w:asciiTheme="majorBidi" w:hAnsiTheme="majorBidi" w:cstheme="majorBidi"/>
          <w:i/>
          <w:sz w:val="18"/>
          <w:szCs w:val="18"/>
        </w:rPr>
        <w:t>Note</w:t>
      </w:r>
      <w:r w:rsidRPr="00025785">
        <w:rPr>
          <w:rFonts w:asciiTheme="majorBidi" w:hAnsiTheme="majorBidi" w:cstheme="majorBidi"/>
          <w:sz w:val="18"/>
          <w:szCs w:val="18"/>
        </w:rPr>
        <w:t> : La pression de gonflage doit être à évolution libre avec la précision prescrite au paragraphe 4 de l’appendice 1.</w:t>
      </w:r>
    </w:p>
    <w:p w:rsidR="00CB32BF" w:rsidRDefault="00025785" w:rsidP="00655A9E">
      <w:pPr>
        <w:pStyle w:val="SingleTxtGR"/>
        <w:spacing w:after="0" w:line="220" w:lineRule="exact"/>
        <w:ind w:left="1304" w:hanging="170"/>
        <w:jc w:val="left"/>
        <w:rPr>
          <w:rFonts w:asciiTheme="majorBidi" w:hAnsiTheme="majorBidi" w:cstheme="majorBidi"/>
          <w:b/>
          <w:i/>
          <w:sz w:val="18"/>
          <w:szCs w:val="18"/>
          <w:vertAlign w:val="superscript"/>
          <w:lang w:val="fr-CH"/>
        </w:rPr>
      </w:pPr>
      <w:r w:rsidRPr="00025785">
        <w:rPr>
          <w:rFonts w:asciiTheme="majorBidi" w:hAnsiTheme="majorBidi" w:cstheme="majorBidi"/>
          <w:i/>
          <w:strike/>
          <w:sz w:val="18"/>
          <w:szCs w:val="18"/>
          <w:vertAlign w:val="superscript"/>
          <w:lang w:val="fr-CH"/>
        </w:rPr>
        <w:t>a</w:t>
      </w:r>
      <w:r w:rsidRPr="00025785">
        <w:rPr>
          <w:rFonts w:asciiTheme="majorBidi" w:hAnsiTheme="majorBidi" w:cstheme="majorBidi"/>
          <w:strike/>
          <w:sz w:val="18"/>
          <w:szCs w:val="18"/>
          <w:lang w:val="fr-CH"/>
        </w:rPr>
        <w:t xml:space="preserve">  Pour les pneumatiques de voitures particulières appartenant à des catégories non indiquées dans la norme ISO 4000-1:2010, annexe B, la pression de gonflage doit être celle recommandée par le fabricant du pneumatique, correspondant à la capacité de charge maximale du pneumatique, réduite de 30 kPa.</w:t>
      </w:r>
    </w:p>
    <w:p w:rsidR="00025785" w:rsidRPr="00025785" w:rsidRDefault="00025785" w:rsidP="00655A9E">
      <w:pPr>
        <w:pStyle w:val="SingleTxtGR"/>
        <w:spacing w:after="0" w:line="220" w:lineRule="exact"/>
        <w:ind w:left="1304" w:hanging="170"/>
        <w:jc w:val="left"/>
        <w:rPr>
          <w:rFonts w:asciiTheme="majorBidi" w:hAnsiTheme="majorBidi" w:cstheme="majorBidi"/>
          <w:strike/>
          <w:sz w:val="18"/>
          <w:szCs w:val="18"/>
          <w:lang w:val="fr-CH"/>
        </w:rPr>
      </w:pPr>
      <w:r w:rsidRPr="00025785">
        <w:rPr>
          <w:rFonts w:asciiTheme="majorBidi" w:hAnsiTheme="majorBidi" w:cstheme="majorBidi"/>
          <w:i/>
          <w:strike/>
          <w:sz w:val="18"/>
          <w:szCs w:val="18"/>
          <w:vertAlign w:val="superscript"/>
          <w:lang w:val="fr-CH"/>
        </w:rPr>
        <w:t>b</w:t>
      </w:r>
      <w:r w:rsidR="00CB32BF" w:rsidRPr="00CB32BF">
        <w:rPr>
          <w:rFonts w:asciiTheme="majorBidi" w:hAnsiTheme="majorBidi" w:cstheme="majorBidi"/>
          <w:b/>
          <w:sz w:val="18"/>
          <w:szCs w:val="18"/>
          <w:vertAlign w:val="superscript"/>
          <w:lang w:val="fr-CH"/>
        </w:rPr>
        <w:t>a</w:t>
      </w:r>
      <w:r w:rsidRPr="00025785">
        <w:rPr>
          <w:rFonts w:asciiTheme="majorBidi" w:hAnsiTheme="majorBidi" w:cstheme="majorBidi"/>
          <w:sz w:val="18"/>
          <w:szCs w:val="18"/>
          <w:lang w:val="fr-CH"/>
        </w:rPr>
        <w:t xml:space="preserve"> </w:t>
      </w:r>
      <w:r w:rsidRPr="00025785">
        <w:rPr>
          <w:rFonts w:asciiTheme="majorBidi" w:hAnsiTheme="majorBidi" w:cstheme="majorBidi"/>
          <w:strike/>
          <w:sz w:val="18"/>
          <w:szCs w:val="18"/>
          <w:lang w:val="fr-CH"/>
        </w:rPr>
        <w:t>En pourcentage de charge simple, ou 85 % de la capacité de charge maximale pour une monte en simple spécifiée dans les manuels des normes de pneumatiques applicables, en l’absence de marquage sur le pneumatique lui-même.</w:t>
      </w:r>
      <w:r w:rsidRPr="00025785">
        <w:rPr>
          <w:rFonts w:asciiTheme="majorBidi" w:hAnsiTheme="majorBidi" w:cstheme="majorBidi"/>
          <w:sz w:val="18"/>
          <w:szCs w:val="18"/>
          <w:lang w:val="fr-CH"/>
        </w:rPr>
        <w:t xml:space="preserve"> </w:t>
      </w:r>
      <w:r w:rsidRPr="00025785">
        <w:rPr>
          <w:rFonts w:asciiTheme="majorBidi" w:hAnsiTheme="majorBidi" w:cstheme="majorBidi"/>
          <w:b/>
          <w:sz w:val="18"/>
          <w:szCs w:val="18"/>
          <w:lang w:val="fr-CH"/>
        </w:rPr>
        <w:t>85</w:t>
      </w:r>
      <w:r>
        <w:rPr>
          <w:rFonts w:asciiTheme="majorBidi" w:hAnsiTheme="majorBidi" w:cstheme="majorBidi"/>
          <w:b/>
          <w:sz w:val="18"/>
          <w:szCs w:val="18"/>
          <w:lang w:val="fr-CH"/>
        </w:rPr>
        <w:t> </w:t>
      </w:r>
      <w:r w:rsidRPr="00025785">
        <w:rPr>
          <w:rFonts w:asciiTheme="majorBidi" w:hAnsiTheme="majorBidi" w:cstheme="majorBidi"/>
          <w:b/>
          <w:sz w:val="18"/>
          <w:szCs w:val="18"/>
          <w:lang w:val="fr-CH"/>
        </w:rPr>
        <w:t>% de la capacité de charge en montage simple comme indiqué par l’indice de capacité de charge</w:t>
      </w:r>
      <w:r w:rsidR="00CB32BF">
        <w:rPr>
          <w:rFonts w:asciiTheme="majorBidi" w:hAnsiTheme="majorBidi" w:cstheme="majorBidi"/>
          <w:b/>
          <w:sz w:val="18"/>
          <w:szCs w:val="18"/>
          <w:lang w:val="fr-CH"/>
        </w:rPr>
        <w:t>.</w:t>
      </w:r>
    </w:p>
    <w:p w:rsidR="00025785" w:rsidRPr="00025785" w:rsidRDefault="00025785" w:rsidP="00025785">
      <w:pPr>
        <w:pStyle w:val="SingleTxtGR"/>
        <w:spacing w:line="220" w:lineRule="exact"/>
        <w:ind w:left="1304" w:hanging="170"/>
        <w:jc w:val="left"/>
        <w:rPr>
          <w:rFonts w:asciiTheme="majorBidi" w:hAnsiTheme="majorBidi" w:cstheme="majorBidi"/>
          <w:sz w:val="18"/>
          <w:szCs w:val="18"/>
          <w:lang w:val="fr-CH"/>
        </w:rPr>
      </w:pPr>
      <w:r w:rsidRPr="00025785">
        <w:rPr>
          <w:rFonts w:asciiTheme="majorBidi" w:hAnsiTheme="majorBidi" w:cstheme="majorBidi"/>
          <w:i/>
          <w:strike/>
          <w:sz w:val="18"/>
          <w:szCs w:val="18"/>
          <w:vertAlign w:val="superscript"/>
          <w:lang w:val="fr-CH"/>
        </w:rPr>
        <w:t>c</w:t>
      </w:r>
      <w:r w:rsidRPr="00025785">
        <w:rPr>
          <w:rFonts w:asciiTheme="majorBidi" w:hAnsiTheme="majorBidi" w:cstheme="majorBidi"/>
          <w:strike/>
          <w:sz w:val="18"/>
          <w:szCs w:val="18"/>
          <w:lang w:val="fr-CH"/>
        </w:rPr>
        <w:t xml:space="preserve">  Pression de gonflage marquée sur le flanc du pneumatique ou, à défaut, spécifiée dans les manuels des normes de pneumatiques applicables et correspondant à la capacité de charge maximale pour une monte en simple.</w:t>
      </w:r>
      <w:r w:rsidRPr="00025785">
        <w:rPr>
          <w:rFonts w:asciiTheme="majorBidi" w:hAnsiTheme="majorBidi" w:cstheme="majorBidi"/>
          <w:sz w:val="18"/>
          <w:szCs w:val="18"/>
          <w:lang w:val="fr-CH"/>
        </w:rPr>
        <w:t> »</w:t>
      </w:r>
    </w:p>
    <w:p w:rsidR="00025785" w:rsidRPr="00973084" w:rsidRDefault="00025785" w:rsidP="00973084">
      <w:pPr>
        <w:pStyle w:val="SingleTxtG"/>
        <w:rPr>
          <w:i/>
        </w:rPr>
      </w:pPr>
      <w:r w:rsidRPr="00973084">
        <w:rPr>
          <w:i/>
        </w:rPr>
        <w:t xml:space="preserve">Annexe 7, </w:t>
      </w:r>
    </w:p>
    <w:p w:rsidR="00025785" w:rsidRPr="00025785" w:rsidRDefault="00025785" w:rsidP="00973084">
      <w:pPr>
        <w:pStyle w:val="SingleTxtG"/>
      </w:pPr>
      <w:r w:rsidRPr="00025785">
        <w:rPr>
          <w:i/>
          <w:iCs/>
        </w:rPr>
        <w:t xml:space="preserve">Paragraphe 4.1, </w:t>
      </w:r>
      <w:r w:rsidRPr="00025785">
        <w:t>supprimer.</w:t>
      </w:r>
    </w:p>
    <w:p w:rsidR="00025785" w:rsidRPr="00025785" w:rsidRDefault="00025785" w:rsidP="00973084">
      <w:pPr>
        <w:pStyle w:val="SingleTxtG"/>
        <w:rPr>
          <w:i/>
          <w:iCs/>
        </w:rPr>
      </w:pPr>
      <w:r w:rsidRPr="00025785">
        <w:rPr>
          <w:i/>
          <w:iCs/>
        </w:rPr>
        <w:t xml:space="preserve">Les paragraphes 4.2 à 4.10 (anciens) </w:t>
      </w:r>
      <w:r w:rsidRPr="00025785">
        <w:t>deviennent les</w:t>
      </w:r>
      <w:r w:rsidRPr="00025785">
        <w:rPr>
          <w:i/>
          <w:iCs/>
        </w:rPr>
        <w:t xml:space="preserve"> paragraphes 4.1 à 4.9. </w:t>
      </w:r>
    </w:p>
    <w:p w:rsidR="00025785" w:rsidRPr="00025785" w:rsidRDefault="00025785" w:rsidP="00973084">
      <w:pPr>
        <w:pStyle w:val="SingleTxtG"/>
      </w:pPr>
      <w:r w:rsidRPr="00025785">
        <w:rPr>
          <w:i/>
          <w:iCs/>
        </w:rPr>
        <w:t>Paragraphe 4.7 (ancien),</w:t>
      </w:r>
      <w:r w:rsidRPr="00025785">
        <w:t xml:space="preserve"> modifier comme suit :</w:t>
      </w:r>
    </w:p>
    <w:p w:rsidR="00025785" w:rsidRPr="00025785" w:rsidRDefault="00025785" w:rsidP="00973084">
      <w:pPr>
        <w:pStyle w:val="SingleTxtG"/>
        <w:ind w:left="2268" w:hanging="1134"/>
        <w:rPr>
          <w:rFonts w:asciiTheme="majorBidi" w:hAnsiTheme="majorBidi" w:cstheme="majorBidi"/>
        </w:rPr>
      </w:pPr>
      <w:r w:rsidRPr="00025785">
        <w:rPr>
          <w:iCs/>
        </w:rPr>
        <w:t>« 4.</w:t>
      </w:r>
      <w:r w:rsidRPr="00025785">
        <w:rPr>
          <w:iCs/>
          <w:strike/>
        </w:rPr>
        <w:t>7</w:t>
      </w:r>
      <w:r w:rsidRPr="00025785">
        <w:rPr>
          <w:b/>
          <w:iCs/>
        </w:rPr>
        <w:t>6</w:t>
      </w:r>
      <w:r w:rsidRPr="00025785">
        <w:rPr>
          <w:b/>
          <w:iCs/>
        </w:rPr>
        <w:tab/>
      </w:r>
      <w:r w:rsidRPr="00025785">
        <w:rPr>
          <w:b/>
          <w:iCs/>
        </w:rPr>
        <w:tab/>
      </w:r>
      <w:r w:rsidRPr="00025785">
        <w:rPr>
          <w:rFonts w:asciiTheme="majorBidi" w:hAnsiTheme="majorBidi" w:cstheme="majorBidi"/>
        </w:rPr>
        <w:t>Procédure d’essai d’accélération sur neige visant à déterminer l’indice d’adhérence sur neige des pneumatiques C3</w:t>
      </w:r>
      <w:r w:rsidRPr="00025785">
        <w:rPr>
          <w:rFonts w:asciiTheme="majorBidi" w:hAnsiTheme="majorBidi" w:cstheme="majorBidi"/>
          <w:strike/>
        </w:rPr>
        <w:t>N et C3W </w:t>
      </w:r>
      <w:r w:rsidRPr="00025785">
        <w:rPr>
          <w:rFonts w:asciiTheme="majorBidi" w:hAnsiTheme="majorBidi" w:cstheme="majorBidi"/>
        </w:rPr>
        <w:t>».</w:t>
      </w:r>
    </w:p>
    <w:p w:rsidR="00025785" w:rsidRPr="00025785" w:rsidRDefault="00025785" w:rsidP="00025785">
      <w:pPr>
        <w:pStyle w:val="HChG"/>
      </w:pPr>
      <w:r>
        <w:tab/>
      </w:r>
      <w:r w:rsidRPr="00025785">
        <w:t>II.</w:t>
      </w:r>
      <w:r w:rsidRPr="00025785">
        <w:tab/>
      </w:r>
      <w:r w:rsidRPr="00025785">
        <w:rPr>
          <w:lang w:val="fr-FR"/>
        </w:rPr>
        <w:t>Justification</w:t>
      </w:r>
    </w:p>
    <w:p w:rsidR="00025785" w:rsidRPr="00025785" w:rsidRDefault="00025785" w:rsidP="00655A9E">
      <w:pPr>
        <w:pStyle w:val="SingleTxtG"/>
        <w:spacing w:line="220" w:lineRule="atLeast"/>
      </w:pPr>
      <w:r w:rsidRPr="00025785">
        <w:t>1.</w:t>
      </w:r>
      <w:r w:rsidRPr="00025785">
        <w:tab/>
        <w:t>Les modifications visant les dénominations des pneumatiques d’essai de référence normalisés (SRTT) s</w:t>
      </w:r>
      <w:r>
        <w:t>ont nécessaires pour aligner le</w:t>
      </w:r>
      <w:r w:rsidRPr="00025785">
        <w:t xml:space="preserve"> texte du Règlement sur les dernières versions approuvées des spécifications normalisées, étant donné qu’il est pratiquement impossible de trouver des versions antérieures (elles ne sont plus publiées). L’indication de l’année permet en outre à l’ONU de garder une trace des versions et des caractéristiques qui leur correspondent.</w:t>
      </w:r>
    </w:p>
    <w:p w:rsidR="00025785" w:rsidRPr="00025785" w:rsidRDefault="00025785" w:rsidP="00655A9E">
      <w:pPr>
        <w:pStyle w:val="SingleTxtG"/>
        <w:spacing w:line="220" w:lineRule="atLeast"/>
      </w:pPr>
      <w:r w:rsidRPr="00025785">
        <w:t>2.</w:t>
      </w:r>
      <w:r w:rsidRPr="00025785">
        <w:tab/>
        <w:t>Les modifications au paragraphe 6.4.1.1 et à l’annexe 7 sont proposées dans le but d’éliminer la distinction faite entre les deux types de pneumatiques de classe C3, qui peut occasionner des problèmes de montage sur certains véhicules, sachant par ailleurs que dans le cadre de ce Règlement, leurs coefficients et leurs performances sont équivalents dans tous les cas.</w:t>
      </w:r>
    </w:p>
    <w:p w:rsidR="00025785" w:rsidRPr="00025785" w:rsidRDefault="00025785" w:rsidP="00655A9E">
      <w:pPr>
        <w:pStyle w:val="SingleTxtG"/>
        <w:spacing w:line="220" w:lineRule="atLeast"/>
        <w:rPr>
          <w:szCs w:val="24"/>
        </w:rPr>
      </w:pPr>
      <w:r w:rsidRPr="00025785">
        <w:t>3.</w:t>
      </w:r>
      <w:r w:rsidRPr="00025785">
        <w:tab/>
        <w:t xml:space="preserve">Les modifications apportées à l’annexe 6 visent à rendre le texte plus clair. Elles se justifient en outre par le fait que le champ d’application du Règlement ne comprend pas de </w:t>
      </w:r>
      <w:r w:rsidRPr="00025785">
        <w:rPr>
          <w:szCs w:val="24"/>
        </w:rPr>
        <w:t>pneumatiques « </w:t>
      </w:r>
      <w:r w:rsidR="000B7E78">
        <w:rPr>
          <w:szCs w:val="24"/>
        </w:rPr>
        <w:t xml:space="preserve">sans marquage du code de </w:t>
      </w:r>
      <w:r w:rsidRPr="00025785">
        <w:rPr>
          <w:szCs w:val="24"/>
        </w:rPr>
        <w:t>vitesse ».</w:t>
      </w:r>
    </w:p>
    <w:p w:rsidR="00F9573C" w:rsidRPr="00025785" w:rsidRDefault="00025785" w:rsidP="00025785">
      <w:pPr>
        <w:pStyle w:val="SingleTxtG"/>
        <w:spacing w:before="240" w:after="0"/>
        <w:jc w:val="center"/>
        <w:rPr>
          <w:u w:val="single"/>
        </w:rPr>
      </w:pPr>
      <w:r>
        <w:rPr>
          <w:u w:val="single"/>
        </w:rPr>
        <w:tab/>
      </w:r>
      <w:r>
        <w:rPr>
          <w:u w:val="single"/>
        </w:rPr>
        <w:tab/>
      </w:r>
      <w:r>
        <w:rPr>
          <w:u w:val="single"/>
        </w:rPr>
        <w:tab/>
      </w:r>
    </w:p>
    <w:sectPr w:rsidR="00F9573C" w:rsidRPr="00025785" w:rsidSect="000257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604" w:rsidRDefault="00235604" w:rsidP="00F95C08">
      <w:pPr>
        <w:spacing w:line="240" w:lineRule="auto"/>
      </w:pPr>
    </w:p>
  </w:endnote>
  <w:endnote w:type="continuationSeparator" w:id="0">
    <w:p w:rsidR="00235604" w:rsidRPr="00AC3823" w:rsidRDefault="00235604" w:rsidP="00AC3823">
      <w:pPr>
        <w:pStyle w:val="Footer"/>
      </w:pPr>
    </w:p>
  </w:endnote>
  <w:endnote w:type="continuationNotice" w:id="1">
    <w:p w:rsidR="00235604" w:rsidRDefault="002356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85" w:rsidRPr="00025785" w:rsidRDefault="00025785" w:rsidP="00025785">
    <w:pPr>
      <w:pStyle w:val="Footer"/>
      <w:tabs>
        <w:tab w:val="right" w:pos="9638"/>
      </w:tabs>
    </w:pPr>
    <w:r w:rsidRPr="00025785">
      <w:rPr>
        <w:b/>
        <w:sz w:val="18"/>
      </w:rPr>
      <w:fldChar w:fldCharType="begin"/>
    </w:r>
    <w:r w:rsidRPr="00025785">
      <w:rPr>
        <w:b/>
        <w:sz w:val="18"/>
      </w:rPr>
      <w:instrText xml:space="preserve"> PAGE  \* MERGEFORMAT </w:instrText>
    </w:r>
    <w:r w:rsidRPr="00025785">
      <w:rPr>
        <w:b/>
        <w:sz w:val="18"/>
      </w:rPr>
      <w:fldChar w:fldCharType="separate"/>
    </w:r>
    <w:r w:rsidR="00194117">
      <w:rPr>
        <w:b/>
        <w:noProof/>
        <w:sz w:val="18"/>
      </w:rPr>
      <w:t>2</w:t>
    </w:r>
    <w:r w:rsidRPr="00025785">
      <w:rPr>
        <w:b/>
        <w:sz w:val="18"/>
      </w:rPr>
      <w:fldChar w:fldCharType="end"/>
    </w:r>
    <w:r>
      <w:rPr>
        <w:b/>
        <w:sz w:val="18"/>
      </w:rPr>
      <w:tab/>
    </w:r>
    <w:r>
      <w:t>GE.18-11633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85" w:rsidRPr="00025785" w:rsidRDefault="00025785" w:rsidP="00025785">
    <w:pPr>
      <w:pStyle w:val="Footer"/>
      <w:tabs>
        <w:tab w:val="right" w:pos="9638"/>
      </w:tabs>
      <w:rPr>
        <w:b/>
        <w:sz w:val="18"/>
      </w:rPr>
    </w:pPr>
    <w:r>
      <w:t>GE.18-11633</w:t>
    </w:r>
    <w:r>
      <w:tab/>
    </w:r>
    <w:r w:rsidRPr="00025785">
      <w:rPr>
        <w:b/>
        <w:sz w:val="18"/>
      </w:rPr>
      <w:fldChar w:fldCharType="begin"/>
    </w:r>
    <w:r w:rsidRPr="00025785">
      <w:rPr>
        <w:b/>
        <w:sz w:val="18"/>
      </w:rPr>
      <w:instrText xml:space="preserve"> PAGE  \* MERGEFORMAT </w:instrText>
    </w:r>
    <w:r w:rsidRPr="00025785">
      <w:rPr>
        <w:b/>
        <w:sz w:val="18"/>
      </w:rPr>
      <w:fldChar w:fldCharType="separate"/>
    </w:r>
    <w:r w:rsidR="00194117">
      <w:rPr>
        <w:b/>
        <w:noProof/>
        <w:sz w:val="18"/>
      </w:rPr>
      <w:t>3</w:t>
    </w:r>
    <w:r w:rsidRPr="00025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25785" w:rsidRDefault="00025785" w:rsidP="0002578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18-11633  (F)    300718    100818</w:t>
    </w:r>
    <w:r>
      <w:rPr>
        <w:sz w:val="20"/>
      </w:rPr>
      <w:br/>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sidRPr="0002578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604" w:rsidRPr="00AC3823" w:rsidRDefault="00235604" w:rsidP="00AC3823">
      <w:pPr>
        <w:pStyle w:val="Footer"/>
        <w:tabs>
          <w:tab w:val="right" w:pos="2155"/>
        </w:tabs>
        <w:spacing w:after="80" w:line="240" w:lineRule="atLeast"/>
        <w:ind w:left="680"/>
        <w:rPr>
          <w:u w:val="single"/>
        </w:rPr>
      </w:pPr>
      <w:r>
        <w:rPr>
          <w:u w:val="single"/>
        </w:rPr>
        <w:tab/>
      </w:r>
    </w:p>
  </w:footnote>
  <w:footnote w:type="continuationSeparator" w:id="0">
    <w:p w:rsidR="00235604" w:rsidRPr="00AC3823" w:rsidRDefault="00235604" w:rsidP="00AC3823">
      <w:pPr>
        <w:pStyle w:val="Footer"/>
        <w:tabs>
          <w:tab w:val="right" w:pos="2155"/>
        </w:tabs>
        <w:spacing w:after="80" w:line="240" w:lineRule="atLeast"/>
        <w:ind w:left="680"/>
        <w:rPr>
          <w:u w:val="single"/>
        </w:rPr>
      </w:pPr>
      <w:r>
        <w:rPr>
          <w:u w:val="single"/>
        </w:rPr>
        <w:tab/>
      </w:r>
    </w:p>
  </w:footnote>
  <w:footnote w:type="continuationNotice" w:id="1">
    <w:p w:rsidR="00235604" w:rsidRPr="00AC3823" w:rsidRDefault="00235604">
      <w:pPr>
        <w:spacing w:line="240" w:lineRule="auto"/>
        <w:rPr>
          <w:sz w:val="2"/>
          <w:szCs w:val="2"/>
        </w:rPr>
      </w:pPr>
    </w:p>
  </w:footnote>
  <w:footnote w:id="2">
    <w:p w:rsidR="00025785" w:rsidRPr="00025785" w:rsidRDefault="00025785">
      <w:pPr>
        <w:pStyle w:val="FootnoteText"/>
      </w:pPr>
      <w:r>
        <w:rPr>
          <w:rStyle w:val="FootnoteReference"/>
        </w:rPr>
        <w:tab/>
      </w:r>
      <w:r w:rsidRPr="00025785">
        <w:rPr>
          <w:rStyle w:val="FootnoteReference"/>
          <w:sz w:val="20"/>
          <w:vertAlign w:val="baseline"/>
        </w:rPr>
        <w:t>*</w:t>
      </w:r>
      <w:r>
        <w:rPr>
          <w:rStyle w:val="FootnoteReference"/>
          <w:sz w:val="20"/>
          <w:vertAlign w:val="baseline"/>
        </w:rPr>
        <w:tab/>
      </w:r>
      <w:r w:rsidRPr="00D36F3A">
        <w:t>Ancien Groupe de travail en matière de roulement et de freinage (GRRF).</w:t>
      </w:r>
    </w:p>
  </w:footnote>
  <w:footnote w:id="3">
    <w:p w:rsidR="00025785" w:rsidRPr="00025785" w:rsidRDefault="00025785">
      <w:pPr>
        <w:pStyle w:val="FootnoteText"/>
      </w:pPr>
      <w:r>
        <w:rPr>
          <w:rStyle w:val="FootnoteReference"/>
        </w:rPr>
        <w:tab/>
      </w:r>
      <w:r w:rsidRPr="00025785">
        <w:rPr>
          <w:rStyle w:val="FootnoteReference"/>
          <w:sz w:val="20"/>
          <w:vertAlign w:val="baseline"/>
        </w:rPr>
        <w:t>**</w:t>
      </w:r>
      <w:r>
        <w:rPr>
          <w:rStyle w:val="FootnoteReference"/>
          <w:sz w:val="20"/>
          <w:vertAlign w:val="baseline"/>
        </w:rPr>
        <w:tab/>
      </w:r>
      <w:bookmarkStart w:id="3" w:name="_Hlk518910301"/>
      <w:r w:rsidRPr="006506B3">
        <w:rPr>
          <w:szCs w:val="18"/>
        </w:rPr>
        <w:t>Conformément</w:t>
      </w:r>
      <w:r w:rsidRPr="006506B3">
        <w:t xml:space="preserve"> au paragraphe</w:t>
      </w:r>
      <w:r>
        <w:t> </w:t>
      </w:r>
      <w:r w:rsidRPr="006506B3">
        <w:t>52 du document</w:t>
      </w:r>
      <w:r w:rsidRPr="001D2A82">
        <w:t xml:space="preserve"> </w:t>
      </w:r>
      <w:r w:rsidRPr="006506B3">
        <w:t>ECE/TRANS/274</w:t>
      </w:r>
      <w:r>
        <w:t xml:space="preserve">, au paragraphe 33 du document </w:t>
      </w:r>
      <w:r w:rsidRPr="006506B3">
        <w:t>ECE/TRANS/WP.29/1139</w:t>
      </w:r>
      <w:r>
        <w:t xml:space="preserve"> et au </w:t>
      </w:r>
      <w:r w:rsidRPr="001D2A82">
        <w:t>programme de travail du Comité des transports intérieurs pour la période</w:t>
      </w:r>
      <w:r>
        <w:t xml:space="preserve"> 2014-2018 (ECE/TRANS/240, par. </w:t>
      </w:r>
      <w:r w:rsidRPr="001D2A82">
        <w:t>105, et ECE/TRANS/2014/26, activité 02.4), le Forum mondial a pour mission d’élaborer, d’harmoniser et de mettre à jour les Règlements en vue d’améliorer les caractéristiques fonctionnelles des véhicules. Le présent document est soumis en vertu de ce mandat</w:t>
      </w:r>
      <w:bookmarkEnd w:id="3"/>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85" w:rsidRPr="00025785" w:rsidRDefault="001D5454">
    <w:pPr>
      <w:pStyle w:val="Header"/>
    </w:pPr>
    <w:r>
      <w:fldChar w:fldCharType="begin"/>
    </w:r>
    <w:r>
      <w:instrText xml:space="preserve"> TITLE  \* MERGEFORMAT </w:instrText>
    </w:r>
    <w:r>
      <w:fldChar w:fldCharType="separate"/>
    </w:r>
    <w:r w:rsidR="00194117">
      <w:t>ECE/TRANS/WP.29/GRVA/2018/5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85" w:rsidRPr="00025785" w:rsidRDefault="001D5454" w:rsidP="00025785">
    <w:pPr>
      <w:pStyle w:val="Header"/>
      <w:jc w:val="right"/>
    </w:pPr>
    <w:r>
      <w:fldChar w:fldCharType="begin"/>
    </w:r>
    <w:r>
      <w:instrText xml:space="preserve"> TITLE</w:instrText>
    </w:r>
    <w:r>
      <w:instrText xml:space="preserve">  \* MERGEFORMAT </w:instrText>
    </w:r>
    <w:r>
      <w:fldChar w:fldCharType="separate"/>
    </w:r>
    <w:r w:rsidR="00194117">
      <w:t>ECE/TRANS/WP.29/GRVA/2018/5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04"/>
    <w:rsid w:val="0001481A"/>
    <w:rsid w:val="00017F94"/>
    <w:rsid w:val="00023842"/>
    <w:rsid w:val="00025785"/>
    <w:rsid w:val="000334F9"/>
    <w:rsid w:val="00045FEB"/>
    <w:rsid w:val="0007796D"/>
    <w:rsid w:val="000B7790"/>
    <w:rsid w:val="000B7E78"/>
    <w:rsid w:val="000F4E1F"/>
    <w:rsid w:val="00111F2F"/>
    <w:rsid w:val="0014365E"/>
    <w:rsid w:val="00143C66"/>
    <w:rsid w:val="00170115"/>
    <w:rsid w:val="00176178"/>
    <w:rsid w:val="00194117"/>
    <w:rsid w:val="001D5454"/>
    <w:rsid w:val="001F525A"/>
    <w:rsid w:val="00223272"/>
    <w:rsid w:val="0022560C"/>
    <w:rsid w:val="00235604"/>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F2A7E"/>
    <w:rsid w:val="00655A9E"/>
    <w:rsid w:val="0071601D"/>
    <w:rsid w:val="007A62E6"/>
    <w:rsid w:val="007F20FA"/>
    <w:rsid w:val="0080684C"/>
    <w:rsid w:val="0083541D"/>
    <w:rsid w:val="00871C75"/>
    <w:rsid w:val="008776DC"/>
    <w:rsid w:val="009446C0"/>
    <w:rsid w:val="009705C8"/>
    <w:rsid w:val="00973084"/>
    <w:rsid w:val="009C1CF4"/>
    <w:rsid w:val="009C6495"/>
    <w:rsid w:val="009F6B74"/>
    <w:rsid w:val="00A30353"/>
    <w:rsid w:val="00AC3823"/>
    <w:rsid w:val="00AE323C"/>
    <w:rsid w:val="00AF0CB5"/>
    <w:rsid w:val="00B00181"/>
    <w:rsid w:val="00B00B0D"/>
    <w:rsid w:val="00B765F7"/>
    <w:rsid w:val="00BA0CA9"/>
    <w:rsid w:val="00BE133E"/>
    <w:rsid w:val="00C02897"/>
    <w:rsid w:val="00C97039"/>
    <w:rsid w:val="00CB32BF"/>
    <w:rsid w:val="00D3439C"/>
    <w:rsid w:val="00DB1831"/>
    <w:rsid w:val="00DD3BFD"/>
    <w:rsid w:val="00DF6678"/>
    <w:rsid w:val="00E0299A"/>
    <w:rsid w:val="00E30D94"/>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7FF1F1-6776-456D-B19A-5F215E9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025785"/>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ECE/TRANS/WP.29/GRVA/2018/5</vt:lpstr>
      <vt:lpstr>ECE/TRANS/WP.29/GRVA/2018/5</vt:lpstr>
    </vt:vector>
  </TitlesOfParts>
  <Company>DCM</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ECE/TRANS/WP.29/GRVA/2018/5</dc:title>
  <dc:subject/>
  <dc:creator>Annie BEAUNEE</dc:creator>
  <cp:keywords/>
  <cp:lastModifiedBy>Benedicte Boudol</cp:lastModifiedBy>
  <cp:revision>2</cp:revision>
  <cp:lastPrinted>2018-08-10T07:25:00Z</cp:lastPrinted>
  <dcterms:created xsi:type="dcterms:W3CDTF">2018-08-10T08:13:00Z</dcterms:created>
  <dcterms:modified xsi:type="dcterms:W3CDTF">2018-08-10T08:13:00Z</dcterms:modified>
</cp:coreProperties>
</file>