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4D3869">
            <w:pPr>
              <w:jc w:val="right"/>
            </w:pPr>
            <w:r w:rsidRPr="003F64DC">
              <w:rPr>
                <w:sz w:val="40"/>
              </w:rPr>
              <w:t>ECE</w:t>
            </w:r>
            <w:r w:rsidR="00146CA7">
              <w:t>/TRANS/WP.29/GRSP/201</w:t>
            </w:r>
            <w:r w:rsidR="00F02310">
              <w:t>8</w:t>
            </w:r>
            <w:r w:rsidR="00146CA7">
              <w:t>/</w:t>
            </w:r>
            <w:r w:rsidR="00A16B58">
              <w:t>33</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5024E1" w:rsidP="003F64DC">
            <w:pPr>
              <w:spacing w:before="120"/>
            </w:pPr>
            <w:r>
              <w:rPr>
                <w:noProof/>
                <w:lang w:eastAsia="zh-CN"/>
              </w:rPr>
              <w:drawing>
                <wp:inline distT="0" distB="0" distL="0" distR="0">
                  <wp:extent cx="715645" cy="596265"/>
                  <wp:effectExtent l="0" t="0" r="825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2078CE" w:rsidP="003F64DC">
            <w:pPr>
              <w:spacing w:line="240" w:lineRule="exact"/>
            </w:pPr>
            <w:r>
              <w:t>27</w:t>
            </w:r>
            <w:r w:rsidR="00813193">
              <w:t xml:space="preserve"> </w:t>
            </w:r>
            <w:r w:rsidR="00851EC0">
              <w:t>September</w:t>
            </w:r>
            <w:r w:rsidR="00813193">
              <w:t xml:space="preserve"> </w:t>
            </w:r>
            <w:r w:rsidR="005030D4">
              <w:t>201</w:t>
            </w:r>
            <w:r w:rsidR="00561CCD">
              <w:t>8</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82B10" w:rsidRDefault="004B585F" w:rsidP="00C82B10">
      <w:pPr>
        <w:spacing w:before="120"/>
        <w:rPr>
          <w:b/>
        </w:rPr>
      </w:pPr>
      <w:r>
        <w:rPr>
          <w:b/>
        </w:rPr>
        <w:t>Sixty-</w:t>
      </w:r>
      <w:r w:rsidR="000B5122">
        <w:rPr>
          <w:b/>
        </w:rPr>
        <w:t>fourth</w:t>
      </w:r>
      <w:r w:rsidR="00C82B10" w:rsidRPr="00522F4F">
        <w:rPr>
          <w:b/>
        </w:rPr>
        <w:t xml:space="preserve"> </w:t>
      </w:r>
      <w:r w:rsidR="00C82B10" w:rsidRPr="00182290">
        <w:rPr>
          <w:b/>
        </w:rPr>
        <w:t>session</w:t>
      </w:r>
    </w:p>
    <w:p w:rsidR="0067362F" w:rsidRDefault="00C82B10" w:rsidP="00C82B10">
      <w:r>
        <w:t xml:space="preserve">Geneva, </w:t>
      </w:r>
      <w:r w:rsidR="00B936EB">
        <w:t>1</w:t>
      </w:r>
      <w:r w:rsidR="004D3869">
        <w:t>1</w:t>
      </w:r>
      <w:r>
        <w:t>-1</w:t>
      </w:r>
      <w:r w:rsidR="004D3869">
        <w:t>4</w:t>
      </w:r>
      <w:r>
        <w:t xml:space="preserve"> </w:t>
      </w:r>
      <w:r w:rsidR="004D3869">
        <w:t>Dec</w:t>
      </w:r>
      <w:r w:rsidR="00E17D8F">
        <w:t>e</w:t>
      </w:r>
      <w:r w:rsidR="004D3869">
        <w:t>mber</w:t>
      </w:r>
      <w:r>
        <w:t xml:space="preserve"> 201</w:t>
      </w:r>
      <w:r w:rsidR="00561CCD">
        <w:t>8</w:t>
      </w:r>
    </w:p>
    <w:p w:rsidR="00B53C21" w:rsidRDefault="005030D4" w:rsidP="00C96DF2">
      <w:r>
        <w:t xml:space="preserve">Item </w:t>
      </w:r>
      <w:r w:rsidR="00851EC0">
        <w:t>19</w:t>
      </w:r>
      <w:r w:rsidR="00915EF6">
        <w:t xml:space="preserve"> of the provisional agenda</w:t>
      </w:r>
    </w:p>
    <w:p w:rsidR="005030D4" w:rsidRDefault="00FF3040" w:rsidP="005030D4">
      <w:r>
        <w:rPr>
          <w:b/>
        </w:rPr>
        <w:t xml:space="preserve">UN </w:t>
      </w:r>
      <w:r w:rsidR="005030D4">
        <w:rPr>
          <w:b/>
        </w:rPr>
        <w:t>R</w:t>
      </w:r>
      <w:r w:rsidR="005030D4" w:rsidRPr="00CE1F80">
        <w:rPr>
          <w:b/>
        </w:rPr>
        <w:t>egulation</w:t>
      </w:r>
      <w:r w:rsidR="005030D4">
        <w:rPr>
          <w:b/>
        </w:rPr>
        <w:t xml:space="preserve"> No. </w:t>
      </w:r>
      <w:r w:rsidR="004D3869">
        <w:rPr>
          <w:b/>
        </w:rPr>
        <w:t>129</w:t>
      </w:r>
      <w:r w:rsidR="005030D4">
        <w:rPr>
          <w:b/>
        </w:rPr>
        <w:t xml:space="preserve"> (</w:t>
      </w:r>
      <w:r w:rsidR="00C6446A">
        <w:rPr>
          <w:b/>
        </w:rPr>
        <w:t>Enhanced Child Restraint S</w:t>
      </w:r>
      <w:r w:rsidR="00AB7887">
        <w:rPr>
          <w:b/>
        </w:rPr>
        <w:t>ystems</w:t>
      </w:r>
      <w:r w:rsidR="005030D4">
        <w:rPr>
          <w:b/>
        </w:rPr>
        <w:t>)</w:t>
      </w:r>
    </w:p>
    <w:p w:rsidR="005030D4" w:rsidRDefault="00B61287" w:rsidP="00AF37FD">
      <w:pPr>
        <w:pStyle w:val="HChG"/>
      </w:pPr>
      <w:r>
        <w:tab/>
      </w:r>
      <w:r>
        <w:tab/>
        <w:t>Proposal for</w:t>
      </w:r>
      <w:r w:rsidR="007E785B">
        <w:t xml:space="preserve"> </w:t>
      </w:r>
      <w:r w:rsidR="00B63809">
        <w:t>a S</w:t>
      </w:r>
      <w:r w:rsidR="00E769E1">
        <w:t>upplement</w:t>
      </w:r>
      <w:r w:rsidR="00B63809">
        <w:t xml:space="preserve"> 2</w:t>
      </w:r>
      <w:r w:rsidR="00E769E1">
        <w:t xml:space="preserve"> </w:t>
      </w:r>
      <w:r w:rsidR="00A36ADD">
        <w:t>t</w:t>
      </w:r>
      <w:r w:rsidR="00E769E1">
        <w:t xml:space="preserve">o </w:t>
      </w:r>
      <w:r>
        <w:t>the 0</w:t>
      </w:r>
      <w:r w:rsidR="00B63809">
        <w:t>3</w:t>
      </w:r>
      <w:r>
        <w:t xml:space="preserve"> series of amendments to </w:t>
      </w:r>
      <w:r w:rsidR="00FF3040">
        <w:t xml:space="preserve">UN </w:t>
      </w:r>
      <w:r w:rsidR="00AB7887">
        <w:t>Regulation N</w:t>
      </w:r>
      <w:r w:rsidR="005030D4">
        <w:t>o.</w:t>
      </w:r>
      <w:r w:rsidR="00197585">
        <w:t xml:space="preserve"> </w:t>
      </w:r>
      <w:r w:rsidR="004D3869">
        <w:t>129</w:t>
      </w:r>
      <w:r w:rsidR="005030D4">
        <w:t xml:space="preserve"> (</w:t>
      </w:r>
      <w:r w:rsidR="004D3869">
        <w:t>Enhanced c</w:t>
      </w:r>
      <w:r w:rsidR="00AB7887">
        <w:t xml:space="preserve">hild </w:t>
      </w:r>
      <w:r w:rsidR="00FF3040">
        <w:t>r</w:t>
      </w:r>
      <w:r w:rsidR="00AB7887">
        <w:t xml:space="preserve">estraint </w:t>
      </w:r>
      <w:r w:rsidR="00FF3040">
        <w:t>s</w:t>
      </w:r>
      <w:r w:rsidR="00AB7887">
        <w:t>ystems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F02310" w:rsidRPr="00F3305B">
        <w:rPr>
          <w:rStyle w:val="FootnoteReference"/>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08086D">
        <w:t xml:space="preserve">aiming to </w:t>
      </w:r>
      <w:r w:rsidR="00ED2932">
        <w:t>a</w:t>
      </w:r>
      <w:r w:rsidR="00C85F47">
        <w:t>chieve</w:t>
      </w:r>
      <w:r w:rsidR="00ED2932">
        <w:t xml:space="preserve"> </w:t>
      </w:r>
      <w:r w:rsidR="00C85F47">
        <w:t xml:space="preserve">a proper legalized </w:t>
      </w:r>
      <w:r w:rsidR="00ED2932">
        <w:t xml:space="preserve">use of not permanently fixed </w:t>
      </w:r>
      <w:r w:rsidR="00C85F47">
        <w:t>inserts</w:t>
      </w:r>
      <w:r w:rsidR="005520C1">
        <w:rPr>
          <w:lang w:val="en-US"/>
        </w:rPr>
        <w:t xml:space="preserve"> </w:t>
      </w:r>
      <w:r w:rsidR="00734385">
        <w:rPr>
          <w:lang w:val="en-US"/>
        </w:rPr>
        <w:t>in</w:t>
      </w:r>
      <w:r w:rsidR="002644FD">
        <w:rPr>
          <w:lang w:val="en-US"/>
        </w:rPr>
        <w:t xml:space="preserve"> UN </w:t>
      </w:r>
      <w:r w:rsidR="00AB7887">
        <w:rPr>
          <w:lang w:val="en-US"/>
        </w:rPr>
        <w:t>Reg</w:t>
      </w:r>
      <w:r w:rsidR="002644FD">
        <w:rPr>
          <w:lang w:val="en-US"/>
        </w:rPr>
        <w:t xml:space="preserve">ulation No. </w:t>
      </w:r>
      <w:r w:rsidR="004D3869">
        <w:rPr>
          <w:lang w:val="en-US"/>
        </w:rPr>
        <w:t>129</w:t>
      </w:r>
      <w:r w:rsidR="0038184B" w:rsidRPr="0038184B">
        <w:rPr>
          <w:lang w:val="en-US"/>
        </w:rPr>
        <w:t>.</w:t>
      </w:r>
      <w:r w:rsidR="00A36ADD">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25326F" w:rsidRPr="00DB1937" w:rsidRDefault="005030D4" w:rsidP="0025326F">
      <w:pPr>
        <w:pStyle w:val="HChG"/>
        <w:rPr>
          <w:lang w:val="en-US"/>
        </w:rPr>
      </w:pPr>
      <w:r>
        <w:br w:type="page"/>
      </w:r>
      <w:r w:rsidR="0095173D">
        <w:lastRenderedPageBreak/>
        <w:tab/>
      </w:r>
      <w:r w:rsidR="0025326F">
        <w:t>I.</w:t>
      </w:r>
      <w:r w:rsidR="0025326F">
        <w:tab/>
        <w:t>Proposal</w:t>
      </w:r>
    </w:p>
    <w:p w:rsidR="0025326F" w:rsidRDefault="0025326F" w:rsidP="0025326F">
      <w:pPr>
        <w:pStyle w:val="SingleTxtG"/>
        <w:ind w:left="2268" w:hanging="1134"/>
        <w:rPr>
          <w:lang w:val="en-US"/>
        </w:rPr>
      </w:pPr>
      <w:r>
        <w:rPr>
          <w:i/>
          <w:lang w:val="en-US"/>
        </w:rPr>
        <w:t>Insert a new p</w:t>
      </w:r>
      <w:r w:rsidRPr="002542B6">
        <w:rPr>
          <w:i/>
          <w:lang w:val="en-US"/>
        </w:rPr>
        <w:t xml:space="preserve">aragraph </w:t>
      </w:r>
      <w:r w:rsidR="000B5122">
        <w:rPr>
          <w:i/>
          <w:lang w:val="en-US"/>
        </w:rPr>
        <w:t>2.62</w:t>
      </w:r>
      <w:r>
        <w:rPr>
          <w:i/>
          <w:lang w:val="en-US"/>
        </w:rPr>
        <w:t>.</w:t>
      </w:r>
      <w:r w:rsidR="000B5122">
        <w:rPr>
          <w:i/>
          <w:lang w:val="en-US"/>
        </w:rPr>
        <w:t>,</w:t>
      </w:r>
      <w:r w:rsidRPr="0086097E">
        <w:rPr>
          <w:lang w:val="en-US"/>
        </w:rPr>
        <w:t xml:space="preserve"> to read:</w:t>
      </w:r>
    </w:p>
    <w:p w:rsidR="0025326F" w:rsidRDefault="000B5122" w:rsidP="0025326F">
      <w:pPr>
        <w:suppressAutoHyphens w:val="0"/>
        <w:autoSpaceDE w:val="0"/>
        <w:autoSpaceDN w:val="0"/>
        <w:adjustRightInd w:val="0"/>
        <w:spacing w:after="120" w:line="240" w:lineRule="auto"/>
        <w:ind w:left="2268" w:right="1134" w:hanging="1134"/>
        <w:jc w:val="both"/>
        <w:rPr>
          <w:b/>
          <w:lang w:val="en-US"/>
        </w:rPr>
      </w:pPr>
      <w:r>
        <w:rPr>
          <w:lang w:val="en-US"/>
        </w:rPr>
        <w:t>"</w:t>
      </w:r>
      <w:r>
        <w:rPr>
          <w:b/>
          <w:lang w:val="en-US"/>
        </w:rPr>
        <w:t>2.62</w:t>
      </w:r>
      <w:r w:rsidR="0025326F" w:rsidRPr="00292346">
        <w:rPr>
          <w:b/>
          <w:lang w:val="en-US"/>
        </w:rPr>
        <w:t>.</w:t>
      </w:r>
      <w:r w:rsidR="0025326F" w:rsidRPr="006D68C1">
        <w:rPr>
          <w:lang w:val="en-US"/>
        </w:rPr>
        <w:tab/>
      </w:r>
      <w:r>
        <w:rPr>
          <w:b/>
          <w:lang w:val="en-US"/>
        </w:rPr>
        <w:t>"</w:t>
      </w:r>
      <w:r w:rsidR="0025326F">
        <w:rPr>
          <w:b/>
          <w:lang w:val="en-US"/>
        </w:rPr>
        <w:t>Insert</w:t>
      </w:r>
      <w:r>
        <w:rPr>
          <w:b/>
          <w:lang w:val="en-US"/>
        </w:rPr>
        <w:t>"</w:t>
      </w:r>
      <w:r w:rsidR="0025326F">
        <w:rPr>
          <w:b/>
          <w:lang w:val="en-US"/>
        </w:rPr>
        <w:t xml:space="preserve"> means a part of an ECRS that provides additional support to a child and is an essential means to comply with all requirements for the entire or a part of the declared stature range.</w:t>
      </w:r>
      <w:r>
        <w:rPr>
          <w:lang w:val="en-US"/>
        </w:rPr>
        <w:t>"</w:t>
      </w:r>
      <w:r w:rsidR="0025326F">
        <w:rPr>
          <w:b/>
          <w:lang w:val="en-US"/>
        </w:rPr>
        <w:t xml:space="preserve"> </w:t>
      </w:r>
    </w:p>
    <w:p w:rsidR="0025326F" w:rsidRDefault="000B5122" w:rsidP="0025326F">
      <w:pPr>
        <w:pStyle w:val="SingleTxtG"/>
        <w:ind w:left="2268" w:hanging="1134"/>
        <w:rPr>
          <w:lang w:val="en-US"/>
        </w:rPr>
      </w:pPr>
      <w:r>
        <w:rPr>
          <w:i/>
          <w:lang w:val="en-US"/>
        </w:rPr>
        <w:t>Paragraph 4.9.</w:t>
      </w:r>
      <w:r w:rsidR="0025326F" w:rsidRPr="0086097E">
        <w:rPr>
          <w:lang w:val="en-US"/>
        </w:rPr>
        <w:t>, amend to read:</w:t>
      </w:r>
    </w:p>
    <w:p w:rsidR="0025326F" w:rsidRDefault="000B5122" w:rsidP="0025326F">
      <w:pPr>
        <w:suppressAutoHyphens w:val="0"/>
        <w:autoSpaceDE w:val="0"/>
        <w:autoSpaceDN w:val="0"/>
        <w:adjustRightInd w:val="0"/>
        <w:spacing w:after="120" w:line="240" w:lineRule="auto"/>
        <w:ind w:left="2268" w:right="1134" w:hanging="1134"/>
        <w:jc w:val="both"/>
        <w:rPr>
          <w:b/>
          <w:lang w:val="en-US"/>
        </w:rPr>
      </w:pPr>
      <w:r>
        <w:rPr>
          <w:lang w:val="en-US"/>
        </w:rPr>
        <w:t>"</w:t>
      </w:r>
      <w:r w:rsidR="0025326F">
        <w:rPr>
          <w:lang w:val="en-US"/>
        </w:rPr>
        <w:t>4.9.</w:t>
      </w:r>
      <w:r w:rsidR="0025326F" w:rsidRPr="006D68C1">
        <w:rPr>
          <w:lang w:val="en-US"/>
        </w:rPr>
        <w:tab/>
      </w:r>
      <w:r w:rsidR="0025326F" w:rsidRPr="005A0296">
        <w:rPr>
          <w:lang w:val="en-US"/>
        </w:rPr>
        <w:t>An impact shield that is not permanently attached to the seat</w:t>
      </w:r>
      <w:r w:rsidR="0025326F" w:rsidRPr="005A0296">
        <w:rPr>
          <w:b/>
          <w:lang w:val="en-US"/>
        </w:rPr>
        <w:t xml:space="preserve"> </w:t>
      </w:r>
      <w:r w:rsidR="0025326F">
        <w:rPr>
          <w:b/>
          <w:lang w:val="en-US"/>
        </w:rPr>
        <w:t xml:space="preserve">and a removable insert, </w:t>
      </w:r>
      <w:r w:rsidR="0025326F" w:rsidRPr="005A0296">
        <w:rPr>
          <w:lang w:val="en-US"/>
        </w:rPr>
        <w:t xml:space="preserve">shall have a permanently attached label to indicate the brand and model of the Enhanced Child </w:t>
      </w:r>
      <w:r w:rsidR="0025326F" w:rsidRPr="00055B92">
        <w:rPr>
          <w:lang w:val="en-US"/>
        </w:rPr>
        <w:t>Restraint System to which it belongs and the size range. The minimum size of the label shall be 40 x 40 mm or the equivalent area.</w:t>
      </w:r>
      <w:r>
        <w:rPr>
          <w:lang w:val="en-US"/>
        </w:rPr>
        <w:t>"</w:t>
      </w:r>
      <w:r w:rsidR="0025326F">
        <w:rPr>
          <w:b/>
          <w:lang w:val="en-US"/>
        </w:rPr>
        <w:t xml:space="preserve"> </w:t>
      </w:r>
    </w:p>
    <w:p w:rsidR="0025326F" w:rsidRDefault="0025326F" w:rsidP="0025326F">
      <w:pPr>
        <w:pStyle w:val="SingleTxtG"/>
        <w:ind w:left="2268" w:hanging="1134"/>
        <w:rPr>
          <w:lang w:val="en-US"/>
        </w:rPr>
      </w:pPr>
      <w:r>
        <w:rPr>
          <w:i/>
          <w:lang w:val="en-US"/>
        </w:rPr>
        <w:t>Paragraph 6.2.1.1.</w:t>
      </w:r>
      <w:r w:rsidRPr="0086097E">
        <w:rPr>
          <w:lang w:val="en-US"/>
        </w:rPr>
        <w:t>, amend to read:</w:t>
      </w:r>
    </w:p>
    <w:p w:rsidR="0025326F" w:rsidRDefault="000B5122" w:rsidP="0025326F">
      <w:pPr>
        <w:suppressAutoHyphens w:val="0"/>
        <w:autoSpaceDE w:val="0"/>
        <w:autoSpaceDN w:val="0"/>
        <w:adjustRightInd w:val="0"/>
        <w:spacing w:after="120" w:line="240" w:lineRule="auto"/>
        <w:ind w:left="2268" w:right="1134" w:hanging="1134"/>
        <w:jc w:val="both"/>
        <w:rPr>
          <w:lang w:val="en-US"/>
        </w:rPr>
      </w:pPr>
      <w:r>
        <w:rPr>
          <w:lang w:val="en-US"/>
        </w:rPr>
        <w:t>"</w:t>
      </w:r>
      <w:r w:rsidR="0025326F">
        <w:rPr>
          <w:lang w:val="en-US"/>
        </w:rPr>
        <w:t>6.2.1.1.</w:t>
      </w:r>
      <w:r w:rsidR="0025326F" w:rsidRPr="006D68C1">
        <w:rPr>
          <w:lang w:val="en-US"/>
        </w:rPr>
        <w:tab/>
      </w:r>
      <w:r w:rsidR="0025326F">
        <w:rPr>
          <w:lang w:val="en-US"/>
        </w:rPr>
        <w:t>The</w:t>
      </w:r>
      <w:r w:rsidR="0025326F" w:rsidRPr="00055B92">
        <w:rPr>
          <w:lang w:val="en-US"/>
        </w:rPr>
        <w:t xml:space="preserve"> restraint of the child shall give the required protection in any position specified for the Enhanced Child Restraint System</w:t>
      </w:r>
      <w:r w:rsidR="0025326F">
        <w:rPr>
          <w:lang w:val="en-US"/>
        </w:rPr>
        <w:t>;</w:t>
      </w:r>
    </w:p>
    <w:p w:rsidR="0025326F" w:rsidRPr="00992E85" w:rsidRDefault="00725195" w:rsidP="0025326F">
      <w:pPr>
        <w:suppressAutoHyphens w:val="0"/>
        <w:autoSpaceDE w:val="0"/>
        <w:autoSpaceDN w:val="0"/>
        <w:adjustRightInd w:val="0"/>
        <w:spacing w:after="120" w:line="240" w:lineRule="auto"/>
        <w:ind w:left="2268" w:right="1134"/>
        <w:jc w:val="both"/>
        <w:rPr>
          <w:b/>
          <w:lang w:val="en-US"/>
        </w:rPr>
      </w:pPr>
      <w:r>
        <w:rPr>
          <w:b/>
          <w:lang w:val="en-US"/>
        </w:rPr>
        <w:t xml:space="preserve">For Enhanced </w:t>
      </w:r>
      <w:r w:rsidR="001E59C4">
        <w:rPr>
          <w:b/>
          <w:lang w:val="en-US"/>
        </w:rPr>
        <w:t>Child Restraint S</w:t>
      </w:r>
      <w:r w:rsidR="0025326F" w:rsidRPr="00F8386C">
        <w:rPr>
          <w:b/>
          <w:lang w:val="en-US"/>
        </w:rPr>
        <w:t>ystems that make use of removable inserts</w:t>
      </w:r>
      <w:r w:rsidR="0025326F">
        <w:rPr>
          <w:b/>
          <w:lang w:val="en-US"/>
        </w:rPr>
        <w:t>, for complying with all requirements for a declared stature</w:t>
      </w:r>
      <w:r w:rsidR="0025326F" w:rsidRPr="00F8386C">
        <w:rPr>
          <w:b/>
          <w:lang w:val="en-US"/>
        </w:rPr>
        <w:t xml:space="preserve"> the appropriate insert</w:t>
      </w:r>
      <w:r w:rsidR="0025326F">
        <w:rPr>
          <w:b/>
          <w:lang w:val="en-US"/>
        </w:rPr>
        <w:t xml:space="preserve"> shall</w:t>
      </w:r>
      <w:r w:rsidR="0025326F" w:rsidRPr="00F8386C">
        <w:rPr>
          <w:b/>
          <w:lang w:val="en-US"/>
        </w:rPr>
        <w:t xml:space="preserve"> be </w:t>
      </w:r>
      <w:r w:rsidR="0025326F">
        <w:rPr>
          <w:b/>
          <w:lang w:val="en-US"/>
        </w:rPr>
        <w:t xml:space="preserve">single and </w:t>
      </w:r>
      <w:r w:rsidR="0025326F" w:rsidRPr="00F8386C">
        <w:rPr>
          <w:b/>
          <w:lang w:val="en-US"/>
        </w:rPr>
        <w:t>of one piece</w:t>
      </w:r>
      <w:r w:rsidR="001E59C4">
        <w:rPr>
          <w:b/>
          <w:lang w:val="en-US"/>
        </w:rPr>
        <w:t>,</w:t>
      </w:r>
      <w:r w:rsidR="0025326F">
        <w:rPr>
          <w:b/>
          <w:bCs/>
          <w:lang w:val="en-US"/>
        </w:rPr>
        <w:t xml:space="preserve"> accumulation of different parts is not allowed</w:t>
      </w:r>
      <w:r w:rsidR="007B7C70">
        <w:rPr>
          <w:b/>
          <w:bCs/>
          <w:lang w:val="en-US"/>
        </w:rPr>
        <w:t xml:space="preserve"> [no sarcophagus constructions with inserts]</w:t>
      </w:r>
      <w:r w:rsidR="0025326F">
        <w:rPr>
          <w:b/>
          <w:bCs/>
          <w:lang w:val="en-US"/>
        </w:rPr>
        <w:t>.</w:t>
      </w:r>
      <w:r w:rsidR="0025326F">
        <w:rPr>
          <w:b/>
          <w:lang w:val="en-US"/>
        </w:rPr>
        <w:t xml:space="preserve"> </w:t>
      </w:r>
    </w:p>
    <w:p w:rsidR="0025326F" w:rsidRDefault="0025326F" w:rsidP="0025326F">
      <w:pPr>
        <w:suppressAutoHyphens w:val="0"/>
        <w:autoSpaceDE w:val="0"/>
        <w:autoSpaceDN w:val="0"/>
        <w:adjustRightInd w:val="0"/>
        <w:spacing w:after="120" w:line="240" w:lineRule="auto"/>
        <w:ind w:left="2268" w:right="1134"/>
        <w:jc w:val="both"/>
        <w:rPr>
          <w:lang w:val="en-US"/>
        </w:rPr>
      </w:pPr>
      <w:r w:rsidRPr="00055B92">
        <w:rPr>
          <w:lang w:val="en-US"/>
        </w:rPr>
        <w:t>For</w:t>
      </w:r>
      <w:r>
        <w:rPr>
          <w:lang w:val="en-US"/>
        </w:rPr>
        <w:t xml:space="preserve"> </w:t>
      </w:r>
      <w:r w:rsidR="000B5122">
        <w:rPr>
          <w:lang w:val="en-US"/>
        </w:rPr>
        <w:t>"</w:t>
      </w:r>
      <w:r w:rsidRPr="00055B92">
        <w:rPr>
          <w:lang w:val="en-US"/>
        </w:rPr>
        <w:t>Special Needs Restraints</w:t>
      </w:r>
      <w:r w:rsidR="000B5122">
        <w:rPr>
          <w:lang w:val="en-US"/>
        </w:rPr>
        <w:t>"</w:t>
      </w:r>
      <w:r w:rsidRPr="00055B92">
        <w:rPr>
          <w:lang w:val="en-US"/>
        </w:rPr>
        <w:t xml:space="preserve"> the primary means of restraint shall give the required protection in any intended position of the Enhanced Child Restraint System without the use of the additional restraining devices which may be present;</w:t>
      </w:r>
      <w:r w:rsidR="000B5122">
        <w:rPr>
          <w:lang w:val="en-US"/>
        </w:rPr>
        <w:t>"</w:t>
      </w:r>
    </w:p>
    <w:p w:rsidR="0025326F" w:rsidRDefault="0025326F" w:rsidP="0025326F">
      <w:pPr>
        <w:pStyle w:val="HChG"/>
        <w:rPr>
          <w:snapToGrid w:val="0"/>
          <w:lang w:eastAsia="ja-JP"/>
        </w:rPr>
      </w:pPr>
      <w:r>
        <w:rPr>
          <w:snapToGrid w:val="0"/>
          <w:lang w:eastAsia="ja-JP"/>
        </w:rPr>
        <w:tab/>
        <w:t>II.</w:t>
      </w:r>
      <w:r>
        <w:rPr>
          <w:snapToGrid w:val="0"/>
          <w:lang w:eastAsia="ja-JP"/>
        </w:rPr>
        <w:tab/>
      </w:r>
      <w:r w:rsidRPr="00AF37FD">
        <w:t>Justification</w:t>
      </w:r>
    </w:p>
    <w:p w:rsidR="0025326F" w:rsidRDefault="00F63172" w:rsidP="00F63172">
      <w:pPr>
        <w:pStyle w:val="SingleTxtG"/>
        <w:rPr>
          <w:lang w:val="en-US"/>
        </w:rPr>
      </w:pPr>
      <w:r>
        <w:rPr>
          <w:lang w:val="en-US"/>
        </w:rPr>
        <w:t>1.</w:t>
      </w:r>
      <w:r>
        <w:rPr>
          <w:lang w:val="en-US"/>
        </w:rPr>
        <w:tab/>
      </w:r>
      <w:r w:rsidR="0025326F" w:rsidRPr="002F5C63">
        <w:rPr>
          <w:lang w:val="en-US"/>
        </w:rPr>
        <w:t>In</w:t>
      </w:r>
      <w:r w:rsidR="0025326F">
        <w:rPr>
          <w:lang w:val="en-US"/>
        </w:rPr>
        <w:t>serts are essentia</w:t>
      </w:r>
      <w:r w:rsidR="001E59C4">
        <w:rPr>
          <w:lang w:val="en-US"/>
        </w:rPr>
        <w:t>l in case of Enhanced Child Restraint S</w:t>
      </w:r>
      <w:r w:rsidR="0025326F">
        <w:rPr>
          <w:lang w:val="en-US"/>
        </w:rPr>
        <w:t xml:space="preserve">ystems </w:t>
      </w:r>
      <w:r w:rsidR="001E59C4">
        <w:rPr>
          <w:lang w:val="en-US"/>
        </w:rPr>
        <w:t xml:space="preserve">(ECRS) </w:t>
      </w:r>
      <w:r w:rsidR="0025326F">
        <w:rPr>
          <w:lang w:val="en-US"/>
        </w:rPr>
        <w:t xml:space="preserve">having a wider declared size range, because they play a decisive role in fulfilling the requirements concerning a.o. internal geometric measurements, impact tests and the overturning test. </w:t>
      </w:r>
    </w:p>
    <w:p w:rsidR="0025326F" w:rsidRDefault="00F63172" w:rsidP="00F63172">
      <w:pPr>
        <w:pStyle w:val="SingleTxtG"/>
        <w:rPr>
          <w:lang w:val="en-US"/>
        </w:rPr>
      </w:pPr>
      <w:r>
        <w:rPr>
          <w:lang w:val="en-US"/>
        </w:rPr>
        <w:t>2.</w:t>
      </w:r>
      <w:r>
        <w:rPr>
          <w:lang w:val="en-US"/>
        </w:rPr>
        <w:tab/>
      </w:r>
      <w:r w:rsidR="0025326F" w:rsidRPr="00EC3A72">
        <w:rPr>
          <w:lang w:val="en-US"/>
        </w:rPr>
        <w:t xml:space="preserve">Inserts that are removable and unidentified, can easily be the cause of misuse and in the worst case </w:t>
      </w:r>
      <w:r w:rsidR="0025326F">
        <w:rPr>
          <w:lang w:val="en-US"/>
        </w:rPr>
        <w:t xml:space="preserve">lead to a </w:t>
      </w:r>
      <w:r w:rsidR="0025326F" w:rsidRPr="00EC3A72">
        <w:rPr>
          <w:lang w:val="en-US"/>
        </w:rPr>
        <w:t xml:space="preserve">child becoming a flying object </w:t>
      </w:r>
      <w:r w:rsidR="0025326F">
        <w:rPr>
          <w:lang w:val="en-US"/>
        </w:rPr>
        <w:t>during</w:t>
      </w:r>
      <w:r w:rsidR="0025326F" w:rsidRPr="00EC3A72">
        <w:rPr>
          <w:lang w:val="en-US"/>
        </w:rPr>
        <w:t xml:space="preserve"> an impact.</w:t>
      </w:r>
    </w:p>
    <w:p w:rsidR="0025326F" w:rsidRDefault="00F63172" w:rsidP="00F63172">
      <w:pPr>
        <w:pStyle w:val="SingleTxtG"/>
        <w:rPr>
          <w:lang w:val="en-US"/>
        </w:rPr>
      </w:pPr>
      <w:r>
        <w:rPr>
          <w:lang w:val="en-US"/>
        </w:rPr>
        <w:t>3.</w:t>
      </w:r>
      <w:r>
        <w:rPr>
          <w:lang w:val="en-US"/>
        </w:rPr>
        <w:tab/>
      </w:r>
      <w:r w:rsidR="0025326F">
        <w:rPr>
          <w:lang w:val="en-US"/>
        </w:rPr>
        <w:t xml:space="preserve">A declared size range marked </w:t>
      </w:r>
      <w:r w:rsidR="00D07A49">
        <w:rPr>
          <w:lang w:val="en-US"/>
        </w:rPr>
        <w:t xml:space="preserve">only </w:t>
      </w:r>
      <w:r w:rsidR="0025326F">
        <w:rPr>
          <w:lang w:val="en-US"/>
        </w:rPr>
        <w:t>on the outer shell of a</w:t>
      </w:r>
      <w:r w:rsidR="001E59C4">
        <w:rPr>
          <w:lang w:val="en-US"/>
        </w:rPr>
        <w:t xml:space="preserve"> ECRS</w:t>
      </w:r>
      <w:r w:rsidR="000B5122">
        <w:rPr>
          <w:lang w:val="en-US"/>
        </w:rPr>
        <w:t xml:space="preserve"> </w:t>
      </w:r>
      <w:r w:rsidR="00B90EC0">
        <w:rPr>
          <w:lang w:val="en-US"/>
        </w:rPr>
        <w:t xml:space="preserve">with </w:t>
      </w:r>
      <w:r w:rsidR="0025326F">
        <w:rPr>
          <w:lang w:val="en-US"/>
        </w:rPr>
        <w:t>removable inserts can lead to misuse</w:t>
      </w:r>
      <w:r w:rsidR="005C1623">
        <w:rPr>
          <w:lang w:val="en-US"/>
        </w:rPr>
        <w:t>. T</w:t>
      </w:r>
      <w:r w:rsidR="0025326F">
        <w:rPr>
          <w:lang w:val="en-US"/>
        </w:rPr>
        <w:t>herefore</w:t>
      </w:r>
      <w:r w:rsidR="000B5122">
        <w:rPr>
          <w:lang w:val="en-US"/>
        </w:rPr>
        <w:t>,</w:t>
      </w:r>
      <w:r w:rsidR="0025326F">
        <w:rPr>
          <w:lang w:val="en-US"/>
        </w:rPr>
        <w:t xml:space="preserve"> in terms of </w:t>
      </w:r>
      <w:r w:rsidR="00B90EC0">
        <w:rPr>
          <w:lang w:val="en-US"/>
        </w:rPr>
        <w:t>g</w:t>
      </w:r>
      <w:r w:rsidR="0025326F">
        <w:rPr>
          <w:lang w:val="en-US"/>
        </w:rPr>
        <w:t xml:space="preserve">eneral </w:t>
      </w:r>
      <w:r w:rsidR="00B90EC0">
        <w:rPr>
          <w:lang w:val="en-US"/>
        </w:rPr>
        <w:t>p</w:t>
      </w:r>
      <w:r w:rsidR="0025326F">
        <w:rPr>
          <w:lang w:val="en-US"/>
        </w:rPr>
        <w:t xml:space="preserve">roduct </w:t>
      </w:r>
      <w:r w:rsidR="00B90EC0">
        <w:rPr>
          <w:lang w:val="en-US"/>
        </w:rPr>
        <w:t>s</w:t>
      </w:r>
      <w:r w:rsidR="0025326F">
        <w:rPr>
          <w:lang w:val="en-US"/>
        </w:rPr>
        <w:t xml:space="preserve">afety </w:t>
      </w:r>
      <w:r w:rsidR="00B90EC0">
        <w:rPr>
          <w:lang w:val="en-US"/>
        </w:rPr>
        <w:t xml:space="preserve">for consumers </w:t>
      </w:r>
      <w:r w:rsidR="0025326F">
        <w:rPr>
          <w:lang w:val="en-US"/>
        </w:rPr>
        <w:t xml:space="preserve">the right information on the appropriate insert </w:t>
      </w:r>
      <w:r w:rsidR="00B90EC0">
        <w:rPr>
          <w:lang w:val="en-US"/>
        </w:rPr>
        <w:t>will help</w:t>
      </w:r>
      <w:r w:rsidR="0025326F">
        <w:rPr>
          <w:lang w:val="en-US"/>
        </w:rPr>
        <w:t xml:space="preserve"> to prevent not intended use by the consumer</w:t>
      </w:r>
      <w:r w:rsidR="005C1623">
        <w:rPr>
          <w:lang w:val="en-US"/>
        </w:rPr>
        <w:t xml:space="preserve"> and it will also help when ordering lost </w:t>
      </w:r>
      <w:r w:rsidR="002564DE">
        <w:rPr>
          <w:lang w:val="en-US"/>
        </w:rPr>
        <w:t>(or worn out) inserts.</w:t>
      </w:r>
    </w:p>
    <w:p w:rsidR="0025326F" w:rsidRDefault="00F63172" w:rsidP="00F63172">
      <w:pPr>
        <w:pStyle w:val="SingleTxtG"/>
        <w:rPr>
          <w:lang w:val="en-US"/>
        </w:rPr>
      </w:pPr>
      <w:r>
        <w:rPr>
          <w:lang w:val="en-US"/>
        </w:rPr>
        <w:t>4.</w:t>
      </w:r>
      <w:r>
        <w:rPr>
          <w:lang w:val="en-US"/>
        </w:rPr>
        <w:tab/>
      </w:r>
      <w:r w:rsidR="0025326F">
        <w:rPr>
          <w:lang w:val="en-US"/>
        </w:rPr>
        <w:t>This problem is already acknowledged where it concerns impact shields that are not permanently attached. T</w:t>
      </w:r>
      <w:r w:rsidR="0025326F" w:rsidRPr="00EC3A72">
        <w:rPr>
          <w:lang w:val="en-US"/>
        </w:rPr>
        <w:t>he</w:t>
      </w:r>
      <w:r w:rsidR="0025326F">
        <w:rPr>
          <w:lang w:val="en-US"/>
        </w:rPr>
        <w:t>refore</w:t>
      </w:r>
      <w:r w:rsidR="000B5122">
        <w:rPr>
          <w:lang w:val="en-US"/>
        </w:rPr>
        <w:t>,</w:t>
      </w:r>
      <w:r w:rsidR="0025326F">
        <w:rPr>
          <w:lang w:val="en-US"/>
        </w:rPr>
        <w:t xml:space="preserve"> this</w:t>
      </w:r>
      <w:r w:rsidR="0025326F" w:rsidRPr="00EC3A72">
        <w:rPr>
          <w:lang w:val="en-US"/>
        </w:rPr>
        <w:t xml:space="preserve"> </w:t>
      </w:r>
      <w:r w:rsidR="0025326F">
        <w:rPr>
          <w:lang w:val="en-US"/>
        </w:rPr>
        <w:t xml:space="preserve">proposal is to treat removable inserts in the same way; both </w:t>
      </w:r>
      <w:r w:rsidR="009E4B59">
        <w:rPr>
          <w:lang w:val="en-US"/>
        </w:rPr>
        <w:t xml:space="preserve">the </w:t>
      </w:r>
      <w:r w:rsidR="0025326F">
        <w:rPr>
          <w:lang w:val="en-US"/>
        </w:rPr>
        <w:t xml:space="preserve">identification and </w:t>
      </w:r>
      <w:r w:rsidR="009E4B59">
        <w:rPr>
          <w:lang w:val="en-US"/>
        </w:rPr>
        <w:t xml:space="preserve">the </w:t>
      </w:r>
      <w:r w:rsidR="0025326F">
        <w:rPr>
          <w:lang w:val="en-US"/>
        </w:rPr>
        <w:t xml:space="preserve">stature range will be </w:t>
      </w:r>
      <w:r w:rsidR="009E4B59">
        <w:rPr>
          <w:lang w:val="en-US"/>
        </w:rPr>
        <w:t>solved</w:t>
      </w:r>
      <w:r w:rsidR="0025326F">
        <w:rPr>
          <w:lang w:val="en-US"/>
        </w:rPr>
        <w:t>.</w:t>
      </w:r>
    </w:p>
    <w:p w:rsidR="0025326F" w:rsidRPr="001F3311" w:rsidRDefault="00F63172" w:rsidP="00F63172">
      <w:pPr>
        <w:pStyle w:val="SingleTxtG"/>
        <w:spacing w:before="120" w:after="0"/>
        <w:rPr>
          <w:lang w:val="en-US"/>
        </w:rPr>
      </w:pPr>
      <w:r w:rsidRPr="001F3311">
        <w:rPr>
          <w:lang w:val="en-US"/>
        </w:rPr>
        <w:t>5.</w:t>
      </w:r>
      <w:r w:rsidRPr="001F3311">
        <w:rPr>
          <w:lang w:val="en-US"/>
        </w:rPr>
        <w:tab/>
      </w:r>
      <w:r w:rsidR="0025326F" w:rsidRPr="001F3311">
        <w:rPr>
          <w:lang w:val="en-US"/>
        </w:rPr>
        <w:t>F</w:t>
      </w:r>
      <w:r w:rsidR="007B7C70" w:rsidRPr="001F3311">
        <w:rPr>
          <w:lang w:val="en-US"/>
        </w:rPr>
        <w:t>inally</w:t>
      </w:r>
      <w:r w:rsidR="0025326F" w:rsidRPr="001F3311">
        <w:rPr>
          <w:lang w:val="en-US"/>
        </w:rPr>
        <w:t xml:space="preserve">, the rule of no </w:t>
      </w:r>
      <w:r w:rsidR="007B7C70" w:rsidRPr="001F3311">
        <w:rPr>
          <w:lang w:val="en-US"/>
        </w:rPr>
        <w:t xml:space="preserve">accumulation (no insert in an insert, no </w:t>
      </w:r>
      <w:r w:rsidR="0025326F" w:rsidRPr="001F3311">
        <w:rPr>
          <w:lang w:val="en-US"/>
        </w:rPr>
        <w:t>sarcophagus constructions</w:t>
      </w:r>
      <w:r w:rsidR="007B7C70" w:rsidRPr="001F3311">
        <w:rPr>
          <w:lang w:val="en-US"/>
        </w:rPr>
        <w:t>)</w:t>
      </w:r>
      <w:r w:rsidR="0025326F" w:rsidRPr="001F3311">
        <w:rPr>
          <w:lang w:val="en-US"/>
        </w:rPr>
        <w:t xml:space="preserve"> is in line with the principle of only one belt routing; a mix of a different inserts at the same time w</w:t>
      </w:r>
      <w:r w:rsidR="005C1623">
        <w:rPr>
          <w:lang w:val="en-US"/>
        </w:rPr>
        <w:t>ould</w:t>
      </w:r>
      <w:r w:rsidR="0025326F" w:rsidRPr="001F3311">
        <w:rPr>
          <w:lang w:val="en-US"/>
        </w:rPr>
        <w:t xml:space="preserve"> complicate </w:t>
      </w:r>
      <w:r w:rsidR="005C1623">
        <w:rPr>
          <w:lang w:val="en-US"/>
        </w:rPr>
        <w:t>matters</w:t>
      </w:r>
      <w:r w:rsidR="00376163">
        <w:rPr>
          <w:lang w:val="en-US"/>
        </w:rPr>
        <w:t>.</w:t>
      </w:r>
      <w:r w:rsidR="0025326F" w:rsidRPr="001F3311">
        <w:rPr>
          <w:lang w:val="en-US"/>
        </w:rPr>
        <w:t xml:space="preserve"> </w:t>
      </w:r>
      <w:r w:rsidR="001F3311">
        <w:rPr>
          <w:lang w:val="en-US"/>
        </w:rPr>
        <w:t>Also, i</w:t>
      </w:r>
      <w:r w:rsidR="0025326F" w:rsidRPr="001F3311">
        <w:rPr>
          <w:lang w:val="en-US"/>
        </w:rPr>
        <w:t>nserts are not subject to any durability testing (this in contrary to other parts that contribute to restraining capacities)</w:t>
      </w:r>
      <w:r w:rsidR="001F3311">
        <w:rPr>
          <w:lang w:val="en-US"/>
        </w:rPr>
        <w:t>,</w:t>
      </w:r>
      <w:r w:rsidR="0025326F" w:rsidRPr="001F3311">
        <w:rPr>
          <w:lang w:val="en-US"/>
        </w:rPr>
        <w:t xml:space="preserve"> </w:t>
      </w:r>
      <w:r w:rsidR="00DA2581" w:rsidRPr="001F3311">
        <w:rPr>
          <w:lang w:val="en-US"/>
        </w:rPr>
        <w:t>sarcophagus</w:t>
      </w:r>
      <w:r w:rsidR="0025326F" w:rsidRPr="001F3311">
        <w:rPr>
          <w:lang w:val="en-US"/>
        </w:rPr>
        <w:t xml:space="preserve"> constructions could </w:t>
      </w:r>
      <w:r w:rsidR="00DA2581" w:rsidRPr="001F3311">
        <w:rPr>
          <w:lang w:val="en-US"/>
        </w:rPr>
        <w:t>lead to</w:t>
      </w:r>
      <w:r w:rsidR="0025326F" w:rsidRPr="001F3311">
        <w:rPr>
          <w:lang w:val="en-US"/>
        </w:rPr>
        <w:t xml:space="preserve"> a too great dependency of inserts.</w:t>
      </w:r>
    </w:p>
    <w:p w:rsidR="00AE7938" w:rsidRPr="000B5122" w:rsidRDefault="000B5122" w:rsidP="00A04737">
      <w:pPr>
        <w:pStyle w:val="SingleTxtG"/>
        <w:spacing w:before="120" w:after="0"/>
        <w:jc w:val="center"/>
        <w:rPr>
          <w:u w:val="single"/>
          <w:lang w:val="en-US"/>
        </w:rPr>
      </w:pPr>
      <w:r>
        <w:rPr>
          <w:u w:val="single"/>
          <w:lang w:val="en-US"/>
        </w:rPr>
        <w:tab/>
      </w:r>
      <w:r>
        <w:rPr>
          <w:u w:val="single"/>
          <w:lang w:val="en-US"/>
        </w:rPr>
        <w:tab/>
      </w:r>
      <w:r>
        <w:rPr>
          <w:u w:val="single"/>
          <w:lang w:val="en-US"/>
        </w:rPr>
        <w:tab/>
      </w:r>
    </w:p>
    <w:sectPr w:rsidR="00AE7938" w:rsidRPr="000B5122" w:rsidSect="005030D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2F" w:rsidRDefault="003E332F"/>
  </w:endnote>
  <w:endnote w:type="continuationSeparator" w:id="0">
    <w:p w:rsidR="003E332F" w:rsidRDefault="003E332F"/>
  </w:endnote>
  <w:endnote w:type="continuationNotice" w:id="1">
    <w:p w:rsidR="003E332F" w:rsidRDefault="003E3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F63172">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2564DE">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FE9" w:rsidRDefault="001F6F32" w:rsidP="001F6F32">
    <w:pPr>
      <w:pStyle w:val="Footer"/>
      <w:ind w:right="1134"/>
      <w:rPr>
        <w:rFonts w:ascii="C39T30Lfz" w:hAnsi="C39T30Lfz"/>
        <w:sz w:val="18"/>
        <w:szCs w:val="18"/>
      </w:rPr>
    </w:pPr>
    <w:r>
      <w:rPr>
        <w:rFonts w:ascii="C39T30Lfz" w:hAnsi="C39T30Lfz"/>
        <w:noProof/>
        <w:sz w:val="56"/>
        <w:szCs w:val="18"/>
        <w:lang w:eastAsia="zh-CN"/>
      </w:rPr>
      <w:drawing>
        <wp:anchor distT="0" distB="0" distL="114300" distR="114300" simplePos="0" relativeHeight="251660288" behindDoc="0" locked="0" layoutInCell="1" allowOverlap="1">
          <wp:simplePos x="0" y="0"/>
          <wp:positionH relativeFrom="column">
            <wp:posOffset>5474246</wp:posOffset>
          </wp:positionH>
          <wp:positionV relativeFrom="paragraph">
            <wp:posOffset>4707</wp:posOffset>
          </wp:positionV>
          <wp:extent cx="638175" cy="638175"/>
          <wp:effectExtent l="0" t="0" r="9525" b="9525"/>
          <wp:wrapNone/>
          <wp:docPr id="2" name="Picture 1" descr="https://undocs.org/m2/QRCode.ashx?DS=ECE/TRANS/WP.29/GRSP/2018/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F32">
      <w:rPr>
        <w:rFonts w:ascii="C39T30Lfz" w:hAnsi="C39T30Lfz"/>
        <w:noProof/>
        <w:sz w:val="18"/>
        <w:szCs w:val="18"/>
        <w:lang w:eastAsia="zh-CN"/>
      </w:rPr>
      <w:drawing>
        <wp:anchor distT="0" distB="0" distL="114300" distR="114300" simplePos="0" relativeHeight="251659264" behindDoc="1" locked="1" layoutInCell="1" allowOverlap="1">
          <wp:simplePos x="0" y="0"/>
          <wp:positionH relativeFrom="margin">
            <wp:posOffset>4378325</wp:posOffset>
          </wp:positionH>
          <wp:positionV relativeFrom="margin">
            <wp:posOffset>8218805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F6F32" w:rsidRPr="001F6F32" w:rsidRDefault="001F6F32" w:rsidP="001F6F32">
    <w:pPr>
      <w:pStyle w:val="Footer"/>
      <w:ind w:right="1134"/>
      <w:rPr>
        <w:rFonts w:asciiTheme="majorBidi" w:hAnsiTheme="majorBidi" w:cstheme="majorBidi"/>
        <w:sz w:val="20"/>
        <w:szCs w:val="18"/>
      </w:rPr>
    </w:pPr>
    <w:r w:rsidRPr="001F6F32">
      <w:rPr>
        <w:rFonts w:asciiTheme="majorBidi" w:hAnsiTheme="majorBidi" w:cstheme="majorBidi"/>
        <w:sz w:val="20"/>
        <w:szCs w:val="18"/>
      </w:rPr>
      <w:t>GE.18-16017(E)</w:t>
    </w:r>
  </w:p>
  <w:p w:rsidR="001F6F32" w:rsidRPr="001F6F32" w:rsidRDefault="001F6F32" w:rsidP="001F6F32">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2F" w:rsidRPr="000B175B" w:rsidRDefault="003E332F" w:rsidP="000B175B">
      <w:pPr>
        <w:tabs>
          <w:tab w:val="right" w:pos="2155"/>
        </w:tabs>
        <w:spacing w:after="80"/>
        <w:ind w:left="680"/>
        <w:rPr>
          <w:u w:val="single"/>
        </w:rPr>
      </w:pPr>
      <w:r>
        <w:rPr>
          <w:u w:val="single"/>
        </w:rPr>
        <w:tab/>
      </w:r>
    </w:p>
  </w:footnote>
  <w:footnote w:type="continuationSeparator" w:id="0">
    <w:p w:rsidR="003E332F" w:rsidRPr="00FC68B7" w:rsidRDefault="003E332F" w:rsidP="00FC68B7">
      <w:pPr>
        <w:tabs>
          <w:tab w:val="left" w:pos="2155"/>
        </w:tabs>
        <w:spacing w:after="80"/>
        <w:ind w:left="680"/>
        <w:rPr>
          <w:u w:val="single"/>
        </w:rPr>
      </w:pPr>
      <w:r>
        <w:rPr>
          <w:u w:val="single"/>
        </w:rPr>
        <w:tab/>
      </w:r>
    </w:p>
  </w:footnote>
  <w:footnote w:type="continuationNotice" w:id="1">
    <w:p w:rsidR="003E332F" w:rsidRDefault="003E332F"/>
  </w:footnote>
  <w:footnote w:id="2">
    <w:p w:rsidR="00F02310" w:rsidRPr="00EC4B12" w:rsidRDefault="00F02310" w:rsidP="00F02310">
      <w:pPr>
        <w:pStyle w:val="FootnoteText"/>
        <w:jc w:val="both"/>
        <w:rPr>
          <w:lang w:val="en-US"/>
        </w:rPr>
      </w:pPr>
      <w:r>
        <w:tab/>
      </w:r>
      <w:r w:rsidRPr="007406A7">
        <w:rPr>
          <w:rStyle w:val="FootnoteReference"/>
        </w:rPr>
        <w:t>*</w:t>
      </w:r>
      <w:r w:rsidRPr="007406A7">
        <w:tab/>
      </w:r>
      <w:r w:rsidR="0038258E">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0526BC">
    <w:pPr>
      <w:pStyle w:val="Header"/>
    </w:pPr>
    <w:r>
      <w:t>ECE/TRANS</w:t>
    </w:r>
    <w:r w:rsidR="00400DFC">
      <w:t>/WP.29/GRSP/2018/</w:t>
    </w:r>
    <w:r w:rsidR="00A16B58">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F02310" w:rsidP="005030D4">
    <w:pPr>
      <w:pStyle w:val="Header"/>
      <w:jc w:val="right"/>
    </w:pPr>
    <w:r>
      <w:t>ECE/TRANS/WP.29/GRSP/2018/6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7"/>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D4"/>
    <w:rsid w:val="000237C7"/>
    <w:rsid w:val="00046169"/>
    <w:rsid w:val="00046B1F"/>
    <w:rsid w:val="00046CCC"/>
    <w:rsid w:val="00050F6B"/>
    <w:rsid w:val="00052635"/>
    <w:rsid w:val="000526BC"/>
    <w:rsid w:val="00052E18"/>
    <w:rsid w:val="00055B92"/>
    <w:rsid w:val="00057E97"/>
    <w:rsid w:val="00060C86"/>
    <w:rsid w:val="00062865"/>
    <w:rsid w:val="0006340E"/>
    <w:rsid w:val="000646F4"/>
    <w:rsid w:val="00072C8C"/>
    <w:rsid w:val="000733B5"/>
    <w:rsid w:val="0008086D"/>
    <w:rsid w:val="00081815"/>
    <w:rsid w:val="00084636"/>
    <w:rsid w:val="00090F77"/>
    <w:rsid w:val="000931C0"/>
    <w:rsid w:val="000A0ECA"/>
    <w:rsid w:val="000A295B"/>
    <w:rsid w:val="000A36E3"/>
    <w:rsid w:val="000A7ADA"/>
    <w:rsid w:val="000B0595"/>
    <w:rsid w:val="000B175B"/>
    <w:rsid w:val="000B2F02"/>
    <w:rsid w:val="000B3A0F"/>
    <w:rsid w:val="000B4AB5"/>
    <w:rsid w:val="000B4EF7"/>
    <w:rsid w:val="000B5122"/>
    <w:rsid w:val="000C2C03"/>
    <w:rsid w:val="000C2D2E"/>
    <w:rsid w:val="000D15CB"/>
    <w:rsid w:val="000E0415"/>
    <w:rsid w:val="000F09F7"/>
    <w:rsid w:val="000F13BC"/>
    <w:rsid w:val="000F3E30"/>
    <w:rsid w:val="001013D3"/>
    <w:rsid w:val="001103AA"/>
    <w:rsid w:val="00111EB0"/>
    <w:rsid w:val="00112C37"/>
    <w:rsid w:val="0011666B"/>
    <w:rsid w:val="00132153"/>
    <w:rsid w:val="0013365A"/>
    <w:rsid w:val="00143560"/>
    <w:rsid w:val="00146CA7"/>
    <w:rsid w:val="00152073"/>
    <w:rsid w:val="00160BFB"/>
    <w:rsid w:val="00165F3A"/>
    <w:rsid w:val="00182290"/>
    <w:rsid w:val="001858D7"/>
    <w:rsid w:val="00197585"/>
    <w:rsid w:val="001A0FB9"/>
    <w:rsid w:val="001A3955"/>
    <w:rsid w:val="001A4E4D"/>
    <w:rsid w:val="001A5998"/>
    <w:rsid w:val="001B4B04"/>
    <w:rsid w:val="001C6663"/>
    <w:rsid w:val="001C7895"/>
    <w:rsid w:val="001D0C8C"/>
    <w:rsid w:val="001D1419"/>
    <w:rsid w:val="001D26DF"/>
    <w:rsid w:val="001D2DEB"/>
    <w:rsid w:val="001D3A03"/>
    <w:rsid w:val="001E59C4"/>
    <w:rsid w:val="001E7B67"/>
    <w:rsid w:val="001F3311"/>
    <w:rsid w:val="001F6F32"/>
    <w:rsid w:val="00202582"/>
    <w:rsid w:val="00202DA8"/>
    <w:rsid w:val="00204C69"/>
    <w:rsid w:val="002057C2"/>
    <w:rsid w:val="002078CE"/>
    <w:rsid w:val="00211E0B"/>
    <w:rsid w:val="0022322E"/>
    <w:rsid w:val="00246DC1"/>
    <w:rsid w:val="00246F62"/>
    <w:rsid w:val="0024772E"/>
    <w:rsid w:val="0025326F"/>
    <w:rsid w:val="002535EC"/>
    <w:rsid w:val="00254040"/>
    <w:rsid w:val="002542B6"/>
    <w:rsid w:val="002564DE"/>
    <w:rsid w:val="002566CA"/>
    <w:rsid w:val="0026075A"/>
    <w:rsid w:val="00262016"/>
    <w:rsid w:val="00264216"/>
    <w:rsid w:val="002644FD"/>
    <w:rsid w:val="00267F5F"/>
    <w:rsid w:val="00275055"/>
    <w:rsid w:val="00276713"/>
    <w:rsid w:val="00277FCC"/>
    <w:rsid w:val="002848E5"/>
    <w:rsid w:val="00286B4D"/>
    <w:rsid w:val="00291638"/>
    <w:rsid w:val="00292346"/>
    <w:rsid w:val="00293A5C"/>
    <w:rsid w:val="00297767"/>
    <w:rsid w:val="00297ECE"/>
    <w:rsid w:val="002A063D"/>
    <w:rsid w:val="002A6E4C"/>
    <w:rsid w:val="002B232E"/>
    <w:rsid w:val="002B3C58"/>
    <w:rsid w:val="002B6420"/>
    <w:rsid w:val="002C4EA9"/>
    <w:rsid w:val="002C69D3"/>
    <w:rsid w:val="002D029B"/>
    <w:rsid w:val="002D03D9"/>
    <w:rsid w:val="002D13AD"/>
    <w:rsid w:val="002D4643"/>
    <w:rsid w:val="002E3C7C"/>
    <w:rsid w:val="002E4CB6"/>
    <w:rsid w:val="002E7B98"/>
    <w:rsid w:val="002F0663"/>
    <w:rsid w:val="002F0BA2"/>
    <w:rsid w:val="002F175C"/>
    <w:rsid w:val="002F5C63"/>
    <w:rsid w:val="002F7DE0"/>
    <w:rsid w:val="00302E18"/>
    <w:rsid w:val="0031258E"/>
    <w:rsid w:val="00313535"/>
    <w:rsid w:val="00320E0F"/>
    <w:rsid w:val="00321889"/>
    <w:rsid w:val="003229D8"/>
    <w:rsid w:val="0032543B"/>
    <w:rsid w:val="00327A59"/>
    <w:rsid w:val="00332EAE"/>
    <w:rsid w:val="0034429F"/>
    <w:rsid w:val="00344EBB"/>
    <w:rsid w:val="00352709"/>
    <w:rsid w:val="003619B5"/>
    <w:rsid w:val="00361AC3"/>
    <w:rsid w:val="00365763"/>
    <w:rsid w:val="00371178"/>
    <w:rsid w:val="00376163"/>
    <w:rsid w:val="00376AF2"/>
    <w:rsid w:val="0038184B"/>
    <w:rsid w:val="0038258E"/>
    <w:rsid w:val="00392120"/>
    <w:rsid w:val="00392E47"/>
    <w:rsid w:val="0039461E"/>
    <w:rsid w:val="003A44D0"/>
    <w:rsid w:val="003A6810"/>
    <w:rsid w:val="003A799F"/>
    <w:rsid w:val="003B24AB"/>
    <w:rsid w:val="003B3024"/>
    <w:rsid w:val="003B5B46"/>
    <w:rsid w:val="003C2CC4"/>
    <w:rsid w:val="003C534D"/>
    <w:rsid w:val="003D164A"/>
    <w:rsid w:val="003D4B23"/>
    <w:rsid w:val="003D58DF"/>
    <w:rsid w:val="003D6191"/>
    <w:rsid w:val="003D629B"/>
    <w:rsid w:val="003D7E8F"/>
    <w:rsid w:val="003E0B92"/>
    <w:rsid w:val="003E130E"/>
    <w:rsid w:val="003E2607"/>
    <w:rsid w:val="003E332F"/>
    <w:rsid w:val="003E3372"/>
    <w:rsid w:val="003F5805"/>
    <w:rsid w:val="003F64DC"/>
    <w:rsid w:val="00400DFC"/>
    <w:rsid w:val="00401AC6"/>
    <w:rsid w:val="004071E9"/>
    <w:rsid w:val="00407361"/>
    <w:rsid w:val="00410C89"/>
    <w:rsid w:val="00420E8B"/>
    <w:rsid w:val="004227F9"/>
    <w:rsid w:val="00422E03"/>
    <w:rsid w:val="00424E25"/>
    <w:rsid w:val="00426B9B"/>
    <w:rsid w:val="004325CB"/>
    <w:rsid w:val="00433839"/>
    <w:rsid w:val="00436926"/>
    <w:rsid w:val="00442A83"/>
    <w:rsid w:val="0045495B"/>
    <w:rsid w:val="00455CB3"/>
    <w:rsid w:val="004561E5"/>
    <w:rsid w:val="00465BE7"/>
    <w:rsid w:val="00476E89"/>
    <w:rsid w:val="0048397A"/>
    <w:rsid w:val="00485CBB"/>
    <w:rsid w:val="004866B7"/>
    <w:rsid w:val="00490CBD"/>
    <w:rsid w:val="00491A5E"/>
    <w:rsid w:val="004A04D8"/>
    <w:rsid w:val="004A15F1"/>
    <w:rsid w:val="004A17B7"/>
    <w:rsid w:val="004A6736"/>
    <w:rsid w:val="004A6B18"/>
    <w:rsid w:val="004B585F"/>
    <w:rsid w:val="004C034B"/>
    <w:rsid w:val="004C2461"/>
    <w:rsid w:val="004C7462"/>
    <w:rsid w:val="004D3869"/>
    <w:rsid w:val="004D4849"/>
    <w:rsid w:val="004E035B"/>
    <w:rsid w:val="004E3CDF"/>
    <w:rsid w:val="004E77B2"/>
    <w:rsid w:val="004F0CD4"/>
    <w:rsid w:val="005024E1"/>
    <w:rsid w:val="005030D4"/>
    <w:rsid w:val="00504B2D"/>
    <w:rsid w:val="00505F41"/>
    <w:rsid w:val="0051570C"/>
    <w:rsid w:val="00516B19"/>
    <w:rsid w:val="0052136D"/>
    <w:rsid w:val="0052775E"/>
    <w:rsid w:val="005359D2"/>
    <w:rsid w:val="00536817"/>
    <w:rsid w:val="00536A94"/>
    <w:rsid w:val="00541AAA"/>
    <w:rsid w:val="005420F2"/>
    <w:rsid w:val="00542337"/>
    <w:rsid w:val="005519CF"/>
    <w:rsid w:val="005520C1"/>
    <w:rsid w:val="0056023F"/>
    <w:rsid w:val="00561CCD"/>
    <w:rsid w:val="0056209A"/>
    <w:rsid w:val="005628B6"/>
    <w:rsid w:val="00570776"/>
    <w:rsid w:val="00582341"/>
    <w:rsid w:val="00584A5B"/>
    <w:rsid w:val="005854E5"/>
    <w:rsid w:val="005938C9"/>
    <w:rsid w:val="005941EC"/>
    <w:rsid w:val="00594DAA"/>
    <w:rsid w:val="0059724D"/>
    <w:rsid w:val="005A0296"/>
    <w:rsid w:val="005A11DA"/>
    <w:rsid w:val="005A2D70"/>
    <w:rsid w:val="005B320C"/>
    <w:rsid w:val="005B3DB3"/>
    <w:rsid w:val="005B4E13"/>
    <w:rsid w:val="005B6A91"/>
    <w:rsid w:val="005C1623"/>
    <w:rsid w:val="005C342F"/>
    <w:rsid w:val="005C7D1E"/>
    <w:rsid w:val="005F7B75"/>
    <w:rsid w:val="006001EE"/>
    <w:rsid w:val="00605042"/>
    <w:rsid w:val="00605BE8"/>
    <w:rsid w:val="00610952"/>
    <w:rsid w:val="00611FC4"/>
    <w:rsid w:val="00612276"/>
    <w:rsid w:val="00614489"/>
    <w:rsid w:val="006176FB"/>
    <w:rsid w:val="00617DBC"/>
    <w:rsid w:val="006317CB"/>
    <w:rsid w:val="00634186"/>
    <w:rsid w:val="00640B26"/>
    <w:rsid w:val="00641748"/>
    <w:rsid w:val="00652D0A"/>
    <w:rsid w:val="00662BB6"/>
    <w:rsid w:val="0066449F"/>
    <w:rsid w:val="006650AE"/>
    <w:rsid w:val="0066734F"/>
    <w:rsid w:val="00671B51"/>
    <w:rsid w:val="0067362F"/>
    <w:rsid w:val="00676606"/>
    <w:rsid w:val="006836CA"/>
    <w:rsid w:val="00684C21"/>
    <w:rsid w:val="006A0724"/>
    <w:rsid w:val="006A1686"/>
    <w:rsid w:val="006A2530"/>
    <w:rsid w:val="006A49C4"/>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4310"/>
    <w:rsid w:val="00725195"/>
    <w:rsid w:val="0072632A"/>
    <w:rsid w:val="007327D5"/>
    <w:rsid w:val="00734385"/>
    <w:rsid w:val="0073539F"/>
    <w:rsid w:val="007409DF"/>
    <w:rsid w:val="00751685"/>
    <w:rsid w:val="00757BC0"/>
    <w:rsid w:val="007605E6"/>
    <w:rsid w:val="007629C8"/>
    <w:rsid w:val="00766954"/>
    <w:rsid w:val="0077047D"/>
    <w:rsid w:val="00770CAB"/>
    <w:rsid w:val="00772818"/>
    <w:rsid w:val="00793D0B"/>
    <w:rsid w:val="00795E7E"/>
    <w:rsid w:val="007A1CE3"/>
    <w:rsid w:val="007B2067"/>
    <w:rsid w:val="007B5CF1"/>
    <w:rsid w:val="007B6BA5"/>
    <w:rsid w:val="007B7C70"/>
    <w:rsid w:val="007C18C3"/>
    <w:rsid w:val="007C3390"/>
    <w:rsid w:val="007C3ED8"/>
    <w:rsid w:val="007C4F4B"/>
    <w:rsid w:val="007D3684"/>
    <w:rsid w:val="007D5472"/>
    <w:rsid w:val="007E01E9"/>
    <w:rsid w:val="007E63F3"/>
    <w:rsid w:val="007E6E46"/>
    <w:rsid w:val="007E785B"/>
    <w:rsid w:val="007F6611"/>
    <w:rsid w:val="00811920"/>
    <w:rsid w:val="00813193"/>
    <w:rsid w:val="00815AD0"/>
    <w:rsid w:val="00815EDB"/>
    <w:rsid w:val="00816480"/>
    <w:rsid w:val="00816599"/>
    <w:rsid w:val="008242D7"/>
    <w:rsid w:val="008257B1"/>
    <w:rsid w:val="00832334"/>
    <w:rsid w:val="0083733D"/>
    <w:rsid w:val="008374C2"/>
    <w:rsid w:val="00842C91"/>
    <w:rsid w:val="00843191"/>
    <w:rsid w:val="00843767"/>
    <w:rsid w:val="008474B3"/>
    <w:rsid w:val="00851EC0"/>
    <w:rsid w:val="00853F83"/>
    <w:rsid w:val="00855412"/>
    <w:rsid w:val="008571C8"/>
    <w:rsid w:val="0086097E"/>
    <w:rsid w:val="00861E0E"/>
    <w:rsid w:val="00867296"/>
    <w:rsid w:val="008679D9"/>
    <w:rsid w:val="00867ECD"/>
    <w:rsid w:val="00873E5A"/>
    <w:rsid w:val="008809E0"/>
    <w:rsid w:val="008878DE"/>
    <w:rsid w:val="00887E03"/>
    <w:rsid w:val="00891B87"/>
    <w:rsid w:val="008979B1"/>
    <w:rsid w:val="008A1ED5"/>
    <w:rsid w:val="008A6A2A"/>
    <w:rsid w:val="008A6B25"/>
    <w:rsid w:val="008A6C4F"/>
    <w:rsid w:val="008B0C3C"/>
    <w:rsid w:val="008B2335"/>
    <w:rsid w:val="008B2E36"/>
    <w:rsid w:val="008B70DF"/>
    <w:rsid w:val="008C23A6"/>
    <w:rsid w:val="008D1372"/>
    <w:rsid w:val="008D372D"/>
    <w:rsid w:val="008D7582"/>
    <w:rsid w:val="008E0678"/>
    <w:rsid w:val="008F09A9"/>
    <w:rsid w:val="008F31D2"/>
    <w:rsid w:val="008F5CD2"/>
    <w:rsid w:val="00901726"/>
    <w:rsid w:val="0091329B"/>
    <w:rsid w:val="00915EF6"/>
    <w:rsid w:val="009223CA"/>
    <w:rsid w:val="00923FB1"/>
    <w:rsid w:val="00940F93"/>
    <w:rsid w:val="009448C3"/>
    <w:rsid w:val="009465FF"/>
    <w:rsid w:val="00947D9B"/>
    <w:rsid w:val="0095173D"/>
    <w:rsid w:val="009541AE"/>
    <w:rsid w:val="00954DA7"/>
    <w:rsid w:val="00961326"/>
    <w:rsid w:val="00964B0D"/>
    <w:rsid w:val="009676A5"/>
    <w:rsid w:val="00970B1E"/>
    <w:rsid w:val="00973EEB"/>
    <w:rsid w:val="00975819"/>
    <w:rsid w:val="009760F3"/>
    <w:rsid w:val="00976CFB"/>
    <w:rsid w:val="0098042E"/>
    <w:rsid w:val="009A0830"/>
    <w:rsid w:val="009A0E8D"/>
    <w:rsid w:val="009A4B38"/>
    <w:rsid w:val="009B26E7"/>
    <w:rsid w:val="009B6118"/>
    <w:rsid w:val="009B64BB"/>
    <w:rsid w:val="009C40EE"/>
    <w:rsid w:val="009D5816"/>
    <w:rsid w:val="009D6F2E"/>
    <w:rsid w:val="009E364F"/>
    <w:rsid w:val="009E4B59"/>
    <w:rsid w:val="009E55F8"/>
    <w:rsid w:val="009E5BD5"/>
    <w:rsid w:val="009E674E"/>
    <w:rsid w:val="009F0BFB"/>
    <w:rsid w:val="009F4207"/>
    <w:rsid w:val="009F7448"/>
    <w:rsid w:val="00A00697"/>
    <w:rsid w:val="00A00A3F"/>
    <w:rsid w:val="00A01489"/>
    <w:rsid w:val="00A04737"/>
    <w:rsid w:val="00A12722"/>
    <w:rsid w:val="00A16B58"/>
    <w:rsid w:val="00A17D7A"/>
    <w:rsid w:val="00A204A2"/>
    <w:rsid w:val="00A241BC"/>
    <w:rsid w:val="00A3026E"/>
    <w:rsid w:val="00A338F1"/>
    <w:rsid w:val="00A35BE0"/>
    <w:rsid w:val="00A36ADD"/>
    <w:rsid w:val="00A40E08"/>
    <w:rsid w:val="00A413AA"/>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51D7"/>
    <w:rsid w:val="00AB530B"/>
    <w:rsid w:val="00AB7887"/>
    <w:rsid w:val="00AC2A3D"/>
    <w:rsid w:val="00AC30B1"/>
    <w:rsid w:val="00AD5A4F"/>
    <w:rsid w:val="00AD5F43"/>
    <w:rsid w:val="00AE7938"/>
    <w:rsid w:val="00AF37FD"/>
    <w:rsid w:val="00AF3907"/>
    <w:rsid w:val="00AF7796"/>
    <w:rsid w:val="00AF7DDD"/>
    <w:rsid w:val="00B00C2C"/>
    <w:rsid w:val="00B064F6"/>
    <w:rsid w:val="00B06BC9"/>
    <w:rsid w:val="00B0709B"/>
    <w:rsid w:val="00B254FB"/>
    <w:rsid w:val="00B258A0"/>
    <w:rsid w:val="00B2708C"/>
    <w:rsid w:val="00B30179"/>
    <w:rsid w:val="00B3665F"/>
    <w:rsid w:val="00B414C3"/>
    <w:rsid w:val="00B421C1"/>
    <w:rsid w:val="00B4416F"/>
    <w:rsid w:val="00B47E53"/>
    <w:rsid w:val="00B53C21"/>
    <w:rsid w:val="00B544EE"/>
    <w:rsid w:val="00B55C71"/>
    <w:rsid w:val="00B56386"/>
    <w:rsid w:val="00B56E4A"/>
    <w:rsid w:val="00B56E9C"/>
    <w:rsid w:val="00B60D4C"/>
    <w:rsid w:val="00B61087"/>
    <w:rsid w:val="00B61287"/>
    <w:rsid w:val="00B63709"/>
    <w:rsid w:val="00B63809"/>
    <w:rsid w:val="00B64B1F"/>
    <w:rsid w:val="00B6553F"/>
    <w:rsid w:val="00B7179E"/>
    <w:rsid w:val="00B77D05"/>
    <w:rsid w:val="00B80C82"/>
    <w:rsid w:val="00B81206"/>
    <w:rsid w:val="00B81E12"/>
    <w:rsid w:val="00B8700E"/>
    <w:rsid w:val="00B87066"/>
    <w:rsid w:val="00B90282"/>
    <w:rsid w:val="00B90EC0"/>
    <w:rsid w:val="00B92198"/>
    <w:rsid w:val="00B936EB"/>
    <w:rsid w:val="00B93765"/>
    <w:rsid w:val="00B96704"/>
    <w:rsid w:val="00BA26D8"/>
    <w:rsid w:val="00BA5998"/>
    <w:rsid w:val="00BA74DA"/>
    <w:rsid w:val="00BB5E55"/>
    <w:rsid w:val="00BC39A4"/>
    <w:rsid w:val="00BC3FA0"/>
    <w:rsid w:val="00BC41EC"/>
    <w:rsid w:val="00BC74E9"/>
    <w:rsid w:val="00BC7FC9"/>
    <w:rsid w:val="00BD1C24"/>
    <w:rsid w:val="00BE1E7D"/>
    <w:rsid w:val="00BF05FD"/>
    <w:rsid w:val="00BF30B3"/>
    <w:rsid w:val="00BF4DC0"/>
    <w:rsid w:val="00BF67E3"/>
    <w:rsid w:val="00BF68A8"/>
    <w:rsid w:val="00C038BE"/>
    <w:rsid w:val="00C04FA5"/>
    <w:rsid w:val="00C115C2"/>
    <w:rsid w:val="00C11A03"/>
    <w:rsid w:val="00C124EA"/>
    <w:rsid w:val="00C13A81"/>
    <w:rsid w:val="00C13AFA"/>
    <w:rsid w:val="00C22C0C"/>
    <w:rsid w:val="00C2369C"/>
    <w:rsid w:val="00C23722"/>
    <w:rsid w:val="00C37FB4"/>
    <w:rsid w:val="00C42731"/>
    <w:rsid w:val="00C445C8"/>
    <w:rsid w:val="00C4527F"/>
    <w:rsid w:val="00C463DD"/>
    <w:rsid w:val="00C4674E"/>
    <w:rsid w:val="00C4724C"/>
    <w:rsid w:val="00C538C5"/>
    <w:rsid w:val="00C55D26"/>
    <w:rsid w:val="00C629A0"/>
    <w:rsid w:val="00C6446A"/>
    <w:rsid w:val="00C64629"/>
    <w:rsid w:val="00C6567B"/>
    <w:rsid w:val="00C66D48"/>
    <w:rsid w:val="00C745C3"/>
    <w:rsid w:val="00C750B4"/>
    <w:rsid w:val="00C82B10"/>
    <w:rsid w:val="00C83287"/>
    <w:rsid w:val="00C85F47"/>
    <w:rsid w:val="00C862AB"/>
    <w:rsid w:val="00C87B76"/>
    <w:rsid w:val="00C918E5"/>
    <w:rsid w:val="00C96DF2"/>
    <w:rsid w:val="00CA0FFA"/>
    <w:rsid w:val="00CA14DF"/>
    <w:rsid w:val="00CA2093"/>
    <w:rsid w:val="00CA4756"/>
    <w:rsid w:val="00CA57E6"/>
    <w:rsid w:val="00CA57FD"/>
    <w:rsid w:val="00CB3E03"/>
    <w:rsid w:val="00CC267E"/>
    <w:rsid w:val="00CC7EA7"/>
    <w:rsid w:val="00CD1BE7"/>
    <w:rsid w:val="00CD216A"/>
    <w:rsid w:val="00CD3039"/>
    <w:rsid w:val="00CD4AA6"/>
    <w:rsid w:val="00CD4EA5"/>
    <w:rsid w:val="00CD5A93"/>
    <w:rsid w:val="00CE0F74"/>
    <w:rsid w:val="00CE4A8F"/>
    <w:rsid w:val="00CE764B"/>
    <w:rsid w:val="00CF3C74"/>
    <w:rsid w:val="00D02DB3"/>
    <w:rsid w:val="00D077E0"/>
    <w:rsid w:val="00D07A49"/>
    <w:rsid w:val="00D2031B"/>
    <w:rsid w:val="00D20388"/>
    <w:rsid w:val="00D248B6"/>
    <w:rsid w:val="00D253E7"/>
    <w:rsid w:val="00D25FE2"/>
    <w:rsid w:val="00D26E07"/>
    <w:rsid w:val="00D303D9"/>
    <w:rsid w:val="00D43252"/>
    <w:rsid w:val="00D47EEA"/>
    <w:rsid w:val="00D50592"/>
    <w:rsid w:val="00D50E38"/>
    <w:rsid w:val="00D61DBA"/>
    <w:rsid w:val="00D773DF"/>
    <w:rsid w:val="00D85E80"/>
    <w:rsid w:val="00D87BE4"/>
    <w:rsid w:val="00D95303"/>
    <w:rsid w:val="00D978C6"/>
    <w:rsid w:val="00DA2581"/>
    <w:rsid w:val="00DA3C1C"/>
    <w:rsid w:val="00DA3E95"/>
    <w:rsid w:val="00DA4FE9"/>
    <w:rsid w:val="00DA6FFB"/>
    <w:rsid w:val="00DA7511"/>
    <w:rsid w:val="00DB0530"/>
    <w:rsid w:val="00DB1937"/>
    <w:rsid w:val="00DB59DC"/>
    <w:rsid w:val="00DC6D39"/>
    <w:rsid w:val="00DD0195"/>
    <w:rsid w:val="00DE4E9B"/>
    <w:rsid w:val="00E046DF"/>
    <w:rsid w:val="00E065D8"/>
    <w:rsid w:val="00E118D1"/>
    <w:rsid w:val="00E17D8F"/>
    <w:rsid w:val="00E22B0C"/>
    <w:rsid w:val="00E27346"/>
    <w:rsid w:val="00E32195"/>
    <w:rsid w:val="00E34B4E"/>
    <w:rsid w:val="00E40A45"/>
    <w:rsid w:val="00E4229E"/>
    <w:rsid w:val="00E501F9"/>
    <w:rsid w:val="00E560CA"/>
    <w:rsid w:val="00E71BC8"/>
    <w:rsid w:val="00E7260F"/>
    <w:rsid w:val="00E72A92"/>
    <w:rsid w:val="00E73F5D"/>
    <w:rsid w:val="00E769E1"/>
    <w:rsid w:val="00E77615"/>
    <w:rsid w:val="00E77E4E"/>
    <w:rsid w:val="00E804CE"/>
    <w:rsid w:val="00E87301"/>
    <w:rsid w:val="00E96630"/>
    <w:rsid w:val="00EA1F68"/>
    <w:rsid w:val="00EA2A77"/>
    <w:rsid w:val="00EA571B"/>
    <w:rsid w:val="00EA7730"/>
    <w:rsid w:val="00EA7B56"/>
    <w:rsid w:val="00EB12FC"/>
    <w:rsid w:val="00EB49E9"/>
    <w:rsid w:val="00EC3A72"/>
    <w:rsid w:val="00EC6B03"/>
    <w:rsid w:val="00ED1BCF"/>
    <w:rsid w:val="00ED2932"/>
    <w:rsid w:val="00ED795E"/>
    <w:rsid w:val="00ED7A2A"/>
    <w:rsid w:val="00EE19B5"/>
    <w:rsid w:val="00EF1D7F"/>
    <w:rsid w:val="00EF2C9A"/>
    <w:rsid w:val="00EF46AF"/>
    <w:rsid w:val="00F00FD7"/>
    <w:rsid w:val="00F02310"/>
    <w:rsid w:val="00F02804"/>
    <w:rsid w:val="00F06332"/>
    <w:rsid w:val="00F10120"/>
    <w:rsid w:val="00F1312B"/>
    <w:rsid w:val="00F15DA2"/>
    <w:rsid w:val="00F31E5F"/>
    <w:rsid w:val="00F339F2"/>
    <w:rsid w:val="00F446C4"/>
    <w:rsid w:val="00F44DE7"/>
    <w:rsid w:val="00F6100A"/>
    <w:rsid w:val="00F61A56"/>
    <w:rsid w:val="00F620FF"/>
    <w:rsid w:val="00F63172"/>
    <w:rsid w:val="00F6734B"/>
    <w:rsid w:val="00F70DE3"/>
    <w:rsid w:val="00F8386C"/>
    <w:rsid w:val="00F8439C"/>
    <w:rsid w:val="00F93781"/>
    <w:rsid w:val="00F95447"/>
    <w:rsid w:val="00FA50BC"/>
    <w:rsid w:val="00FB613B"/>
    <w:rsid w:val="00FB7B08"/>
    <w:rsid w:val="00FC0409"/>
    <w:rsid w:val="00FC2443"/>
    <w:rsid w:val="00FC68B7"/>
    <w:rsid w:val="00FD285D"/>
    <w:rsid w:val="00FD3F98"/>
    <w:rsid w:val="00FE106A"/>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FEC2967-31E4-49F9-BD0B-F29F854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9DA4-26D9-43B0-950F-7613FE0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543</Words>
  <Characters>3098</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ECE/TRANS/WP.29/GRSP/2018/33</vt:lpstr>
      <vt:lpstr>1802920</vt:lpstr>
      <vt:lpstr>United Nations</vt:lpstr>
    </vt:vector>
  </TitlesOfParts>
  <Company>CSD</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ECE/TRANS/WP.29/GRSP/2018/33</dc:title>
  <dc:subject>1816017</dc:subject>
  <dc:creator>Gianotti</dc:creator>
  <cp:keywords/>
  <dc:description/>
  <cp:lastModifiedBy>Benedicte Boudol</cp:lastModifiedBy>
  <cp:revision>2</cp:revision>
  <cp:lastPrinted>2018-09-26T15:29:00Z</cp:lastPrinted>
  <dcterms:created xsi:type="dcterms:W3CDTF">2018-10-24T12:20:00Z</dcterms:created>
  <dcterms:modified xsi:type="dcterms:W3CDTF">2018-10-24T12:20:00Z</dcterms:modified>
</cp:coreProperties>
</file>