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62894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28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F62894" w:rsidRDefault="00F62894" w:rsidP="00F62894">
            <w:pPr>
              <w:jc w:val="right"/>
              <w:rPr>
                <w:lang w:val="en-US"/>
              </w:rPr>
            </w:pPr>
            <w:r w:rsidRPr="00F62894">
              <w:rPr>
                <w:sz w:val="40"/>
                <w:lang w:val="en-US"/>
              </w:rPr>
              <w:t>ECE</w:t>
            </w:r>
            <w:r w:rsidRPr="00F62894">
              <w:rPr>
                <w:lang w:val="en-US"/>
              </w:rPr>
              <w:t>/TRANS/WP.29/GRSG/2018/10/Add.1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2894" w:rsidP="00C97039">
            <w:pPr>
              <w:spacing w:before="240"/>
            </w:pPr>
            <w:r>
              <w:t>Distr. générale</w:t>
            </w:r>
          </w:p>
          <w:p w:rsidR="00F62894" w:rsidRDefault="00F62894" w:rsidP="00F62894">
            <w:pPr>
              <w:spacing w:line="240" w:lineRule="exact"/>
            </w:pPr>
            <w:r>
              <w:t>27 juillet 2018</w:t>
            </w:r>
          </w:p>
          <w:p w:rsidR="00F62894" w:rsidRDefault="00F62894" w:rsidP="00F62894">
            <w:pPr>
              <w:spacing w:line="240" w:lineRule="exact"/>
            </w:pPr>
            <w:r>
              <w:t>Français</w:t>
            </w:r>
          </w:p>
          <w:p w:rsidR="00F62894" w:rsidRPr="00DB58B5" w:rsidRDefault="00F62894" w:rsidP="00F6289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31A9F" w:rsidRPr="00231A9F" w:rsidRDefault="00231A9F" w:rsidP="00231A9F">
      <w:pPr>
        <w:spacing w:before="120" w:after="120"/>
        <w:rPr>
          <w:b/>
          <w:sz w:val="24"/>
          <w:szCs w:val="24"/>
          <w:lang w:val="fr-FR"/>
        </w:rPr>
      </w:pPr>
      <w:r w:rsidRPr="00231A9F">
        <w:rPr>
          <w:b/>
          <w:sz w:val="24"/>
          <w:szCs w:val="24"/>
          <w:lang w:val="fr-FR"/>
        </w:rPr>
        <w:t>Forum mondial de l’</w:t>
      </w:r>
      <w:r w:rsidR="009812C6">
        <w:rPr>
          <w:b/>
          <w:sz w:val="24"/>
          <w:szCs w:val="24"/>
          <w:lang w:val="fr-FR"/>
        </w:rPr>
        <w:t>harmonisation des Règlements</w:t>
      </w:r>
      <w:r w:rsidR="009812C6">
        <w:rPr>
          <w:b/>
          <w:sz w:val="24"/>
          <w:szCs w:val="24"/>
          <w:lang w:val="fr-FR"/>
        </w:rPr>
        <w:br/>
      </w:r>
      <w:r w:rsidRPr="00231A9F">
        <w:rPr>
          <w:b/>
          <w:sz w:val="24"/>
          <w:szCs w:val="24"/>
          <w:lang w:val="fr-FR"/>
        </w:rPr>
        <w:t>concernant les véhicules</w:t>
      </w:r>
    </w:p>
    <w:p w:rsidR="00231A9F" w:rsidRPr="0008009D" w:rsidRDefault="00231A9F" w:rsidP="009812C6">
      <w:pPr>
        <w:spacing w:after="120"/>
        <w:rPr>
          <w:b/>
          <w:lang w:val="fr-FR"/>
        </w:rPr>
      </w:pPr>
      <w:r w:rsidRPr="0008009D">
        <w:rPr>
          <w:b/>
          <w:lang w:val="fr-FR"/>
        </w:rPr>
        <w:t>Groupe de travail des dispositions générales de sécurité</w:t>
      </w:r>
    </w:p>
    <w:p w:rsidR="00231A9F" w:rsidRPr="0008009D" w:rsidRDefault="00231A9F" w:rsidP="00231A9F">
      <w:pPr>
        <w:rPr>
          <w:b/>
          <w:lang w:val="fr-FR"/>
        </w:rPr>
      </w:pPr>
      <w:r w:rsidRPr="0008009D">
        <w:rPr>
          <w:b/>
          <w:lang w:val="fr-FR"/>
        </w:rPr>
        <w:t>115</w:t>
      </w:r>
      <w:r w:rsidRPr="0008009D">
        <w:rPr>
          <w:b/>
          <w:vertAlign w:val="superscript"/>
          <w:lang w:val="fr-FR"/>
        </w:rPr>
        <w:t>e</w:t>
      </w:r>
      <w:r w:rsidRPr="0008009D">
        <w:rPr>
          <w:b/>
          <w:lang w:val="fr-FR"/>
        </w:rPr>
        <w:t> session</w:t>
      </w:r>
    </w:p>
    <w:p w:rsidR="00231A9F" w:rsidRPr="0008009D" w:rsidRDefault="00231A9F" w:rsidP="00231A9F">
      <w:pPr>
        <w:rPr>
          <w:lang w:val="fr-FR"/>
        </w:rPr>
      </w:pPr>
      <w:r w:rsidRPr="0008009D">
        <w:rPr>
          <w:lang w:val="fr-FR"/>
        </w:rPr>
        <w:t>Genève, 9-12 octobre 2018</w:t>
      </w:r>
    </w:p>
    <w:p w:rsidR="00231A9F" w:rsidRPr="0008009D" w:rsidRDefault="00231A9F" w:rsidP="00231A9F">
      <w:pPr>
        <w:rPr>
          <w:lang w:val="fr-FR"/>
        </w:rPr>
      </w:pPr>
      <w:r w:rsidRPr="0008009D">
        <w:rPr>
          <w:lang w:val="fr-FR"/>
        </w:rPr>
        <w:t>Point 1 de l</w:t>
      </w:r>
      <w:r>
        <w:rPr>
          <w:lang w:val="fr-FR"/>
        </w:rPr>
        <w:t>’</w:t>
      </w:r>
      <w:r w:rsidRPr="0008009D">
        <w:rPr>
          <w:lang w:val="fr-FR"/>
        </w:rPr>
        <w:t>ordre du jour provisoire</w:t>
      </w:r>
    </w:p>
    <w:p w:rsidR="00231A9F" w:rsidRPr="0008009D" w:rsidRDefault="00231A9F" w:rsidP="00231A9F">
      <w:pPr>
        <w:rPr>
          <w:b/>
          <w:lang w:val="fr-FR"/>
        </w:rPr>
      </w:pPr>
      <w:r w:rsidRPr="0008009D">
        <w:rPr>
          <w:b/>
          <w:lang w:val="fr-FR"/>
        </w:rPr>
        <w:t>Adoption de l</w:t>
      </w:r>
      <w:r>
        <w:rPr>
          <w:b/>
          <w:lang w:val="fr-FR"/>
        </w:rPr>
        <w:t>’</w:t>
      </w:r>
      <w:r w:rsidRPr="0008009D">
        <w:rPr>
          <w:b/>
          <w:lang w:val="fr-FR"/>
        </w:rPr>
        <w:t>ordre du jour</w:t>
      </w:r>
    </w:p>
    <w:p w:rsidR="00231A9F" w:rsidRPr="0008009D" w:rsidRDefault="00231A9F" w:rsidP="00231A9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8009D">
        <w:rPr>
          <w:lang w:val="fr-FR"/>
        </w:rPr>
        <w:t>Ordre du jour provisoire de la 115</w:t>
      </w:r>
      <w:r w:rsidRPr="0008009D">
        <w:rPr>
          <w:vertAlign w:val="superscript"/>
          <w:lang w:val="fr-FR"/>
        </w:rPr>
        <w:t>e</w:t>
      </w:r>
      <w:r w:rsidRPr="0008009D">
        <w:rPr>
          <w:lang w:val="fr-FR"/>
        </w:rPr>
        <w:t> session</w:t>
      </w:r>
    </w:p>
    <w:p w:rsidR="00231A9F" w:rsidRPr="0008009D" w:rsidRDefault="00231A9F" w:rsidP="00231A9F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8009D">
        <w:rPr>
          <w:lang w:val="fr-FR"/>
        </w:rPr>
        <w:t>Additif</w:t>
      </w:r>
    </w:p>
    <w:p w:rsidR="00231A9F" w:rsidRPr="0008009D" w:rsidRDefault="00231A9F" w:rsidP="00231A9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8009D">
        <w:rPr>
          <w:lang w:val="fr-FR"/>
        </w:rPr>
        <w:t>Annotations</w:t>
      </w:r>
    </w:p>
    <w:p w:rsidR="00231A9F" w:rsidRPr="0008009D" w:rsidRDefault="00231A9F" w:rsidP="00231A9F">
      <w:pPr>
        <w:pStyle w:val="H1G"/>
        <w:rPr>
          <w:lang w:val="fr-FR"/>
        </w:rPr>
      </w:pPr>
      <w:r>
        <w:rPr>
          <w:lang w:val="fr-FR"/>
        </w:rPr>
        <w:tab/>
      </w:r>
      <w:r w:rsidRPr="0008009D">
        <w:rPr>
          <w:lang w:val="fr-FR"/>
        </w:rPr>
        <w:t>1.</w:t>
      </w:r>
      <w:r w:rsidRPr="0008009D">
        <w:rPr>
          <w:lang w:val="fr-FR"/>
        </w:rPr>
        <w:tab/>
        <w:t>Adoption de l</w:t>
      </w:r>
      <w:r>
        <w:rPr>
          <w:lang w:val="fr-FR"/>
        </w:rPr>
        <w:t>’</w:t>
      </w:r>
      <w:r w:rsidRPr="0008009D">
        <w:rPr>
          <w:lang w:val="fr-FR"/>
        </w:rPr>
        <w:t>ordre du jour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Conformément à l</w:t>
      </w:r>
      <w:r>
        <w:rPr>
          <w:lang w:val="fr-FR"/>
        </w:rPr>
        <w:t>’</w:t>
      </w:r>
      <w:r w:rsidRPr="0008009D">
        <w:rPr>
          <w:lang w:val="fr-FR"/>
        </w:rPr>
        <w:t>article</w:t>
      </w:r>
      <w:r w:rsidR="009812C6">
        <w:rPr>
          <w:lang w:val="fr-FR"/>
        </w:rPr>
        <w:t> </w:t>
      </w:r>
      <w:r w:rsidRPr="0008009D">
        <w:rPr>
          <w:lang w:val="fr-FR"/>
        </w:rPr>
        <w:t>7</w:t>
      </w:r>
      <w:r w:rsidR="00197FDB">
        <w:rPr>
          <w:lang w:val="fr-FR"/>
        </w:rPr>
        <w:t xml:space="preserve"> </w:t>
      </w:r>
      <w:r w:rsidRPr="0008009D">
        <w:rPr>
          <w:lang w:val="fr-FR"/>
        </w:rPr>
        <w:t>du chapitre III</w:t>
      </w:r>
      <w:r w:rsidR="009812C6">
        <w:rPr>
          <w:lang w:val="fr-FR"/>
        </w:rPr>
        <w:t xml:space="preserve"> </w:t>
      </w:r>
      <w:r w:rsidRPr="0008009D">
        <w:rPr>
          <w:lang w:val="fr-FR"/>
        </w:rPr>
        <w:t>du Règlement intérieur (ECE/TRANS/WP.29/690/Rev.1) du Forum mondial de l</w:t>
      </w:r>
      <w:r>
        <w:rPr>
          <w:lang w:val="fr-FR"/>
        </w:rPr>
        <w:t>’</w:t>
      </w:r>
      <w:r w:rsidRPr="0008009D">
        <w:rPr>
          <w:lang w:val="fr-FR"/>
        </w:rPr>
        <w:t>harmonisation des Règlements concernant les véhicules (WP.29), le premier point de l</w:t>
      </w:r>
      <w:r>
        <w:rPr>
          <w:lang w:val="fr-FR"/>
        </w:rPr>
        <w:t>’</w:t>
      </w:r>
      <w:r w:rsidRPr="0008009D">
        <w:rPr>
          <w:lang w:val="fr-FR"/>
        </w:rPr>
        <w:t>ordre du jour provisoire est l</w:t>
      </w:r>
      <w:r>
        <w:rPr>
          <w:lang w:val="fr-FR"/>
        </w:rPr>
        <w:t>’</w:t>
      </w:r>
      <w:r w:rsidRPr="0008009D">
        <w:rPr>
          <w:lang w:val="fr-FR"/>
        </w:rPr>
        <w:t>adoption de l</w:t>
      </w:r>
      <w:r>
        <w:rPr>
          <w:lang w:val="fr-FR"/>
        </w:rPr>
        <w:t>’</w:t>
      </w:r>
      <w:r w:rsidRPr="0008009D">
        <w:rPr>
          <w:lang w:val="fr-FR"/>
        </w:rPr>
        <w:t>ordre du jour.</w:t>
      </w:r>
    </w:p>
    <w:p w:rsidR="00231A9F" w:rsidRPr="0008009D" w:rsidRDefault="00231A9F" w:rsidP="00197FDB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spacing w:val="-2"/>
          <w:lang w:val="fr-FR"/>
        </w:rPr>
        <w:t>Document(s) </w:t>
      </w:r>
      <w:r w:rsidRPr="0008009D">
        <w:rPr>
          <w:spacing w:val="-2"/>
          <w:lang w:val="fr-FR"/>
        </w:rPr>
        <w:t xml:space="preserve">: </w:t>
      </w:r>
      <w:r w:rsidRPr="0008009D">
        <w:rPr>
          <w:spacing w:val="-2"/>
          <w:lang w:val="fr-FR"/>
        </w:rPr>
        <w:tab/>
      </w:r>
      <w:r w:rsidRPr="0008009D">
        <w:rPr>
          <w:lang w:val="fr-FR"/>
        </w:rPr>
        <w:t>ECE/TRANS/WP.29/GRSG/2018/10 et Add.1 ;</w:t>
      </w:r>
      <w:r w:rsidR="00197FDB">
        <w:rPr>
          <w:lang w:val="fr-FR"/>
        </w:rPr>
        <w:br/>
      </w:r>
      <w:r w:rsidRPr="0008009D">
        <w:rPr>
          <w:lang w:val="fr-FR"/>
        </w:rPr>
        <w:t>Document informel GRSG-115-01.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2.</w:t>
      </w:r>
      <w:r w:rsidR="00231A9F" w:rsidRPr="0008009D">
        <w:rPr>
          <w:lang w:val="fr-FR"/>
        </w:rPr>
        <w:tab/>
        <w:t>Amendements au</w:t>
      </w:r>
      <w:r w:rsidR="00231A9F">
        <w:rPr>
          <w:lang w:val="fr-FR"/>
        </w:rPr>
        <w:t>x</w:t>
      </w:r>
      <w:r w:rsidR="00231A9F" w:rsidRPr="0008009D">
        <w:rPr>
          <w:lang w:val="fr-FR"/>
        </w:rPr>
        <w:t xml:space="preserve"> Règlements sur les autobus et les autocars</w:t>
      </w:r>
    </w:p>
    <w:p w:rsidR="00231A9F" w:rsidRPr="0008009D" w:rsidRDefault="00231A9F" w:rsidP="009812C6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des dispositions générales de sécurité (GRSG) devrait être informé par le Président du groupe de travail informel du comportement général des véhicules de catégorie M</w:t>
      </w:r>
      <w:r w:rsidRPr="0008009D">
        <w:rPr>
          <w:vertAlign w:val="subscript"/>
          <w:lang w:val="fr-FR"/>
        </w:rPr>
        <w:t>2</w:t>
      </w:r>
      <w:r w:rsidRPr="0008009D">
        <w:rPr>
          <w:lang w:val="fr-FR"/>
        </w:rPr>
        <w:t xml:space="preserve"> et M</w:t>
      </w:r>
      <w:r w:rsidRPr="0008009D">
        <w:rPr>
          <w:vertAlign w:val="subscript"/>
          <w:lang w:val="fr-FR"/>
        </w:rPr>
        <w:t>3</w:t>
      </w:r>
      <w:r w:rsidRPr="0008009D">
        <w:rPr>
          <w:lang w:val="fr-FR"/>
        </w:rPr>
        <w:t xml:space="preserve"> en cas d</w:t>
      </w:r>
      <w:r>
        <w:rPr>
          <w:lang w:val="fr-FR"/>
        </w:rPr>
        <w:t>’</w:t>
      </w:r>
      <w:r w:rsidRPr="0008009D">
        <w:rPr>
          <w:lang w:val="fr-FR"/>
        </w:rPr>
        <w:t>incendie (BMFE)</w:t>
      </w:r>
      <w:r>
        <w:rPr>
          <w:lang w:val="fr-FR"/>
        </w:rPr>
        <w:t xml:space="preserve"> des</w:t>
      </w:r>
      <w:r w:rsidRPr="0008009D">
        <w:rPr>
          <w:lang w:val="fr-FR"/>
        </w:rPr>
        <w:t xml:space="preserve"> résultat</w:t>
      </w:r>
      <w:r>
        <w:rPr>
          <w:lang w:val="fr-FR"/>
        </w:rPr>
        <w:t>s</w:t>
      </w:r>
      <w:r w:rsidRPr="0008009D">
        <w:rPr>
          <w:lang w:val="fr-FR"/>
        </w:rPr>
        <w:t xml:space="preserve"> des dernières réunions du groupe. 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a)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107 (Construction générale des autobus et autocars)</w:t>
      </w:r>
    </w:p>
    <w:p w:rsidR="00231A9F" w:rsidRPr="0008009D" w:rsidRDefault="00231A9F" w:rsidP="009812C6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de reprendre l</w:t>
      </w:r>
      <w:r>
        <w:rPr>
          <w:lang w:val="fr-FR"/>
        </w:rPr>
        <w:t>’</w:t>
      </w:r>
      <w:r w:rsidRPr="0008009D">
        <w:rPr>
          <w:lang w:val="fr-FR"/>
        </w:rPr>
        <w:t>examen d</w:t>
      </w:r>
      <w:r>
        <w:rPr>
          <w:lang w:val="fr-FR"/>
        </w:rPr>
        <w:t>’</w:t>
      </w:r>
      <w:r w:rsidRPr="0008009D">
        <w:rPr>
          <w:lang w:val="fr-FR"/>
        </w:rPr>
        <w:t>une proposition de la Pologne (GRSG-114-05) visant à uniformiser</w:t>
      </w:r>
      <w:r w:rsidR="00D557D4">
        <w:rPr>
          <w:lang w:val="fr-FR"/>
        </w:rPr>
        <w:t xml:space="preserve"> les dispositions des annexes 3 </w:t>
      </w:r>
      <w:r w:rsidRPr="0008009D">
        <w:rPr>
          <w:lang w:val="fr-FR"/>
        </w:rPr>
        <w:t>et 11 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107.</w:t>
      </w:r>
    </w:p>
    <w:p w:rsidR="00231A9F" w:rsidRPr="0008009D" w:rsidRDefault="00231A9F" w:rsidP="009812C6">
      <w:pPr>
        <w:pStyle w:val="SingleTxtG"/>
        <w:keepNext/>
        <w:keepLines/>
        <w:ind w:firstLine="567"/>
        <w:rPr>
          <w:lang w:val="fr-FR"/>
        </w:rPr>
      </w:pPr>
      <w:r w:rsidRPr="0008009D">
        <w:rPr>
          <w:lang w:val="fr-FR"/>
        </w:rPr>
        <w:lastRenderedPageBreak/>
        <w:t>Le Groupe de travail a décidé également de réexaminer un document soumis par l</w:t>
      </w:r>
      <w:r>
        <w:rPr>
          <w:lang w:val="fr-FR"/>
        </w:rPr>
        <w:t>’</w:t>
      </w:r>
      <w:r w:rsidRPr="0008009D">
        <w:rPr>
          <w:lang w:val="fr-FR"/>
        </w:rPr>
        <w:t>Italie (</w:t>
      </w:r>
      <w:r w:rsidRPr="0008009D">
        <w:rPr>
          <w:szCs w:val="24"/>
          <w:lang w:val="fr-FR"/>
        </w:rPr>
        <w:t>GRSG-114-16</w:t>
      </w:r>
      <w:r w:rsidRPr="0008009D">
        <w:rPr>
          <w:lang w:val="fr-FR"/>
        </w:rPr>
        <w:t>), dans lequel il est proposé d</w:t>
      </w:r>
      <w:r>
        <w:rPr>
          <w:lang w:val="fr-FR"/>
        </w:rPr>
        <w:t>’</w:t>
      </w:r>
      <w:r w:rsidRPr="0008009D">
        <w:rPr>
          <w:lang w:val="fr-FR"/>
        </w:rPr>
        <w:t>adopter de nouvelles dispositions relatives à l</w:t>
      </w:r>
      <w:r>
        <w:rPr>
          <w:lang w:val="fr-FR"/>
        </w:rPr>
        <w:t>’</w:t>
      </w:r>
      <w:r w:rsidRPr="0008009D">
        <w:rPr>
          <w:lang w:val="fr-FR"/>
        </w:rPr>
        <w:t>homologation des dispositifs innovants autres que les plateformes, visant à améliorer l</w:t>
      </w:r>
      <w:r>
        <w:rPr>
          <w:lang w:val="fr-FR"/>
        </w:rPr>
        <w:t>’</w:t>
      </w:r>
      <w:r w:rsidRPr="0008009D">
        <w:rPr>
          <w:lang w:val="fr-FR"/>
        </w:rPr>
        <w:t>accessibilité des personnes à mobilité réduite, en particulier aux autocars.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Documents informels GRSG-114-05 et GRSG-114-16.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b)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118 (Résistance au feu des matériaux utilisés à l</w:t>
      </w:r>
      <w:r w:rsidR="00231A9F">
        <w:rPr>
          <w:lang w:val="fr-FR"/>
        </w:rPr>
        <w:t>’</w:t>
      </w:r>
      <w:r>
        <w:rPr>
          <w:lang w:val="fr-FR"/>
        </w:rPr>
        <w:t>intérieur</w:t>
      </w:r>
      <w:r>
        <w:rPr>
          <w:lang w:val="fr-FR"/>
        </w:rPr>
        <w:br/>
      </w:r>
      <w:r w:rsidR="00231A9F" w:rsidRPr="0008009D">
        <w:rPr>
          <w:lang w:val="fr-FR"/>
        </w:rPr>
        <w:t>du véhicule)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voudra sans doute examiner une proposition du groupe de travail informel BMFE visant à modifier les dispositions 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118,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3.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26</w:t>
      </w:r>
      <w:r>
        <w:rPr>
          <w:lang w:val="fr-FR"/>
        </w:rPr>
        <w:t xml:space="preserve"> </w:t>
      </w:r>
      <w:r w:rsidR="00231A9F" w:rsidRPr="0008009D">
        <w:rPr>
          <w:lang w:val="fr-FR"/>
        </w:rPr>
        <w:t>(Saillies extérieures des voitures particulières)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devrait examiner une proposition de la France visant à </w:t>
      </w:r>
      <w:r>
        <w:rPr>
          <w:lang w:val="fr-FR"/>
        </w:rPr>
        <w:t xml:space="preserve">clarifier </w:t>
      </w:r>
      <w:r w:rsidRPr="0008009D">
        <w:rPr>
          <w:lang w:val="fr-FR"/>
        </w:rPr>
        <w:t>les dispositions relatives aux essuie-glaces.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ECE/TRANS/WP.29/GRSG/2018/17.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4.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35 (Disposition des pédales de commande)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voudra sans doute examiner une proposition visant à modifier les dispositions 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35,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5.</w:t>
      </w:r>
      <w:r w:rsidR="00231A9F" w:rsidRPr="0008009D">
        <w:rPr>
          <w:lang w:val="fr-FR"/>
        </w:rPr>
        <w:tab/>
        <w:t>Amendements aux Règlements relatifs aux vitrages de sécurité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sera informé par le Président du groupe de travail informel des vitrages de toit panoramique </w:t>
      </w:r>
      <w:r>
        <w:rPr>
          <w:lang w:val="fr-FR"/>
        </w:rPr>
        <w:t xml:space="preserve">(PSG) </w:t>
      </w:r>
      <w:r w:rsidRPr="0008009D">
        <w:rPr>
          <w:lang w:val="fr-FR"/>
        </w:rPr>
        <w:t>de l</w:t>
      </w:r>
      <w:r>
        <w:rPr>
          <w:lang w:val="fr-FR"/>
        </w:rPr>
        <w:t>’</w:t>
      </w:r>
      <w:r w:rsidRPr="0008009D">
        <w:rPr>
          <w:lang w:val="fr-FR"/>
        </w:rPr>
        <w:t>état d</w:t>
      </w:r>
      <w:r>
        <w:rPr>
          <w:lang w:val="fr-FR"/>
        </w:rPr>
        <w:t>’</w:t>
      </w:r>
      <w:r w:rsidRPr="0008009D">
        <w:rPr>
          <w:lang w:val="fr-FR"/>
        </w:rPr>
        <w:t>avancement des travaux sur les amendements aux Règlements ONU relatifs aux vitrages de sécurité s</w:t>
      </w:r>
      <w:r>
        <w:rPr>
          <w:lang w:val="fr-FR"/>
        </w:rPr>
        <w:t>’</w:t>
      </w:r>
      <w:r w:rsidRPr="0008009D">
        <w:rPr>
          <w:lang w:val="fr-FR"/>
        </w:rPr>
        <w:t>agissant des nouvelles dispositions sur les « zones à impression céramique ».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a)</w:t>
      </w:r>
      <w:r w:rsidR="00231A9F" w:rsidRPr="0008009D">
        <w:rPr>
          <w:lang w:val="fr-FR"/>
        </w:rPr>
        <w:tab/>
        <w:t>Règlement technique mondial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 xml:space="preserve"> 6 (Vitrages de sécurité pour les véhicules à moteur et leurs remorques)</w:t>
      </w:r>
      <w:r w:rsidR="00231A9F" w:rsidRPr="0008009D">
        <w:rPr>
          <w:lang w:val="fr-FR"/>
        </w:rPr>
        <w:tab/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devrait examiner une proposition de l</w:t>
      </w:r>
      <w:r>
        <w:rPr>
          <w:lang w:val="fr-FR"/>
        </w:rPr>
        <w:t>’</w:t>
      </w:r>
      <w:r w:rsidRPr="0008009D">
        <w:rPr>
          <w:lang w:val="fr-FR"/>
        </w:rPr>
        <w:t xml:space="preserve">Inde (fondée sur les documents GRSG-114-20 et WP.29-175-30) ou du groupe de travail informel </w:t>
      </w:r>
      <w:r>
        <w:rPr>
          <w:lang w:val="fr-FR"/>
        </w:rPr>
        <w:t>PSG</w:t>
      </w:r>
      <w:r w:rsidRPr="0008009D">
        <w:rPr>
          <w:lang w:val="fr-FR"/>
        </w:rPr>
        <w:t xml:space="preserve"> visant à préciser les dispositions du Règlement technique mondial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6,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Documents informels GRSG-114-20 et WP.29-175-30.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b)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43</w:t>
      </w:r>
      <w:r w:rsidR="00D557D4">
        <w:rPr>
          <w:lang w:val="fr-FR"/>
        </w:rPr>
        <w:t xml:space="preserve"> </w:t>
      </w:r>
      <w:r w:rsidR="00231A9F" w:rsidRPr="0008009D">
        <w:rPr>
          <w:lang w:val="fr-FR"/>
        </w:rPr>
        <w:t>(Vitrages de sécurité)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voudra sans doute examiner une proposition visant à modifier les dispositions 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43,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6.</w:t>
      </w:r>
      <w:r w:rsidR="00231A9F" w:rsidRPr="0008009D">
        <w:rPr>
          <w:lang w:val="fr-FR"/>
        </w:rPr>
        <w:tab/>
        <w:t>Conscience de la proximité d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usagers de la route vulnérables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sera informé par le Présiden</w:t>
      </w:r>
      <w:r w:rsidR="00D557D4">
        <w:rPr>
          <w:lang w:val="fr-FR"/>
        </w:rPr>
        <w:t>t du groupe de travail informel</w:t>
      </w:r>
      <w:r w:rsidRPr="0008009D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08009D">
        <w:rPr>
          <w:lang w:val="fr-FR"/>
        </w:rPr>
        <w:t>la sensibilisation à la proximité d</w:t>
      </w:r>
      <w:r>
        <w:rPr>
          <w:lang w:val="fr-FR"/>
        </w:rPr>
        <w:t>’</w:t>
      </w:r>
      <w:r w:rsidRPr="0008009D">
        <w:rPr>
          <w:lang w:val="fr-FR"/>
        </w:rPr>
        <w:t xml:space="preserve">usagers de la route vulnérables des </w:t>
      </w:r>
      <w:r w:rsidR="00D557D4">
        <w:rPr>
          <w:lang w:val="fr-FR"/>
        </w:rPr>
        <w:t>progrès réalisés par son groupe</w:t>
      </w:r>
      <w:r w:rsidRPr="0008009D">
        <w:rPr>
          <w:lang w:val="fr-FR"/>
        </w:rPr>
        <w:t xml:space="preserve"> </w:t>
      </w:r>
      <w:r>
        <w:rPr>
          <w:lang w:val="fr-FR"/>
        </w:rPr>
        <w:t xml:space="preserve">s’agissant </w:t>
      </w:r>
      <w:r w:rsidRPr="0008009D">
        <w:rPr>
          <w:lang w:val="fr-FR"/>
        </w:rPr>
        <w:t>de</w:t>
      </w:r>
      <w:r>
        <w:rPr>
          <w:lang w:val="fr-FR"/>
        </w:rPr>
        <w:t>s</w:t>
      </w:r>
      <w:r w:rsidRPr="0008009D">
        <w:rPr>
          <w:lang w:val="fr-FR"/>
        </w:rPr>
        <w:t xml:space="preserve"> nouvelles prescriptions relatives à la zone de vision rapprochée.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a)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46 (Systèmes de vision indirecte)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voudra sans doute examiner une proposition visant à modifier les dispositions 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46,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b)</w:t>
      </w:r>
      <w:r w:rsidR="00231A9F" w:rsidRPr="0008009D">
        <w:rPr>
          <w:lang w:val="fr-FR"/>
        </w:rPr>
        <w:tab/>
        <w:t>Nouveau Règlement ONU sur les systèmes de surveillance de l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angle mort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de reprendre l</w:t>
      </w:r>
      <w:r>
        <w:rPr>
          <w:lang w:val="fr-FR"/>
        </w:rPr>
        <w:t>’</w:t>
      </w:r>
      <w:r w:rsidRPr="0008009D">
        <w:rPr>
          <w:lang w:val="fr-FR"/>
        </w:rPr>
        <w:t>examen du projet révisé de nouveau Règlement ONU sur les systèmes de surveillance de l</w:t>
      </w:r>
      <w:r>
        <w:rPr>
          <w:lang w:val="fr-FR"/>
        </w:rPr>
        <w:t>’</w:t>
      </w:r>
      <w:r w:rsidRPr="0008009D">
        <w:rPr>
          <w:lang w:val="fr-FR"/>
        </w:rPr>
        <w:t>angle mort soumis par l</w:t>
      </w:r>
      <w:r>
        <w:rPr>
          <w:lang w:val="fr-FR"/>
        </w:rPr>
        <w:t>’</w:t>
      </w:r>
      <w:r w:rsidRPr="0008009D">
        <w:rPr>
          <w:lang w:val="fr-FR"/>
        </w:rPr>
        <w:t xml:space="preserve">Allemagne, </w:t>
      </w:r>
      <w:r w:rsidRPr="0008009D">
        <w:rPr>
          <w:lang w:val="fr-FR"/>
        </w:rPr>
        <w:lastRenderedPageBreak/>
        <w:t xml:space="preserve">en tenant compte des commentaires détaillés fournis par le groupe de travail informel </w:t>
      </w:r>
      <w:r>
        <w:rPr>
          <w:lang w:val="fr-FR"/>
        </w:rPr>
        <w:t xml:space="preserve">de </w:t>
      </w:r>
      <w:r w:rsidRPr="0008009D">
        <w:rPr>
          <w:lang w:val="fr-FR"/>
        </w:rPr>
        <w:t>la sensibilisation à la proximité d</w:t>
      </w:r>
      <w:r>
        <w:rPr>
          <w:lang w:val="fr-FR"/>
        </w:rPr>
        <w:t>’</w:t>
      </w:r>
      <w:r w:rsidRPr="0008009D">
        <w:rPr>
          <w:lang w:val="fr-FR"/>
        </w:rPr>
        <w:t xml:space="preserve">usagers de la route vulnérables. 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ECE/TRANS/WP.29/GRSG/2018/24.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7.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55 (Pièces mécaniques d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attelage)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Comme suite à la décision prise par le WP.29 à sa session de juin 2018 (</w:t>
      </w:r>
      <w:r w:rsidRPr="0008009D">
        <w:rPr>
          <w:szCs w:val="24"/>
          <w:lang w:val="fr-FR"/>
        </w:rPr>
        <w:t>ECE/TRANS/WP.29/1139, par.</w:t>
      </w:r>
      <w:r w:rsidR="00D557D4">
        <w:rPr>
          <w:szCs w:val="24"/>
          <w:lang w:val="fr-FR"/>
        </w:rPr>
        <w:t> </w:t>
      </w:r>
      <w:r w:rsidRPr="0008009D">
        <w:rPr>
          <w:szCs w:val="24"/>
          <w:lang w:val="fr-FR"/>
        </w:rPr>
        <w:t>33</w:t>
      </w:r>
      <w:r w:rsidRPr="0008009D">
        <w:rPr>
          <w:lang w:val="fr-FR"/>
        </w:rPr>
        <w:t>), le Groupe de travail devrait examiner une proposition de l</w:t>
      </w:r>
      <w:r>
        <w:rPr>
          <w:lang w:val="fr-FR"/>
        </w:rPr>
        <w:t>’</w:t>
      </w:r>
      <w:r w:rsidRPr="0008009D">
        <w:rPr>
          <w:lang w:val="fr-FR"/>
        </w:rPr>
        <w:t>Association européenne des fournisseurs de l</w:t>
      </w:r>
      <w:r>
        <w:rPr>
          <w:lang w:val="fr-FR"/>
        </w:rPr>
        <w:t>’</w:t>
      </w:r>
      <w:r w:rsidRPr="0008009D">
        <w:rPr>
          <w:lang w:val="fr-FR"/>
        </w:rPr>
        <w:t xml:space="preserve">automobile (CLEPA) (ECE/TRANS/WP.29/GRVA/2018/10) visant à </w:t>
      </w:r>
      <w:r>
        <w:rPr>
          <w:lang w:val="fr-FR"/>
        </w:rPr>
        <w:t xml:space="preserve">clarifier </w:t>
      </w:r>
      <w:r w:rsidR="002154AC">
        <w:rPr>
          <w:lang w:val="fr-FR"/>
        </w:rPr>
        <w:t>les dispositions du Règlement </w:t>
      </w:r>
      <w:r w:rsidRPr="0008009D">
        <w:rPr>
          <w:lang w:val="fr-FR"/>
        </w:rPr>
        <w:t>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55.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une proposition de la Pologne visant à apporter une modification d</w:t>
      </w:r>
      <w:r>
        <w:rPr>
          <w:lang w:val="fr-FR"/>
        </w:rPr>
        <w:t>’</w:t>
      </w:r>
      <w:r w:rsidRPr="0008009D">
        <w:rPr>
          <w:lang w:val="fr-FR"/>
        </w:rPr>
        <w:t>ordre rédactionnel destinée à clarifier le texte du Règlement (ECE/TRANS/WP.29/GRVA/2018/11).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 xml:space="preserve">ECE/TRANS/WP.29/GRVA/2018/10 ; </w:t>
      </w:r>
      <w:r w:rsidR="00D557D4">
        <w:rPr>
          <w:lang w:val="fr-FR"/>
        </w:rPr>
        <w:br/>
      </w:r>
      <w:r w:rsidRPr="0008009D">
        <w:rPr>
          <w:lang w:val="fr-FR"/>
        </w:rPr>
        <w:t>ECE/TRANS/WP.29/GRVA/2018/11.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8.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62 (Dispo</w:t>
      </w:r>
      <w:r w:rsidR="007E4B17">
        <w:rPr>
          <w:lang w:val="fr-FR"/>
        </w:rPr>
        <w:t>sitifs antivol des cyclomoteurs</w:t>
      </w:r>
      <w:r w:rsidR="007E4B17">
        <w:rPr>
          <w:lang w:val="fr-FR"/>
        </w:rPr>
        <w:br/>
      </w:r>
      <w:r w:rsidR="00231A9F" w:rsidRPr="0008009D">
        <w:rPr>
          <w:lang w:val="fr-FR"/>
        </w:rPr>
        <w:t>et motocycles)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une proposition de l</w:t>
      </w:r>
      <w:r>
        <w:rPr>
          <w:lang w:val="fr-FR"/>
        </w:rPr>
        <w:t>’</w:t>
      </w:r>
      <w:r w:rsidRPr="0008009D">
        <w:rPr>
          <w:lang w:val="fr-FR"/>
        </w:rPr>
        <w:t>Allemagne visant à introduire, dans le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 xml:space="preserve"> 62, de nouvelles dispositions concernant les dispositifs électromécaniques et électroniques de protection contre une utilisation non autorisée. </w:t>
      </w:r>
    </w:p>
    <w:p w:rsidR="00231A9F" w:rsidRPr="0008009D" w:rsidRDefault="00231A9F" w:rsidP="00D557D4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ECE/TRANS/WP.29/GRSG/2018/15.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9.</w:t>
      </w:r>
      <w:r w:rsidR="00231A9F" w:rsidRPr="0008009D">
        <w:rPr>
          <w:lang w:val="fr-FR"/>
        </w:rPr>
        <w:tab/>
        <w:t>Amendements aux Règlements concer</w:t>
      </w:r>
      <w:r w:rsidR="007E4B17">
        <w:rPr>
          <w:lang w:val="fr-FR"/>
        </w:rPr>
        <w:t>nant les véhicules fonctionnant</w:t>
      </w:r>
      <w:r w:rsidR="007E4B17">
        <w:rPr>
          <w:lang w:val="fr-FR"/>
        </w:rPr>
        <w:br/>
      </w:r>
      <w:r w:rsidR="00231A9F" w:rsidRPr="0008009D">
        <w:rPr>
          <w:lang w:val="fr-FR"/>
        </w:rPr>
        <w:t>au gaz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a)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67 (Véhicules alimentés au GPL)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 xml:space="preserve">voudra sans doute </w:t>
      </w:r>
      <w:r w:rsidRPr="0008009D">
        <w:rPr>
          <w:lang w:val="fr-FR"/>
        </w:rPr>
        <w:t>reprendre l</w:t>
      </w:r>
      <w:r>
        <w:rPr>
          <w:lang w:val="fr-FR"/>
        </w:rPr>
        <w:t>’</w:t>
      </w:r>
      <w:r w:rsidRPr="0008009D">
        <w:rPr>
          <w:lang w:val="fr-FR"/>
        </w:rPr>
        <w:t>examen d</w:t>
      </w:r>
      <w:r>
        <w:rPr>
          <w:lang w:val="fr-FR"/>
        </w:rPr>
        <w:t>’</w:t>
      </w:r>
      <w:r w:rsidRPr="0008009D">
        <w:rPr>
          <w:lang w:val="fr-FR"/>
        </w:rPr>
        <w:t>une proposition de l</w:t>
      </w:r>
      <w:r>
        <w:rPr>
          <w:lang w:val="fr-FR"/>
        </w:rPr>
        <w:t>’</w:t>
      </w:r>
      <w:r w:rsidRPr="0008009D">
        <w:rPr>
          <w:lang w:val="fr-FR"/>
        </w:rPr>
        <w:t>équipe spéciale visant à modifier les prescriptions relatives aux essais de vieillissement prévus à l</w:t>
      </w:r>
      <w:r>
        <w:rPr>
          <w:lang w:val="fr-FR"/>
        </w:rPr>
        <w:t>’</w:t>
      </w:r>
      <w:r w:rsidRPr="0008009D">
        <w:rPr>
          <w:lang w:val="fr-FR"/>
        </w:rPr>
        <w:t>annexe</w:t>
      </w:r>
      <w:r w:rsidR="00D557D4">
        <w:rPr>
          <w:lang w:val="fr-FR"/>
        </w:rPr>
        <w:t> </w:t>
      </w:r>
      <w:r w:rsidRPr="0008009D">
        <w:rPr>
          <w:lang w:val="fr-FR"/>
        </w:rPr>
        <w:t>15</w:t>
      </w:r>
      <w:r w:rsidR="00D557D4">
        <w:rPr>
          <w:lang w:val="fr-FR"/>
        </w:rPr>
        <w:t xml:space="preserve"> </w:t>
      </w:r>
      <w:r w:rsidRPr="0008009D">
        <w:rPr>
          <w:lang w:val="fr-FR"/>
        </w:rPr>
        <w:t>du Règlement ONU n</w:t>
      </w:r>
      <w:r w:rsidRPr="0008009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8009D">
        <w:rPr>
          <w:lang w:val="fr-FR"/>
        </w:rPr>
        <w:t>67</w:t>
      </w:r>
      <w:r w:rsidR="009812C6">
        <w:rPr>
          <w:lang w:val="fr-FR"/>
        </w:rPr>
        <w:t xml:space="preserve"> </w:t>
      </w:r>
      <w:r w:rsidRPr="0008009D">
        <w:rPr>
          <w:lang w:val="fr-FR"/>
        </w:rPr>
        <w:t>et au résultat du vieillissement des matériaux, tels que les tuyaux en caoutchouc, qui sont en contact avec le GPL (ECE/TRANS/WP.29/GRSG/2018/2).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devrait examiner plus avant une proposition de la Turquie concernant l</w:t>
      </w:r>
      <w:r>
        <w:rPr>
          <w:lang w:val="fr-FR"/>
        </w:rPr>
        <w:t>’</w:t>
      </w:r>
      <w:r w:rsidRPr="0008009D">
        <w:rPr>
          <w:lang w:val="fr-FR"/>
        </w:rPr>
        <w:t>ajout de nouvelles dispositions relatives au positionnement de l</w:t>
      </w:r>
      <w:r>
        <w:rPr>
          <w:lang w:val="fr-FR"/>
        </w:rPr>
        <w:t>’</w:t>
      </w:r>
      <w:r w:rsidRPr="0008009D">
        <w:rPr>
          <w:lang w:val="fr-FR"/>
        </w:rPr>
        <w:t>embout de remplissage sur le véhicule et l</w:t>
      </w:r>
      <w:r>
        <w:rPr>
          <w:lang w:val="fr-FR"/>
        </w:rPr>
        <w:t>’</w:t>
      </w:r>
      <w:r w:rsidRPr="0008009D">
        <w:rPr>
          <w:lang w:val="fr-FR"/>
        </w:rPr>
        <w:t>introduction d</w:t>
      </w:r>
      <w:r>
        <w:rPr>
          <w:lang w:val="fr-FR"/>
        </w:rPr>
        <w:t>’</w:t>
      </w:r>
      <w:r w:rsidRPr="0008009D">
        <w:rPr>
          <w:lang w:val="fr-FR"/>
        </w:rPr>
        <w:t xml:space="preserve">une limite applicable à la durée de vie en service des réservoirs à GPL (ECE/TRANS/WP.29/GRSG/2017/22). 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le document ECE/TRANS/WP.29/GRSG/2018/20 (remplaçant le document ECE/TRANS/WP.29/</w:t>
      </w:r>
      <w:r w:rsidR="00197FDB">
        <w:rPr>
          <w:lang w:val="fr-FR"/>
        </w:rPr>
        <w:t xml:space="preserve"> </w:t>
      </w:r>
      <w:r w:rsidRPr="0008009D">
        <w:rPr>
          <w:lang w:val="fr-FR"/>
        </w:rPr>
        <w:t>GRSG/2018/8) soumis par l</w:t>
      </w:r>
      <w:r>
        <w:rPr>
          <w:lang w:val="fr-FR"/>
        </w:rPr>
        <w:t>’</w:t>
      </w:r>
      <w:r w:rsidRPr="0008009D">
        <w:rPr>
          <w:lang w:val="fr-FR"/>
        </w:rPr>
        <w:t>Association européenne des gaz de pétrole liquéfiés (AEGPL), qui vise à simplifier et à adapter</w:t>
      </w:r>
      <w:r>
        <w:rPr>
          <w:lang w:val="fr-FR"/>
        </w:rPr>
        <w:t xml:space="preserve"> le Règlement</w:t>
      </w:r>
      <w:r w:rsidRPr="0008009D">
        <w:rPr>
          <w:lang w:val="fr-FR"/>
        </w:rPr>
        <w:t xml:space="preserve"> à l</w:t>
      </w:r>
      <w:r>
        <w:rPr>
          <w:lang w:val="fr-FR"/>
        </w:rPr>
        <w:t>’</w:t>
      </w:r>
      <w:r w:rsidRPr="0008009D">
        <w:rPr>
          <w:lang w:val="fr-FR"/>
        </w:rPr>
        <w:t>évolution technique, en particulier la définition d</w:t>
      </w:r>
      <w:r>
        <w:rPr>
          <w:lang w:val="fr-FR"/>
        </w:rPr>
        <w:t>’</w:t>
      </w:r>
      <w:r w:rsidRPr="0008009D">
        <w:rPr>
          <w:lang w:val="fr-FR"/>
        </w:rPr>
        <w:t>un type de conteneur et l</w:t>
      </w:r>
      <w:r>
        <w:rPr>
          <w:lang w:val="fr-FR"/>
        </w:rPr>
        <w:t>’</w:t>
      </w:r>
      <w:r w:rsidRPr="0008009D">
        <w:rPr>
          <w:lang w:val="fr-FR"/>
        </w:rPr>
        <w:t>annexe 2B.</w:t>
      </w:r>
    </w:p>
    <w:p w:rsidR="00231A9F" w:rsidRPr="003658B6" w:rsidRDefault="00231A9F" w:rsidP="003658B6">
      <w:pPr>
        <w:pStyle w:val="SingleTxtG"/>
        <w:ind w:left="2552" w:hanging="1418"/>
        <w:jc w:val="left"/>
      </w:pPr>
      <w:r w:rsidRPr="003658B6">
        <w:rPr>
          <w:b/>
        </w:rPr>
        <w:t>Document(s) </w:t>
      </w:r>
      <w:r w:rsidRPr="003658B6">
        <w:t xml:space="preserve">: </w:t>
      </w:r>
      <w:r w:rsidRPr="003658B6">
        <w:tab/>
        <w:t>(ECE/TRANS/WP.29/GRSG/2017/22) ;</w:t>
      </w:r>
      <w:r w:rsidR="003658B6" w:rsidRPr="003658B6">
        <w:br/>
        <w:t xml:space="preserve"> </w:t>
      </w:r>
      <w:r w:rsidRPr="003658B6">
        <w:t>(ECE/TRANS/WP.29/GRSG/2018/2) ;</w:t>
      </w:r>
      <w:r w:rsidR="003658B6" w:rsidRPr="003658B6">
        <w:br/>
      </w:r>
      <w:r w:rsidRPr="003658B6">
        <w:t>(ECE/TRANS/WP.29/GRSG/2018/8) ;</w:t>
      </w:r>
      <w:r w:rsidR="003658B6" w:rsidRPr="003658B6">
        <w:br/>
      </w:r>
      <w:r w:rsidRPr="003658B6">
        <w:t>ECE/TRANS/WP.29/GRSG/2018/20.</w:t>
      </w:r>
    </w:p>
    <w:p w:rsidR="00231A9F" w:rsidRPr="0008009D" w:rsidRDefault="00197FDB" w:rsidP="00197FDB">
      <w:pPr>
        <w:pStyle w:val="H23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b)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110 (Véhicules alimentés au GNC/GNL)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devrait être informé par l</w:t>
      </w:r>
      <w:r>
        <w:rPr>
          <w:lang w:val="fr-FR"/>
        </w:rPr>
        <w:t>’</w:t>
      </w:r>
      <w:r w:rsidRPr="0008009D">
        <w:rPr>
          <w:lang w:val="fr-FR"/>
        </w:rPr>
        <w:t>expert de l</w:t>
      </w:r>
      <w:r>
        <w:rPr>
          <w:lang w:val="fr-FR"/>
        </w:rPr>
        <w:t>’</w:t>
      </w:r>
      <w:r w:rsidRPr="0008009D">
        <w:rPr>
          <w:lang w:val="fr-FR"/>
        </w:rPr>
        <w:t>Allemagne</w:t>
      </w:r>
      <w:r>
        <w:rPr>
          <w:lang w:val="fr-FR"/>
        </w:rPr>
        <w:t>,</w:t>
      </w:r>
      <w:r w:rsidRPr="0008009D">
        <w:rPr>
          <w:lang w:val="fr-FR"/>
        </w:rPr>
        <w:t xml:space="preserve"> qui dirige l</w:t>
      </w:r>
      <w:r>
        <w:rPr>
          <w:lang w:val="fr-FR"/>
        </w:rPr>
        <w:t>’</w:t>
      </w:r>
      <w:r w:rsidRPr="0008009D">
        <w:rPr>
          <w:lang w:val="fr-FR"/>
        </w:rPr>
        <w:t>équipe spéciale chargée d</w:t>
      </w:r>
      <w:r>
        <w:rPr>
          <w:lang w:val="fr-FR"/>
        </w:rPr>
        <w:t>’</w:t>
      </w:r>
      <w:r w:rsidRPr="0008009D">
        <w:rPr>
          <w:lang w:val="fr-FR"/>
        </w:rPr>
        <w:t xml:space="preserve">examiner les amendements au Règlement ONU </w:t>
      </w:r>
      <w:r w:rsidR="003658B6" w:rsidRPr="003658B6">
        <w:rPr>
          <w:rFonts w:eastAsia="MS Mincho"/>
          <w:lang w:val="fr-FR"/>
        </w:rPr>
        <w:t>n</w:t>
      </w:r>
      <w:r w:rsidR="003658B6" w:rsidRPr="003658B6">
        <w:rPr>
          <w:rFonts w:eastAsia="MS Mincho"/>
          <w:vertAlign w:val="superscript"/>
          <w:lang w:val="fr-FR"/>
        </w:rPr>
        <w:t>o</w:t>
      </w:r>
      <w:r w:rsidR="003658B6">
        <w:rPr>
          <w:lang w:val="fr-FR"/>
        </w:rPr>
        <w:t> </w:t>
      </w:r>
      <w:r w:rsidRPr="0008009D">
        <w:rPr>
          <w:lang w:val="fr-FR"/>
        </w:rPr>
        <w:t xml:space="preserve">110 proposés </w:t>
      </w:r>
      <w:r w:rsidRPr="0008009D">
        <w:rPr>
          <w:lang w:val="fr-FR"/>
        </w:rPr>
        <w:lastRenderedPageBreak/>
        <w:t xml:space="preserve">dans le document ECE/TRANS/WP.29/GRSG/2017/29. 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le document ECE/TRANS/WP.29/GRSG/2018/16</w:t>
      </w:r>
      <w:r>
        <w:rPr>
          <w:lang w:val="fr-FR"/>
        </w:rPr>
        <w:t xml:space="preserve"> </w:t>
      </w:r>
      <w:r w:rsidRPr="0008009D">
        <w:rPr>
          <w:lang w:val="fr-FR"/>
        </w:rPr>
        <w:t>soumis par l</w:t>
      </w:r>
      <w:r>
        <w:rPr>
          <w:lang w:val="fr-FR"/>
        </w:rPr>
        <w:t>’</w:t>
      </w:r>
      <w:r w:rsidRPr="0008009D">
        <w:rPr>
          <w:lang w:val="fr-FR"/>
        </w:rPr>
        <w:t>Italie, dans lequel il est proposé de modifier l</w:t>
      </w:r>
      <w:r>
        <w:rPr>
          <w:lang w:val="fr-FR"/>
        </w:rPr>
        <w:t>’</w:t>
      </w:r>
      <w:r w:rsidRPr="0008009D">
        <w:rPr>
          <w:lang w:val="fr-FR"/>
        </w:rPr>
        <w:t>annexe 3A du Règlement en ce qui concerne les prescriptions d</w:t>
      </w:r>
      <w:r>
        <w:rPr>
          <w:lang w:val="fr-FR"/>
        </w:rPr>
        <w:t>’</w:t>
      </w:r>
      <w:r w:rsidRPr="0008009D">
        <w:rPr>
          <w:lang w:val="fr-FR"/>
        </w:rPr>
        <w:t>essai pour la requalification périodique des bouteilles de GNC, notamment en y introduisant de nouvelles dispositions exigeant que toutes les bouteilles soient soumises à un essai de choc sans capot de protection, le but étant d</w:t>
      </w:r>
      <w:r>
        <w:rPr>
          <w:lang w:val="fr-FR"/>
        </w:rPr>
        <w:t>’</w:t>
      </w:r>
      <w:r w:rsidRPr="0008009D">
        <w:rPr>
          <w:lang w:val="fr-FR"/>
        </w:rPr>
        <w:t>éviter les défaillances structurelles pendant la durée de vie en service de ces récipients.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</w:t>
      </w:r>
      <w:r>
        <w:rPr>
          <w:lang w:val="fr-FR"/>
        </w:rPr>
        <w:t>’</w:t>
      </w:r>
      <w:r w:rsidRPr="0008009D">
        <w:rPr>
          <w:lang w:val="fr-FR"/>
        </w:rPr>
        <w:t>examiner en détail une proposition des Pays-Bas visant à introduire dans le Règlement de nouvelles prescriptions applicables à certains composants utilisés dans les systèmes GNC/GNL, tels que les « accumulateurs de GNC » et les « compresseurs de GNC » (ECE/TRANS/WP.29/GRSG/2018/11). Il a décidé également de réexaminer une proposition des Pays-Bas visant à permettre l</w:t>
      </w:r>
      <w:r>
        <w:rPr>
          <w:lang w:val="fr-FR"/>
        </w:rPr>
        <w:t>’</w:t>
      </w:r>
      <w:r w:rsidRPr="0008009D">
        <w:rPr>
          <w:lang w:val="fr-FR"/>
        </w:rPr>
        <w:t>utilisation de générateurs fonctionnant au gaz pour alimenter des accessoires ou d</w:t>
      </w:r>
      <w:r>
        <w:rPr>
          <w:lang w:val="fr-FR"/>
        </w:rPr>
        <w:t>’</w:t>
      </w:r>
      <w:r w:rsidRPr="0008009D">
        <w:rPr>
          <w:lang w:val="fr-FR"/>
        </w:rPr>
        <w:t>autres systèmes montés sur les véhicules (ECE/TRANS/WP.29/GRSG/2018/12).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une proposition (ECE/TRANS/</w:t>
      </w:r>
      <w:r w:rsidR="00592AF3">
        <w:rPr>
          <w:lang w:val="fr-FR"/>
        </w:rPr>
        <w:t xml:space="preserve"> </w:t>
      </w:r>
      <w:r w:rsidRPr="0008009D">
        <w:rPr>
          <w:lang w:val="fr-FR"/>
        </w:rPr>
        <w:t>WP.29/GRSG/2018/13) de l</w:t>
      </w:r>
      <w:r>
        <w:rPr>
          <w:lang w:val="fr-FR"/>
        </w:rPr>
        <w:t>’</w:t>
      </w:r>
      <w:r w:rsidRPr="0008009D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08009D">
        <w:rPr>
          <w:lang w:val="fr-FR"/>
        </w:rPr>
        <w:t>automobiles (OICA) visant à adapter le texte du Règlement aux modèles actuels de régulateurs du débit de gaz qui sont montés sur les carburateurs et les injecteurs.</w:t>
      </w:r>
    </w:p>
    <w:p w:rsidR="00231A9F" w:rsidRPr="003B216C" w:rsidRDefault="00231A9F" w:rsidP="003B216C">
      <w:pPr>
        <w:pStyle w:val="SingleTxtG"/>
        <w:ind w:left="2552" w:hanging="1418"/>
        <w:jc w:val="left"/>
        <w:rPr>
          <w:lang w:val="en-US"/>
        </w:rPr>
      </w:pPr>
      <w:r w:rsidRPr="00711087">
        <w:rPr>
          <w:b/>
          <w:lang w:val="en-US"/>
        </w:rPr>
        <w:t>Document(s) </w:t>
      </w:r>
      <w:r w:rsidRPr="00711087">
        <w:rPr>
          <w:lang w:val="en-US"/>
        </w:rPr>
        <w:t>:</w:t>
      </w:r>
      <w:r w:rsidRPr="00711087">
        <w:rPr>
          <w:lang w:val="en-US"/>
        </w:rPr>
        <w:tab/>
        <w:t>ECE/TRANS/WP.29/GRSG/2017/29 ;</w:t>
      </w:r>
      <w:r w:rsidR="003B216C">
        <w:rPr>
          <w:lang w:val="en-US"/>
        </w:rPr>
        <w:br/>
      </w:r>
      <w:r w:rsidRPr="00711087">
        <w:rPr>
          <w:lang w:val="en-US"/>
        </w:rPr>
        <w:t>ECE/TRANS/WP.29/GRSG/</w:t>
      </w:r>
      <w:r w:rsidRPr="003B216C">
        <w:rPr>
          <w:lang w:val="en-US"/>
        </w:rPr>
        <w:t>2018</w:t>
      </w:r>
      <w:r w:rsidRPr="00711087">
        <w:rPr>
          <w:lang w:val="en-US"/>
        </w:rPr>
        <w:t>/11 ;</w:t>
      </w:r>
      <w:r w:rsidR="003B216C">
        <w:rPr>
          <w:lang w:val="en-US"/>
        </w:rPr>
        <w:br/>
      </w:r>
      <w:r w:rsidRPr="00711087">
        <w:rPr>
          <w:lang w:val="en-US"/>
        </w:rPr>
        <w:t>ECE/TRANS/WP.29/GRSG/2018/12 ;</w:t>
      </w:r>
      <w:r w:rsidR="003B216C">
        <w:rPr>
          <w:lang w:val="en-US"/>
        </w:rPr>
        <w:br/>
      </w:r>
      <w:r w:rsidRPr="00711087">
        <w:rPr>
          <w:lang w:val="en-US"/>
        </w:rPr>
        <w:t xml:space="preserve">ECE/TRANS/WP.29/GRSG/2018/13 ; </w:t>
      </w:r>
      <w:r w:rsidR="003B216C">
        <w:rPr>
          <w:lang w:val="en-US"/>
        </w:rPr>
        <w:br/>
      </w:r>
      <w:r w:rsidRPr="003B216C">
        <w:rPr>
          <w:lang w:val="en-US"/>
        </w:rPr>
        <w:t>ECE/TRANS/WP.29/GRSG/2018/16.</w:t>
      </w:r>
    </w:p>
    <w:p w:rsidR="00231A9F" w:rsidRPr="0008009D" w:rsidRDefault="00197FDB" w:rsidP="00197FDB">
      <w:pPr>
        <w:pStyle w:val="H1G"/>
        <w:rPr>
          <w:lang w:val="fr-FR"/>
        </w:rPr>
      </w:pPr>
      <w:r w:rsidRPr="003B216C">
        <w:rPr>
          <w:lang w:val="en-US"/>
        </w:rPr>
        <w:tab/>
      </w:r>
      <w:r w:rsidR="00231A9F" w:rsidRPr="0008009D">
        <w:rPr>
          <w:lang w:val="fr-FR"/>
        </w:rPr>
        <w:t>10.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 xml:space="preserve"> 73 (Dispositifs de protection latérale)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de reprendre l</w:t>
      </w:r>
      <w:r>
        <w:rPr>
          <w:lang w:val="fr-FR"/>
        </w:rPr>
        <w:t>’</w:t>
      </w:r>
      <w:r w:rsidRPr="0008009D">
        <w:rPr>
          <w:lang w:val="fr-FR"/>
        </w:rPr>
        <w:t>examen des propositions de la France visant à améliorer le niveau d</w:t>
      </w:r>
      <w:r>
        <w:rPr>
          <w:lang w:val="fr-FR"/>
        </w:rPr>
        <w:t>’</w:t>
      </w:r>
      <w:r w:rsidRPr="0008009D">
        <w:rPr>
          <w:lang w:val="fr-FR"/>
        </w:rPr>
        <w:t>efficacité des dispositifs de protection latérale pour que les usagers de la route vulnérables soient mieux protégés.</w:t>
      </w:r>
    </w:p>
    <w:p w:rsidR="00231A9F" w:rsidRPr="0008009D" w:rsidRDefault="00231A9F" w:rsidP="003B216C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(ECE/TRANS/WP.29/GRSG/2018/5) ;</w:t>
      </w:r>
      <w:r w:rsidR="003B216C">
        <w:rPr>
          <w:lang w:val="fr-FR"/>
        </w:rPr>
        <w:br/>
      </w:r>
      <w:r w:rsidRPr="0008009D">
        <w:rPr>
          <w:lang w:val="fr-FR"/>
        </w:rPr>
        <w:t>(Document informel GRSG-113-11-Rev.1) ;</w:t>
      </w:r>
      <w:r w:rsidR="003B216C">
        <w:rPr>
          <w:lang w:val="fr-FR"/>
        </w:rPr>
        <w:br/>
      </w:r>
      <w:r w:rsidRPr="0008009D">
        <w:rPr>
          <w:lang w:val="fr-FR"/>
        </w:rPr>
        <w:t>ECE/TRANS/WP.29/GRSG/2018/18 ;</w:t>
      </w:r>
      <w:r w:rsidR="003B216C">
        <w:rPr>
          <w:lang w:val="fr-FR"/>
        </w:rPr>
        <w:br/>
      </w:r>
      <w:r w:rsidRPr="0008009D">
        <w:rPr>
          <w:lang w:val="fr-FR"/>
        </w:rPr>
        <w:t>ECE/TRANS/WP.29/GRSG/2018/19.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11.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105 (</w:t>
      </w:r>
      <w:r w:rsidR="009812C6">
        <w:rPr>
          <w:lang w:val="fr-FR"/>
        </w:rPr>
        <w:t>Véhicules destinés au transport</w:t>
      </w:r>
      <w:r w:rsidR="009812C6">
        <w:rPr>
          <w:lang w:val="fr-FR"/>
        </w:rPr>
        <w:br/>
      </w:r>
      <w:r w:rsidR="00231A9F" w:rsidRPr="0008009D">
        <w:rPr>
          <w:lang w:val="fr-FR"/>
        </w:rPr>
        <w:t>de marchandises dangereuses)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</w:t>
      </w:r>
      <w:r>
        <w:rPr>
          <w:lang w:val="fr-FR"/>
        </w:rPr>
        <w:t>’</w:t>
      </w:r>
      <w:r w:rsidRPr="0008009D">
        <w:rPr>
          <w:lang w:val="fr-FR"/>
        </w:rPr>
        <w:t>examiner la proposition visant à mettre le texte du Règlement ONU n</w:t>
      </w:r>
      <w:r w:rsidRPr="0008009D">
        <w:rPr>
          <w:vertAlign w:val="superscript"/>
          <w:lang w:val="fr-FR"/>
        </w:rPr>
        <w:t>o</w:t>
      </w:r>
      <w:r w:rsidR="003B216C">
        <w:rPr>
          <w:lang w:val="fr-FR"/>
        </w:rPr>
        <w:t xml:space="preserve"> 105 </w:t>
      </w:r>
      <w:r w:rsidRPr="0008009D">
        <w:rPr>
          <w:lang w:val="fr-FR"/>
        </w:rPr>
        <w:t>en conformité avec les nouvelles dispositions de l</w:t>
      </w:r>
      <w:r>
        <w:rPr>
          <w:lang w:val="fr-FR"/>
        </w:rPr>
        <w:t>’</w:t>
      </w:r>
      <w:r w:rsidRPr="0008009D">
        <w:rPr>
          <w:lang w:val="fr-FR"/>
        </w:rPr>
        <w:t>Accord européen relatif au transport international des marchandises dangereuses par route (ADR) (édition 2019), adoptée</w:t>
      </w:r>
      <w:r>
        <w:rPr>
          <w:lang w:val="fr-FR"/>
        </w:rPr>
        <w:t>s</w:t>
      </w:r>
      <w:r w:rsidRPr="0008009D">
        <w:rPr>
          <w:lang w:val="fr-FR"/>
        </w:rPr>
        <w:t xml:space="preserve"> par le Groupe de travail des transports de marchandises dangereuses (WP.15).</w:t>
      </w:r>
    </w:p>
    <w:p w:rsidR="00231A9F" w:rsidRPr="0008009D" w:rsidRDefault="00231A9F" w:rsidP="003B216C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ECE/TRANS/WP.29/2018/126.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12.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116 (Dispositifs antivol et systèmes d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alarme)</w:t>
      </w:r>
    </w:p>
    <w:p w:rsidR="00231A9F" w:rsidRPr="009812C6" w:rsidRDefault="00231A9F" w:rsidP="00197FDB">
      <w:pPr>
        <w:pStyle w:val="SingleTxtG"/>
        <w:ind w:firstLine="567"/>
        <w:rPr>
          <w:spacing w:val="-2"/>
          <w:lang w:val="fr-FR"/>
        </w:rPr>
      </w:pPr>
      <w:r w:rsidRPr="009812C6">
        <w:rPr>
          <w:spacing w:val="-2"/>
          <w:lang w:val="fr-FR"/>
        </w:rPr>
        <w:t>Le Groupe de travail a décidé de réexaminer les propositions du représentant pour l’homologation de type internationale de l’ensemble du véhicule (IWVTA) visant à supprimer certaines dispositions et à introduire les autres dans deux nouveaux Règlements ONU.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le document ECE/TRANS/</w:t>
      </w:r>
      <w:r w:rsidR="009812C6">
        <w:rPr>
          <w:lang w:val="fr-FR"/>
        </w:rPr>
        <w:t xml:space="preserve"> </w:t>
      </w:r>
      <w:r w:rsidRPr="0008009D">
        <w:rPr>
          <w:lang w:val="fr-FR"/>
        </w:rPr>
        <w:t>WP.29/GRSG/2018/14 soumis par l</w:t>
      </w:r>
      <w:r>
        <w:rPr>
          <w:lang w:val="fr-FR"/>
        </w:rPr>
        <w:t>’</w:t>
      </w:r>
      <w:r w:rsidRPr="0008009D">
        <w:rPr>
          <w:lang w:val="fr-FR"/>
        </w:rPr>
        <w:t>OICA, qui vise à retirer du texte actuel</w:t>
      </w:r>
      <w:r w:rsidR="009812C6">
        <w:rPr>
          <w:lang w:val="fr-FR"/>
        </w:rPr>
        <w:t xml:space="preserve"> du Règlement </w:t>
      </w:r>
      <w:r w:rsidRPr="0008009D">
        <w:rPr>
          <w:lang w:val="fr-FR"/>
        </w:rPr>
        <w:t>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116</w:t>
      </w:r>
      <w:r w:rsidR="00D557D4">
        <w:rPr>
          <w:lang w:val="fr-FR"/>
        </w:rPr>
        <w:t xml:space="preserve"> </w:t>
      </w:r>
      <w:r w:rsidRPr="0008009D">
        <w:rPr>
          <w:lang w:val="fr-FR"/>
        </w:rPr>
        <w:t>les renvois aux normes européennes en matière de fréquence</w:t>
      </w:r>
      <w:r>
        <w:rPr>
          <w:lang w:val="fr-FR"/>
        </w:rPr>
        <w:t>s</w:t>
      </w:r>
      <w:r w:rsidRPr="0008009D">
        <w:rPr>
          <w:lang w:val="fr-FR"/>
        </w:rPr>
        <w:t xml:space="preserve">. 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lastRenderedPageBreak/>
        <w:t>Le Groupe de travail a décidé d</w:t>
      </w:r>
      <w:r>
        <w:rPr>
          <w:lang w:val="fr-FR"/>
        </w:rPr>
        <w:t>’</w:t>
      </w:r>
      <w:r w:rsidRPr="0008009D">
        <w:rPr>
          <w:lang w:val="fr-FR"/>
        </w:rPr>
        <w:t>examiner une proposition de l</w:t>
      </w:r>
      <w:r>
        <w:rPr>
          <w:lang w:val="fr-FR"/>
        </w:rPr>
        <w:t>’</w:t>
      </w:r>
      <w:r w:rsidRPr="0008009D">
        <w:rPr>
          <w:lang w:val="fr-FR"/>
        </w:rPr>
        <w:t>OICA visant à préciser les dispositions relatives à l</w:t>
      </w:r>
      <w:r>
        <w:rPr>
          <w:lang w:val="fr-FR"/>
        </w:rPr>
        <w:t>’</w:t>
      </w:r>
      <w:r w:rsidRPr="0008009D">
        <w:rPr>
          <w:lang w:val="fr-FR"/>
        </w:rPr>
        <w:t>essai environnemental applicable aux éléments qui ne sont pas intégrés aux véhicules, tels que les cl</w:t>
      </w:r>
      <w:r w:rsidR="007E4B17">
        <w:rPr>
          <w:lang w:val="fr-FR"/>
        </w:rPr>
        <w:t>ef</w:t>
      </w:r>
      <w:r w:rsidRPr="0008009D">
        <w:rPr>
          <w:lang w:val="fr-FR"/>
        </w:rPr>
        <w:t>s (ECE/TRANS/WP.29/GRSG/2018/25).</w:t>
      </w:r>
    </w:p>
    <w:p w:rsidR="00231A9F" w:rsidRPr="00197FDB" w:rsidRDefault="00231A9F" w:rsidP="00197FDB">
      <w:pPr>
        <w:pStyle w:val="SingleTxtG"/>
        <w:ind w:left="2552" w:hanging="1418"/>
        <w:jc w:val="left"/>
        <w:rPr>
          <w:lang w:val="fr-FR"/>
        </w:rPr>
      </w:pPr>
      <w:r w:rsidRPr="00197FDB">
        <w:rPr>
          <w:b/>
          <w:lang w:val="fr-FR"/>
        </w:rPr>
        <w:t>Document(s) </w:t>
      </w:r>
      <w:r w:rsidRPr="00197FDB">
        <w:rPr>
          <w:lang w:val="fr-FR"/>
        </w:rPr>
        <w:t>:</w:t>
      </w:r>
      <w:r w:rsidRPr="00197FDB">
        <w:rPr>
          <w:lang w:val="fr-FR"/>
        </w:rPr>
        <w:tab/>
        <w:t>ECE/TRANS/WP.29/GRSG/2017/23 ;</w:t>
      </w:r>
      <w:r w:rsidR="00197FDB" w:rsidRPr="00197FDB">
        <w:rPr>
          <w:lang w:val="fr-FR"/>
        </w:rPr>
        <w:br/>
      </w:r>
      <w:r w:rsidRPr="00197FDB">
        <w:rPr>
          <w:lang w:val="fr-FR"/>
        </w:rPr>
        <w:t>ECE/TRANS/WP.29/GRSG/2017/24/</w:t>
      </w:r>
      <w:r w:rsidRPr="00231A9F">
        <w:rPr>
          <w:lang w:val="fr-FR"/>
        </w:rPr>
        <w:t>Rev</w:t>
      </w:r>
      <w:r w:rsidRPr="00197FDB">
        <w:rPr>
          <w:lang w:val="fr-FR"/>
        </w:rPr>
        <w:t>.1 ;</w:t>
      </w:r>
      <w:r w:rsidR="00197FDB" w:rsidRPr="00197FDB">
        <w:rPr>
          <w:lang w:val="fr-FR"/>
        </w:rPr>
        <w:br/>
      </w:r>
      <w:r w:rsidRPr="0008009D">
        <w:rPr>
          <w:lang w:val="fr-FR"/>
        </w:rPr>
        <w:t>ECE/TRANS/WP.29/GRSG/2017/25 et Corr.1 ;</w:t>
      </w:r>
      <w:r w:rsidR="00197FDB">
        <w:rPr>
          <w:lang w:val="fr-FR"/>
        </w:rPr>
        <w:br/>
      </w:r>
      <w:r w:rsidRPr="00197FDB">
        <w:rPr>
          <w:lang w:val="fr-FR"/>
        </w:rPr>
        <w:t>ECE/TRANS/WP.29/GRSG/2018/14 ;</w:t>
      </w:r>
      <w:r w:rsidR="00197FDB" w:rsidRPr="00197FDB">
        <w:rPr>
          <w:lang w:val="fr-FR"/>
        </w:rPr>
        <w:br/>
      </w:r>
      <w:r w:rsidRPr="00197FDB">
        <w:rPr>
          <w:lang w:val="fr-FR"/>
        </w:rPr>
        <w:t>ECE/TRANS/WP.29/GRSG/2018/25.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13.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 w:rsidR="00231A9F" w:rsidRPr="0008009D">
        <w:rPr>
          <w:lang w:val="fr-FR"/>
        </w:rPr>
        <w:t> 121</w:t>
      </w:r>
      <w:r w:rsidR="009812C6">
        <w:rPr>
          <w:lang w:val="fr-FR"/>
        </w:rPr>
        <w:t xml:space="preserve"> </w:t>
      </w:r>
      <w:r w:rsidR="00231A9F" w:rsidRPr="0008009D">
        <w:rPr>
          <w:lang w:val="fr-FR"/>
        </w:rPr>
        <w:t>(Identifi</w:t>
      </w:r>
      <w:r>
        <w:rPr>
          <w:lang w:val="fr-FR"/>
        </w:rPr>
        <w:t>cation des commandes manuelles,</w:t>
      </w:r>
      <w:r>
        <w:rPr>
          <w:lang w:val="fr-FR"/>
        </w:rPr>
        <w:br/>
      </w:r>
      <w:r w:rsidR="00231A9F" w:rsidRPr="0008009D">
        <w:rPr>
          <w:lang w:val="fr-FR"/>
        </w:rPr>
        <w:t>des témoins et des indicateurs)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a décidé de reprendre l</w:t>
      </w:r>
      <w:r>
        <w:rPr>
          <w:lang w:val="fr-FR"/>
        </w:rPr>
        <w:t>’</w:t>
      </w:r>
      <w:r w:rsidRPr="0008009D">
        <w:rPr>
          <w:lang w:val="fr-FR"/>
        </w:rPr>
        <w:t>examen d</w:t>
      </w:r>
      <w:r>
        <w:rPr>
          <w:lang w:val="fr-FR"/>
        </w:rPr>
        <w:t>’</w:t>
      </w:r>
      <w:r w:rsidRPr="0008009D">
        <w:rPr>
          <w:lang w:val="fr-FR"/>
        </w:rPr>
        <w:t>une proposition de l</w:t>
      </w:r>
      <w:r>
        <w:rPr>
          <w:lang w:val="fr-FR"/>
        </w:rPr>
        <w:t>’</w:t>
      </w:r>
      <w:r w:rsidRPr="0008009D">
        <w:rPr>
          <w:lang w:val="fr-FR"/>
        </w:rPr>
        <w:t>OICA (ECE/TRANS/WP.29/GRSG/2018/6) visant à simplifier le traitement des changements de couleur des commandes manuelles, des témoins et des indicateurs et à supprimer une note de bas de page dans un tableau.</w:t>
      </w:r>
    </w:p>
    <w:p w:rsidR="00231A9F" w:rsidRPr="0008009D" w:rsidRDefault="00231A9F" w:rsidP="00197FDB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ECE/TRANS/WP.29/GRSG/2018/6.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14.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31A9F" w:rsidRPr="0008009D">
        <w:rPr>
          <w:lang w:val="fr-FR"/>
        </w:rPr>
        <w:t>122 (Systèmes de chauffage)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 xml:space="preserve">Le Groupe de travail </w:t>
      </w:r>
      <w:r>
        <w:rPr>
          <w:lang w:val="fr-FR"/>
        </w:rPr>
        <w:t>voudra sans doute</w:t>
      </w:r>
      <w:r w:rsidRPr="0008009D">
        <w:rPr>
          <w:lang w:val="fr-FR"/>
        </w:rPr>
        <w:t xml:space="preserve"> examiner les propositions de la France visant respectivement à introduire de nouvelles dispositions relatives au montage des systèmes de chauffage à pompe à chaleur et à limiter les exemptions potentielles des dispositifs électriques de chauffage.</w:t>
      </w:r>
    </w:p>
    <w:p w:rsidR="00231A9F" w:rsidRPr="00711087" w:rsidRDefault="00231A9F" w:rsidP="00197FDB">
      <w:pPr>
        <w:pStyle w:val="SingleTxtG"/>
        <w:ind w:left="2552" w:hanging="1418"/>
        <w:jc w:val="left"/>
        <w:rPr>
          <w:lang w:val="en-US"/>
        </w:rPr>
      </w:pPr>
      <w:r w:rsidRPr="00711087">
        <w:rPr>
          <w:b/>
          <w:lang w:val="en-US"/>
        </w:rPr>
        <w:t>Document(s) </w:t>
      </w:r>
      <w:r w:rsidRPr="00711087">
        <w:rPr>
          <w:lang w:val="en-US"/>
        </w:rPr>
        <w:t>:</w:t>
      </w:r>
      <w:r w:rsidRPr="00711087">
        <w:rPr>
          <w:lang w:val="en-US"/>
        </w:rPr>
        <w:tab/>
        <w:t>ECE/TRANS/WP.29/GRSG/2018/21 ;</w:t>
      </w:r>
      <w:r w:rsidR="00197FDB">
        <w:rPr>
          <w:lang w:val="en-US"/>
        </w:rPr>
        <w:br/>
      </w:r>
      <w:r w:rsidRPr="00711087">
        <w:rPr>
          <w:lang w:val="en-US"/>
        </w:rPr>
        <w:t>ECE/TRANS/WP.29/GRSG/2018/22.</w:t>
      </w:r>
    </w:p>
    <w:p w:rsidR="00231A9F" w:rsidRPr="0008009D" w:rsidRDefault="00197FDB" w:rsidP="00197FDB">
      <w:pPr>
        <w:pStyle w:val="H1G"/>
        <w:rPr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15.</w:t>
      </w:r>
      <w:r w:rsidR="00231A9F" w:rsidRPr="0008009D">
        <w:rPr>
          <w:lang w:val="fr-FR"/>
        </w:rPr>
        <w:tab/>
        <w:t>Règlement ONU n</w:t>
      </w:r>
      <w:r w:rsidR="00231A9F" w:rsidRPr="0008009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31A9F" w:rsidRPr="0008009D">
        <w:rPr>
          <w:lang w:val="fr-FR"/>
        </w:rPr>
        <w:t>144 (Systèmes automatiques d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appel d</w:t>
      </w:r>
      <w:r w:rsidR="00231A9F">
        <w:rPr>
          <w:lang w:val="fr-FR"/>
        </w:rPr>
        <w:t>’</w:t>
      </w:r>
      <w:r w:rsidR="00231A9F" w:rsidRPr="0008009D">
        <w:rPr>
          <w:lang w:val="fr-FR"/>
        </w:rPr>
        <w:t>urgence)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À sa précédente session, le Groupe de travail a souscrit au nouveau projet de règlement ONU sur les systèmes automatiques d</w:t>
      </w:r>
      <w:r>
        <w:rPr>
          <w:lang w:val="fr-FR"/>
        </w:rPr>
        <w:t>’</w:t>
      </w:r>
      <w:r w:rsidRPr="0008009D">
        <w:rPr>
          <w:lang w:val="fr-FR"/>
        </w:rPr>
        <w:t>appels d</w:t>
      </w:r>
      <w:r>
        <w:rPr>
          <w:lang w:val="fr-FR"/>
        </w:rPr>
        <w:t>’</w:t>
      </w:r>
      <w:r w:rsidRPr="0008009D">
        <w:rPr>
          <w:lang w:val="fr-FR"/>
        </w:rPr>
        <w:t>urgence et a décidé qu</w:t>
      </w:r>
      <w:r>
        <w:rPr>
          <w:lang w:val="fr-FR"/>
        </w:rPr>
        <w:t>’</w:t>
      </w:r>
      <w:r w:rsidRPr="0008009D">
        <w:rPr>
          <w:lang w:val="fr-FR"/>
        </w:rPr>
        <w:t>il fallait en étoffer les dispositions. Par conséquent, il voudra sous doute examiner des propositions d</w:t>
      </w:r>
      <w:r>
        <w:rPr>
          <w:lang w:val="fr-FR"/>
        </w:rPr>
        <w:t>’</w:t>
      </w:r>
      <w:r w:rsidRPr="0008009D">
        <w:rPr>
          <w:lang w:val="fr-FR"/>
        </w:rPr>
        <w:t>amendements au Règlement, s</w:t>
      </w:r>
      <w:r>
        <w:rPr>
          <w:lang w:val="fr-FR"/>
        </w:rPr>
        <w:t>’</w:t>
      </w:r>
      <w:r w:rsidRPr="0008009D">
        <w:rPr>
          <w:lang w:val="fr-FR"/>
        </w:rPr>
        <w:t>il y a lieu.</w:t>
      </w:r>
    </w:p>
    <w:p w:rsidR="00231A9F" w:rsidRPr="0008009D" w:rsidRDefault="00231A9F" w:rsidP="00197FDB">
      <w:pPr>
        <w:pStyle w:val="SingleTxtG"/>
        <w:ind w:firstLine="567"/>
        <w:rPr>
          <w:lang w:val="fr-FR"/>
        </w:rPr>
      </w:pPr>
      <w:r w:rsidRPr="0008009D">
        <w:rPr>
          <w:lang w:val="fr-FR"/>
        </w:rPr>
        <w:t>Le Groupe de travail devrait examiner une proposition de l</w:t>
      </w:r>
      <w:r>
        <w:rPr>
          <w:lang w:val="fr-FR"/>
        </w:rPr>
        <w:t>’</w:t>
      </w:r>
      <w:r w:rsidRPr="0008009D">
        <w:rPr>
          <w:lang w:val="fr-FR"/>
        </w:rPr>
        <w:t>OICA visant à préciser le champ d</w:t>
      </w:r>
      <w:r>
        <w:rPr>
          <w:lang w:val="fr-FR"/>
        </w:rPr>
        <w:t>’</w:t>
      </w:r>
      <w:r w:rsidRPr="0008009D">
        <w:rPr>
          <w:lang w:val="fr-FR"/>
        </w:rPr>
        <w:t>application du Règlement ONU n</w:t>
      </w:r>
      <w:r w:rsidRPr="0008009D">
        <w:rPr>
          <w:vertAlign w:val="superscript"/>
          <w:lang w:val="fr-FR"/>
        </w:rPr>
        <w:t>o</w:t>
      </w:r>
      <w:r w:rsidRPr="0008009D">
        <w:rPr>
          <w:lang w:val="fr-FR"/>
        </w:rPr>
        <w:t> 144</w:t>
      </w:r>
      <w:r w:rsidR="009812C6">
        <w:rPr>
          <w:lang w:val="fr-FR"/>
        </w:rPr>
        <w:t xml:space="preserve"> </w:t>
      </w:r>
      <w:r w:rsidRPr="0008009D">
        <w:rPr>
          <w:lang w:val="fr-FR"/>
        </w:rPr>
        <w:t>(ECE/TRANS/WP.29/GRSG/2018/23).</w:t>
      </w:r>
    </w:p>
    <w:p w:rsidR="00231A9F" w:rsidRPr="0008009D" w:rsidRDefault="00231A9F" w:rsidP="00197FDB">
      <w:pPr>
        <w:pStyle w:val="SingleTxtG"/>
        <w:ind w:left="2552" w:hanging="1418"/>
        <w:jc w:val="left"/>
        <w:rPr>
          <w:lang w:val="fr-FR"/>
        </w:rPr>
      </w:pPr>
      <w:r w:rsidRPr="0008009D">
        <w:rPr>
          <w:b/>
          <w:lang w:val="fr-FR"/>
        </w:rPr>
        <w:t>Document(s) </w:t>
      </w:r>
      <w:r w:rsidRPr="0008009D">
        <w:rPr>
          <w:lang w:val="fr-FR"/>
        </w:rPr>
        <w:t>:</w:t>
      </w:r>
      <w:r w:rsidRPr="0008009D">
        <w:rPr>
          <w:lang w:val="fr-FR"/>
        </w:rPr>
        <w:tab/>
        <w:t>ECE/TRANS/WP.29/GRSG/2018/23.</w:t>
      </w:r>
    </w:p>
    <w:p w:rsidR="00231A9F" w:rsidRPr="00231A9F" w:rsidRDefault="00197FDB" w:rsidP="00197FDB">
      <w:pPr>
        <w:pStyle w:val="H1G"/>
        <w:rPr>
          <w:rStyle w:val="CommentReference"/>
          <w:sz w:val="20"/>
          <w:szCs w:val="20"/>
          <w:lang w:val="fr-FR"/>
        </w:rPr>
      </w:pPr>
      <w:r>
        <w:rPr>
          <w:lang w:val="fr-FR"/>
        </w:rPr>
        <w:tab/>
      </w:r>
      <w:r w:rsidR="00231A9F" w:rsidRPr="0008009D">
        <w:rPr>
          <w:lang w:val="fr-FR"/>
        </w:rPr>
        <w:t>16.</w:t>
      </w:r>
      <w:r w:rsidR="00231A9F" w:rsidRPr="0008009D">
        <w:rPr>
          <w:lang w:val="fr-FR"/>
        </w:rPr>
        <w:tab/>
      </w:r>
      <w:r w:rsidR="00231A9F" w:rsidRPr="00231A9F">
        <w:rPr>
          <w:lang w:val="fr-FR"/>
        </w:rPr>
        <w:t>Règlement ONU n</w:t>
      </w:r>
      <w:r w:rsidR="00231A9F" w:rsidRPr="00231A9F">
        <w:rPr>
          <w:vertAlign w:val="superscript"/>
          <w:lang w:val="fr-FR"/>
        </w:rPr>
        <w:t>o</w:t>
      </w:r>
      <w:r w:rsidR="00231A9F" w:rsidRPr="00231A9F">
        <w:rPr>
          <w:lang w:val="fr-FR"/>
        </w:rPr>
        <w:t> 0</w:t>
      </w:r>
      <w:r w:rsidR="009812C6">
        <w:rPr>
          <w:lang w:val="fr-FR"/>
        </w:rPr>
        <w:t xml:space="preserve"> </w:t>
      </w:r>
      <w:r w:rsidR="00231A9F" w:rsidRPr="00231A9F">
        <w:rPr>
          <w:lang w:val="fr-FR"/>
        </w:rPr>
        <w:t>(Homo</w:t>
      </w:r>
      <w:r>
        <w:rPr>
          <w:lang w:val="fr-FR"/>
        </w:rPr>
        <w:t>logation de type internationale</w:t>
      </w:r>
      <w:r>
        <w:rPr>
          <w:lang w:val="fr-FR"/>
        </w:rPr>
        <w:br/>
      </w:r>
      <w:r w:rsidR="00231A9F" w:rsidRPr="00231A9F">
        <w:rPr>
          <w:lang w:val="fr-FR"/>
        </w:rPr>
        <w:t>de l’ensemble du véhicule)</w:t>
      </w:r>
    </w:p>
    <w:p w:rsidR="00231A9F" w:rsidRPr="00231A9F" w:rsidRDefault="00231A9F" w:rsidP="00197FDB">
      <w:pPr>
        <w:pStyle w:val="SingleTxtG"/>
        <w:ind w:firstLine="567"/>
        <w:rPr>
          <w:rStyle w:val="CommentReference"/>
          <w:sz w:val="20"/>
          <w:szCs w:val="20"/>
          <w:lang w:val="fr-FR"/>
        </w:rPr>
      </w:pPr>
      <w:r w:rsidRPr="00231A9F">
        <w:rPr>
          <w:rStyle w:val="CommentReference"/>
          <w:sz w:val="20"/>
          <w:szCs w:val="20"/>
          <w:lang w:val="fr-FR"/>
        </w:rPr>
        <w:t xml:space="preserve">Le Groupe de travail voudra sans doute être informé par le représentant pour l’IWVTA des résultats des récentes réunions du groupe de travail informel </w:t>
      </w:r>
      <w:r w:rsidRPr="00231A9F">
        <w:t>IWVTA</w:t>
      </w:r>
      <w:r w:rsidRPr="00231A9F">
        <w:rPr>
          <w:rStyle w:val="CommentReference"/>
          <w:sz w:val="20"/>
          <w:szCs w:val="20"/>
          <w:lang w:val="fr-FR"/>
        </w:rPr>
        <w:t>, ainsi que de la suite donnée à la question horizontale des nouvelles dispositions relatives à la numérotation des homologations de type de l’ONU conformément à l’annexe</w:t>
      </w:r>
      <w:r w:rsidR="00021C56">
        <w:rPr>
          <w:rStyle w:val="CommentReference"/>
          <w:sz w:val="20"/>
          <w:szCs w:val="20"/>
          <w:lang w:val="fr-FR"/>
        </w:rPr>
        <w:t> </w:t>
      </w:r>
      <w:r w:rsidRPr="00231A9F">
        <w:rPr>
          <w:rStyle w:val="CommentReference"/>
          <w:sz w:val="20"/>
          <w:szCs w:val="20"/>
          <w:lang w:val="fr-FR"/>
        </w:rPr>
        <w:t>4 et du texte actuel de la fiche de communication, laquelle question concerne l’ensemble des Règlements de l’ONU annexés à l’Accord de 1958.</w:t>
      </w:r>
    </w:p>
    <w:p w:rsidR="00231A9F" w:rsidRPr="00197FDB" w:rsidRDefault="00197FDB" w:rsidP="00197FDB">
      <w:pPr>
        <w:pStyle w:val="H1G"/>
      </w:pPr>
      <w:r w:rsidRPr="00197FDB">
        <w:rPr>
          <w:rStyle w:val="CommentReference"/>
          <w:sz w:val="24"/>
          <w:szCs w:val="20"/>
        </w:rPr>
        <w:tab/>
      </w:r>
      <w:r w:rsidR="00231A9F" w:rsidRPr="00197FDB">
        <w:t>17.</w:t>
      </w:r>
      <w:r w:rsidR="00231A9F" w:rsidRPr="00197FDB">
        <w:tab/>
        <w:t>Échange de vues sur l</w:t>
      </w:r>
      <w:r w:rsidR="00231A9F" w:rsidRPr="00197FDB">
        <w:rPr>
          <w:rStyle w:val="CommentReference"/>
          <w:sz w:val="24"/>
          <w:szCs w:val="20"/>
        </w:rPr>
        <w:t>’</w:t>
      </w:r>
      <w:r w:rsidR="00231A9F" w:rsidRPr="00197FDB">
        <w:t>automatisation des véhicules</w:t>
      </w:r>
    </w:p>
    <w:p w:rsidR="00231A9F" w:rsidRPr="00231A9F" w:rsidRDefault="00231A9F" w:rsidP="00197FDB">
      <w:pPr>
        <w:pStyle w:val="SingleTxtG"/>
        <w:ind w:firstLine="567"/>
        <w:rPr>
          <w:rStyle w:val="CommentReference"/>
          <w:sz w:val="20"/>
          <w:szCs w:val="20"/>
          <w:lang w:val="fr-FR"/>
        </w:rPr>
      </w:pPr>
      <w:r w:rsidRPr="00231A9F">
        <w:rPr>
          <w:rStyle w:val="CommentReference"/>
          <w:sz w:val="20"/>
          <w:szCs w:val="20"/>
          <w:lang w:val="fr-FR"/>
        </w:rPr>
        <w:t xml:space="preserve">Le Groupe de travail voudra sans doute être informé des résultats des récentes sessions du WP.29 s’agissant des activités relatives à l’automatisation des </w:t>
      </w:r>
      <w:r w:rsidRPr="00231A9F">
        <w:t>véhicules</w:t>
      </w:r>
      <w:r w:rsidRPr="00231A9F">
        <w:rPr>
          <w:rStyle w:val="CommentReference"/>
          <w:sz w:val="20"/>
          <w:szCs w:val="20"/>
          <w:lang w:val="fr-FR"/>
        </w:rPr>
        <w:t xml:space="preserve"> (</w:t>
      </w:r>
      <w:r w:rsidRPr="00231A9F">
        <w:rPr>
          <w:lang w:val="fr-FR"/>
        </w:rPr>
        <w:t>ECE/TRANS/WP.29/1139, par. 22</w:t>
      </w:r>
      <w:r w:rsidR="009812C6">
        <w:rPr>
          <w:lang w:val="fr-FR"/>
        </w:rPr>
        <w:t xml:space="preserve"> </w:t>
      </w:r>
      <w:r w:rsidRPr="00231A9F">
        <w:rPr>
          <w:lang w:val="fr-FR"/>
        </w:rPr>
        <w:t>à 42</w:t>
      </w:r>
      <w:r w:rsidRPr="00231A9F">
        <w:rPr>
          <w:rStyle w:val="CommentReference"/>
          <w:sz w:val="20"/>
          <w:szCs w:val="20"/>
          <w:lang w:val="fr-FR"/>
        </w:rPr>
        <w:t>).</w:t>
      </w:r>
    </w:p>
    <w:p w:rsidR="00231A9F" w:rsidRPr="00197FDB" w:rsidRDefault="00197FDB" w:rsidP="00197FDB">
      <w:pPr>
        <w:pStyle w:val="H1G"/>
      </w:pPr>
      <w:r w:rsidRPr="00197FDB">
        <w:rPr>
          <w:rStyle w:val="CommentReference"/>
          <w:sz w:val="24"/>
          <w:szCs w:val="20"/>
        </w:rPr>
        <w:lastRenderedPageBreak/>
        <w:tab/>
      </w:r>
      <w:r w:rsidR="00231A9F" w:rsidRPr="00197FDB">
        <w:t>18.</w:t>
      </w:r>
      <w:r w:rsidR="00231A9F" w:rsidRPr="00197FDB">
        <w:tab/>
        <w:t>Stratégie du Comité des transports intérieurs</w:t>
      </w:r>
    </w:p>
    <w:p w:rsidR="00231A9F" w:rsidRPr="00231A9F" w:rsidRDefault="00231A9F" w:rsidP="00197FDB">
      <w:pPr>
        <w:pStyle w:val="SingleTxtG"/>
        <w:ind w:firstLine="567"/>
        <w:rPr>
          <w:rStyle w:val="CommentReference"/>
          <w:sz w:val="20"/>
          <w:szCs w:val="20"/>
          <w:lang w:val="fr-FR"/>
        </w:rPr>
      </w:pPr>
      <w:r w:rsidRPr="00231A9F">
        <w:rPr>
          <w:rStyle w:val="CommentReference"/>
          <w:sz w:val="20"/>
          <w:szCs w:val="20"/>
          <w:lang w:val="fr-FR"/>
        </w:rPr>
        <w:t>Le Groupe de travail voudra sans doute être informé des résultats escomptés de la future stratégie du Comité des transports intérieurs.</w:t>
      </w:r>
    </w:p>
    <w:p w:rsidR="00231A9F" w:rsidRPr="009812C6" w:rsidRDefault="00197FDB" w:rsidP="009812C6">
      <w:pPr>
        <w:pStyle w:val="H1G"/>
      </w:pPr>
      <w:r w:rsidRPr="009812C6">
        <w:tab/>
      </w:r>
      <w:r w:rsidR="00231A9F" w:rsidRPr="009812C6">
        <w:t>19.</w:t>
      </w:r>
      <w:r w:rsidR="00231A9F" w:rsidRPr="009812C6">
        <w:tab/>
        <w:t>Élection du Bureau</w:t>
      </w:r>
    </w:p>
    <w:p w:rsidR="00231A9F" w:rsidRPr="00231A9F" w:rsidRDefault="00231A9F" w:rsidP="00197FDB">
      <w:pPr>
        <w:pStyle w:val="SingleTxtG"/>
        <w:ind w:firstLine="567"/>
        <w:rPr>
          <w:rStyle w:val="CommentReference"/>
          <w:sz w:val="20"/>
          <w:szCs w:val="20"/>
          <w:lang w:val="fr-FR"/>
        </w:rPr>
      </w:pPr>
      <w:r w:rsidRPr="00231A9F">
        <w:rPr>
          <w:rStyle w:val="CommentReference"/>
          <w:sz w:val="20"/>
          <w:szCs w:val="20"/>
          <w:lang w:val="fr-FR"/>
        </w:rPr>
        <w:t>Conformément à l’article</w:t>
      </w:r>
      <w:r w:rsidR="00021C56">
        <w:rPr>
          <w:rStyle w:val="CommentReference"/>
          <w:sz w:val="20"/>
          <w:szCs w:val="20"/>
          <w:lang w:val="fr-FR"/>
        </w:rPr>
        <w:t> </w:t>
      </w:r>
      <w:r w:rsidRPr="00231A9F">
        <w:rPr>
          <w:rStyle w:val="CommentReference"/>
          <w:sz w:val="20"/>
          <w:szCs w:val="20"/>
          <w:lang w:val="fr-FR"/>
        </w:rPr>
        <w:t>37</w:t>
      </w:r>
      <w:r w:rsidR="00021C56">
        <w:rPr>
          <w:rStyle w:val="CommentReference"/>
          <w:sz w:val="20"/>
          <w:szCs w:val="20"/>
          <w:lang w:val="fr-FR"/>
        </w:rPr>
        <w:t xml:space="preserve"> </w:t>
      </w:r>
      <w:r w:rsidRPr="00231A9F">
        <w:rPr>
          <w:rStyle w:val="CommentReference"/>
          <w:sz w:val="20"/>
          <w:szCs w:val="20"/>
          <w:lang w:val="fr-FR"/>
        </w:rPr>
        <w:t xml:space="preserve">du </w:t>
      </w:r>
      <w:r w:rsidRPr="00231A9F">
        <w:t>Règlement</w:t>
      </w:r>
      <w:r w:rsidRPr="00231A9F">
        <w:rPr>
          <w:rStyle w:val="CommentReference"/>
          <w:sz w:val="20"/>
          <w:szCs w:val="20"/>
          <w:lang w:val="fr-FR"/>
        </w:rPr>
        <w:t xml:space="preserve"> intérieur (</w:t>
      </w:r>
      <w:r w:rsidRPr="00231A9F">
        <w:rPr>
          <w:lang w:val="fr-FR"/>
        </w:rPr>
        <w:t>ECE/TRANS/WP.29/</w:t>
      </w:r>
      <w:r w:rsidR="00197FDB">
        <w:rPr>
          <w:lang w:val="fr-FR"/>
        </w:rPr>
        <w:t xml:space="preserve"> </w:t>
      </w:r>
      <w:r w:rsidRPr="00231A9F">
        <w:rPr>
          <w:lang w:val="fr-FR"/>
        </w:rPr>
        <w:t>690/Rev.1</w:t>
      </w:r>
      <w:r w:rsidRPr="00231A9F">
        <w:rPr>
          <w:rStyle w:val="CommentReference"/>
          <w:sz w:val="20"/>
          <w:szCs w:val="20"/>
          <w:lang w:val="fr-FR"/>
        </w:rPr>
        <w:t>), le Groupe de travail élira son président et son vice-président pour les sessions de 2019.</w:t>
      </w:r>
    </w:p>
    <w:p w:rsidR="00231A9F" w:rsidRPr="00197FDB" w:rsidRDefault="00197FDB" w:rsidP="009812C6">
      <w:pPr>
        <w:pStyle w:val="H1G"/>
      </w:pPr>
      <w:r>
        <w:tab/>
      </w:r>
      <w:r w:rsidR="00231A9F" w:rsidRPr="00197FDB">
        <w:t>20.</w:t>
      </w:r>
      <w:r w:rsidR="00231A9F" w:rsidRPr="00197FDB">
        <w:tab/>
        <w:t xml:space="preserve">Questions </w:t>
      </w:r>
      <w:r w:rsidR="00231A9F" w:rsidRPr="009812C6">
        <w:t>diverses</w:t>
      </w:r>
    </w:p>
    <w:p w:rsidR="00F9573C" w:rsidRPr="00231A9F" w:rsidRDefault="00231A9F" w:rsidP="00231A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31A9F" w:rsidSect="00F628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BB" w:rsidRDefault="00F558BB" w:rsidP="00F95C08">
      <w:pPr>
        <w:spacing w:line="240" w:lineRule="auto"/>
      </w:pPr>
    </w:p>
  </w:endnote>
  <w:endnote w:type="continuationSeparator" w:id="0">
    <w:p w:rsidR="00F558BB" w:rsidRPr="00AC3823" w:rsidRDefault="00F558BB" w:rsidP="00AC3823">
      <w:pPr>
        <w:pStyle w:val="Footer"/>
      </w:pPr>
    </w:p>
  </w:endnote>
  <w:endnote w:type="continuationNotice" w:id="1">
    <w:p w:rsidR="00F558BB" w:rsidRDefault="00F558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94" w:rsidRPr="00F62894" w:rsidRDefault="00F62894" w:rsidP="00F62894">
    <w:pPr>
      <w:pStyle w:val="Footer"/>
      <w:tabs>
        <w:tab w:val="right" w:pos="9638"/>
      </w:tabs>
    </w:pPr>
    <w:r w:rsidRPr="00F62894">
      <w:rPr>
        <w:b/>
        <w:sz w:val="18"/>
      </w:rPr>
      <w:fldChar w:fldCharType="begin"/>
    </w:r>
    <w:r w:rsidRPr="00F62894">
      <w:rPr>
        <w:b/>
        <w:sz w:val="18"/>
      </w:rPr>
      <w:instrText xml:space="preserve"> PAGE  \* MERGEFORMAT </w:instrText>
    </w:r>
    <w:r w:rsidRPr="00F62894">
      <w:rPr>
        <w:b/>
        <w:sz w:val="18"/>
      </w:rPr>
      <w:fldChar w:fldCharType="separate"/>
    </w:r>
    <w:r w:rsidR="002237E8">
      <w:rPr>
        <w:b/>
        <w:noProof/>
        <w:sz w:val="18"/>
      </w:rPr>
      <w:t>4</w:t>
    </w:r>
    <w:r w:rsidRPr="00F62894">
      <w:rPr>
        <w:b/>
        <w:sz w:val="18"/>
      </w:rPr>
      <w:fldChar w:fldCharType="end"/>
    </w:r>
    <w:r>
      <w:rPr>
        <w:b/>
        <w:sz w:val="18"/>
      </w:rPr>
      <w:tab/>
    </w:r>
    <w:r>
      <w:t>GE.18-12480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94" w:rsidRPr="00F62894" w:rsidRDefault="00F62894" w:rsidP="00F62894">
    <w:pPr>
      <w:pStyle w:val="Footer"/>
      <w:tabs>
        <w:tab w:val="right" w:pos="9638"/>
      </w:tabs>
      <w:rPr>
        <w:b/>
        <w:sz w:val="18"/>
      </w:rPr>
    </w:pPr>
    <w:r>
      <w:t>GE.18-12480</w:t>
    </w:r>
    <w:r>
      <w:tab/>
    </w:r>
    <w:r w:rsidRPr="00F62894">
      <w:rPr>
        <w:b/>
        <w:sz w:val="18"/>
      </w:rPr>
      <w:fldChar w:fldCharType="begin"/>
    </w:r>
    <w:r w:rsidRPr="00F62894">
      <w:rPr>
        <w:b/>
        <w:sz w:val="18"/>
      </w:rPr>
      <w:instrText xml:space="preserve"> PAGE  \* MERGEFORMAT </w:instrText>
    </w:r>
    <w:r w:rsidRPr="00F62894">
      <w:rPr>
        <w:b/>
        <w:sz w:val="18"/>
      </w:rPr>
      <w:fldChar w:fldCharType="separate"/>
    </w:r>
    <w:r w:rsidR="002237E8">
      <w:rPr>
        <w:b/>
        <w:noProof/>
        <w:sz w:val="18"/>
      </w:rPr>
      <w:t>3</w:t>
    </w:r>
    <w:r w:rsidRPr="00F628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62894" w:rsidRDefault="00F62894" w:rsidP="00F6289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18-12480  (F)</w:t>
    </w:r>
    <w:r w:rsidR="00231A9F">
      <w:rPr>
        <w:sz w:val="20"/>
      </w:rPr>
      <w:t xml:space="preserve">    230818    240818</w:t>
    </w:r>
    <w:r>
      <w:rPr>
        <w:sz w:val="20"/>
      </w:rPr>
      <w:br/>
    </w:r>
    <w:r w:rsidRPr="00F62894">
      <w:rPr>
        <w:rFonts w:ascii="C39T30Lfz" w:hAnsi="C39T30Lfz"/>
        <w:sz w:val="56"/>
      </w:rPr>
      <w:t></w:t>
    </w:r>
    <w:r w:rsidRPr="00F62894">
      <w:rPr>
        <w:rFonts w:ascii="C39T30Lfz" w:hAnsi="C39T30Lfz"/>
        <w:sz w:val="56"/>
      </w:rPr>
      <w:t></w:t>
    </w:r>
    <w:r w:rsidRPr="00F62894">
      <w:rPr>
        <w:rFonts w:ascii="C39T30Lfz" w:hAnsi="C39T30Lfz"/>
        <w:sz w:val="56"/>
      </w:rPr>
      <w:t></w:t>
    </w:r>
    <w:r w:rsidRPr="00F62894">
      <w:rPr>
        <w:rFonts w:ascii="C39T30Lfz" w:hAnsi="C39T30Lfz"/>
        <w:sz w:val="56"/>
      </w:rPr>
      <w:t></w:t>
    </w:r>
    <w:r w:rsidRPr="00F62894">
      <w:rPr>
        <w:rFonts w:ascii="C39T30Lfz" w:hAnsi="C39T30Lfz"/>
        <w:sz w:val="56"/>
      </w:rPr>
      <w:t></w:t>
    </w:r>
    <w:r w:rsidRPr="00F62894">
      <w:rPr>
        <w:rFonts w:ascii="C39T30Lfz" w:hAnsi="C39T30Lfz"/>
        <w:sz w:val="56"/>
      </w:rPr>
      <w:t></w:t>
    </w:r>
    <w:r w:rsidRPr="00F62894">
      <w:rPr>
        <w:rFonts w:ascii="C39T30Lfz" w:hAnsi="C39T30Lfz"/>
        <w:sz w:val="56"/>
      </w:rPr>
      <w:t></w:t>
    </w:r>
    <w:r w:rsidRPr="00F62894">
      <w:rPr>
        <w:rFonts w:ascii="C39T30Lfz" w:hAnsi="C39T30Lfz"/>
        <w:sz w:val="56"/>
      </w:rPr>
      <w:t></w:t>
    </w:r>
    <w:r w:rsidRPr="00F6289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1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BB" w:rsidRPr="00AC3823" w:rsidRDefault="00F558B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58BB" w:rsidRPr="00AC3823" w:rsidRDefault="00F558B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58BB" w:rsidRPr="00AC3823" w:rsidRDefault="00F558B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94" w:rsidRPr="00F62894" w:rsidRDefault="00895BE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37E8">
      <w:t>ECE/TRANS/WP.29/GRSG/2018/10/Add.1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94" w:rsidRPr="00F62894" w:rsidRDefault="00895BE9" w:rsidP="00F628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37E8">
      <w:t>ECE/TRANS/WP.29/GRSG/2018/10/Add.1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B"/>
    <w:rsid w:val="00017F94"/>
    <w:rsid w:val="00021C56"/>
    <w:rsid w:val="00023842"/>
    <w:rsid w:val="000334F9"/>
    <w:rsid w:val="00045FEB"/>
    <w:rsid w:val="0007796D"/>
    <w:rsid w:val="000B7790"/>
    <w:rsid w:val="000B78E6"/>
    <w:rsid w:val="00111F2F"/>
    <w:rsid w:val="00126306"/>
    <w:rsid w:val="0014365E"/>
    <w:rsid w:val="00143C66"/>
    <w:rsid w:val="00176178"/>
    <w:rsid w:val="00197FDB"/>
    <w:rsid w:val="001F525A"/>
    <w:rsid w:val="002154AC"/>
    <w:rsid w:val="00223272"/>
    <w:rsid w:val="002237E8"/>
    <w:rsid w:val="00231A9F"/>
    <w:rsid w:val="0024779E"/>
    <w:rsid w:val="00257168"/>
    <w:rsid w:val="002744B8"/>
    <w:rsid w:val="002832AC"/>
    <w:rsid w:val="002D7C93"/>
    <w:rsid w:val="002F0B85"/>
    <w:rsid w:val="00305801"/>
    <w:rsid w:val="003658B6"/>
    <w:rsid w:val="003916DE"/>
    <w:rsid w:val="003B216C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2AF3"/>
    <w:rsid w:val="00596AA9"/>
    <w:rsid w:val="0071601D"/>
    <w:rsid w:val="007A62E6"/>
    <w:rsid w:val="007E4B17"/>
    <w:rsid w:val="007F20FA"/>
    <w:rsid w:val="0080684C"/>
    <w:rsid w:val="00871C75"/>
    <w:rsid w:val="008776DC"/>
    <w:rsid w:val="00895BE9"/>
    <w:rsid w:val="009446C0"/>
    <w:rsid w:val="009705C8"/>
    <w:rsid w:val="009812C6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557D4"/>
    <w:rsid w:val="00DB1831"/>
    <w:rsid w:val="00DD3BFD"/>
    <w:rsid w:val="00DF6678"/>
    <w:rsid w:val="00E0299A"/>
    <w:rsid w:val="00E85C74"/>
    <w:rsid w:val="00EA6547"/>
    <w:rsid w:val="00EF2E22"/>
    <w:rsid w:val="00F35BAF"/>
    <w:rsid w:val="00F558BB"/>
    <w:rsid w:val="00F6289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64974E-C7A5-4FC1-B87C-AB1DD19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31A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ECE/TRANS/WP.29/GRSG/2018/10/Add.1</vt:lpstr>
      <vt:lpstr>ECE/TRANS/WP.29/GRSG/2018/10/Add.1</vt:lpstr>
    </vt:vector>
  </TitlesOfParts>
  <Company>DCM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ECE/TRANS/WP.29/GRSG/2018/10/Add.1</dc:title>
  <dc:subject/>
  <dc:creator>Annie BEAUNEE</dc:creator>
  <cp:keywords/>
  <cp:lastModifiedBy>Benedicte Boudol</cp:lastModifiedBy>
  <cp:revision>2</cp:revision>
  <cp:lastPrinted>2018-08-24T12:52:00Z</cp:lastPrinted>
  <dcterms:created xsi:type="dcterms:W3CDTF">2018-09-03T11:57:00Z</dcterms:created>
  <dcterms:modified xsi:type="dcterms:W3CDTF">2018-09-03T11:57:00Z</dcterms:modified>
</cp:coreProperties>
</file>